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ind w:right="1280"/>
        <w:contextualSpacing/>
        <w:rPr>
          <w:rFonts w:hint="eastAsia" w:ascii="黑体" w:hAnsi="黑体" w:eastAsia="黑体" w:cs="仿宋_GB2312"/>
          <w:kern w:val="0"/>
          <w:sz w:val="32"/>
          <w:szCs w:val="32"/>
        </w:rPr>
      </w:pPr>
      <w:bookmarkStart w:id="0" w:name="_Hlk89085735"/>
      <w:bookmarkStart w:id="11" w:name="_GoBack"/>
      <w:bookmarkEnd w:id="11"/>
      <w:r>
        <w:rPr>
          <w:rFonts w:hint="eastAsia" w:ascii="黑体" w:hAnsi="黑体" w:eastAsia="黑体" w:cs="仿宋_GB2312"/>
          <w:kern w:val="0"/>
          <w:sz w:val="32"/>
          <w:szCs w:val="32"/>
        </w:rPr>
        <w:t>附件</w:t>
      </w:r>
    </w:p>
    <w:p>
      <w:pPr>
        <w:widowControl/>
        <w:overflowPunct w:val="0"/>
        <w:adjustRightInd w:val="0"/>
        <w:snapToGrid w:val="0"/>
        <w:spacing w:line="560" w:lineRule="exact"/>
        <w:rPr>
          <w:rFonts w:ascii="方正小标宋_GBK" w:hAnsi="方正小标宋_GBK" w:eastAsia="方正小标宋_GBK" w:cs="方正小标宋_GBK"/>
          <w:color w:val="000000"/>
          <w:kern w:val="0"/>
          <w:sz w:val="30"/>
          <w:szCs w:val="30"/>
        </w:rPr>
      </w:pPr>
    </w:p>
    <w:p>
      <w:pPr>
        <w:widowControl/>
        <w:shd w:val="clear" w:color="auto" w:fill="FFFFFF"/>
        <w:spacing w:line="560" w:lineRule="exact"/>
        <w:contextualSpacing/>
        <w:jc w:val="center"/>
        <w:rPr>
          <w:rFonts w:hint="eastAsia"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密云水库防灾减灾及蓄水能力</w:t>
      </w:r>
    </w:p>
    <w:p>
      <w:pPr>
        <w:widowControl/>
        <w:shd w:val="clear" w:color="auto" w:fill="FFFFFF"/>
        <w:spacing w:line="560" w:lineRule="exact"/>
        <w:contextualSpacing/>
        <w:jc w:val="center"/>
        <w:rPr>
          <w:rFonts w:hint="eastAsia"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提升工程安置房及配套基础设施项目</w:t>
      </w:r>
    </w:p>
    <w:p>
      <w:pPr>
        <w:widowControl/>
        <w:shd w:val="clear" w:color="auto" w:fill="FFFFFF"/>
        <w:spacing w:line="560" w:lineRule="exact"/>
        <w:contextualSpacing/>
        <w:jc w:val="center"/>
        <w:rPr>
          <w:rFonts w:hint="eastAsia"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(沙河地块)房屋征收补偿方案</w:t>
      </w:r>
    </w:p>
    <w:p>
      <w:pPr>
        <w:spacing w:line="560" w:lineRule="exact"/>
        <w:ind w:firstLine="3680" w:firstLineChars="1150"/>
        <w:rPr>
          <w:rFonts w:ascii="黑体" w:hAnsi="黑体" w:eastAsia="黑体"/>
          <w:bCs/>
          <w:sz w:val="32"/>
          <w:szCs w:val="32"/>
        </w:rPr>
      </w:pPr>
      <w:r>
        <w:rPr>
          <w:rFonts w:ascii="黑体" w:hAnsi="黑体" w:eastAsia="黑体"/>
          <w:bCs/>
          <w:sz w:val="32"/>
          <w:szCs w:val="32"/>
        </w:rPr>
        <w:t>（</w:t>
      </w:r>
      <w:r>
        <w:rPr>
          <w:rFonts w:hint="eastAsia" w:ascii="黑体" w:hAnsi="黑体" w:eastAsia="黑体"/>
          <w:bCs/>
          <w:sz w:val="32"/>
          <w:szCs w:val="32"/>
          <w:lang w:eastAsia="zh-CN"/>
        </w:rPr>
        <w:t>征求意见稿</w:t>
      </w:r>
      <w:r>
        <w:rPr>
          <w:rFonts w:ascii="黑体" w:hAnsi="黑体" w:eastAsia="黑体"/>
          <w:bCs/>
          <w:sz w:val="32"/>
          <w:szCs w:val="32"/>
        </w:rPr>
        <w:t>）</w:t>
      </w:r>
    </w:p>
    <w:p>
      <w:pPr>
        <w:spacing w:line="560" w:lineRule="exact"/>
        <w:ind w:firstLine="3648" w:firstLineChars="1140"/>
        <w:contextualSpacing/>
        <w:rPr>
          <w:rFonts w:hint="eastAsia" w:ascii="黑体" w:hAnsi="黑体" w:eastAsia="黑体"/>
          <w:bCs/>
          <w:sz w:val="32"/>
          <w:szCs w:val="32"/>
        </w:rPr>
      </w:pPr>
    </w:p>
    <w:p>
      <w:pPr>
        <w:spacing w:line="560" w:lineRule="exact"/>
        <w:ind w:firstLine="3648" w:firstLineChars="1140"/>
        <w:contextualSpacing/>
        <w:rPr>
          <w:rFonts w:hint="eastAsia" w:ascii="黑体" w:hAnsi="黑体" w:eastAsia="黑体"/>
          <w:bCs/>
          <w:sz w:val="32"/>
          <w:szCs w:val="32"/>
        </w:rPr>
      </w:pPr>
      <w:r>
        <w:rPr>
          <w:rFonts w:hint="eastAsia" w:ascii="黑体" w:hAnsi="黑体" w:eastAsia="黑体"/>
          <w:bCs/>
          <w:sz w:val="32"/>
          <w:szCs w:val="32"/>
        </w:rPr>
        <w:t>第一章  总则</w:t>
      </w:r>
    </w:p>
    <w:p>
      <w:pPr>
        <w:spacing w:line="560" w:lineRule="exact"/>
        <w:ind w:firstLine="3648" w:firstLineChars="1140"/>
        <w:contextualSpacing/>
        <w:rPr>
          <w:rFonts w:hint="eastAsia" w:ascii="仿宋_GB2312" w:hAnsi="仿宋" w:eastAsia="仿宋_GB2312" w:cs="宋体"/>
          <w:color w:val="000000"/>
          <w:kern w:val="0"/>
          <w:sz w:val="32"/>
          <w:szCs w:val="32"/>
        </w:rPr>
      </w:pPr>
    </w:p>
    <w:p>
      <w:pPr>
        <w:spacing w:line="560" w:lineRule="exact"/>
        <w:ind w:firstLine="640" w:firstLineChars="200"/>
        <w:contextualSpacing/>
        <w:rPr>
          <w:rFonts w:hint="eastAsia" w:ascii="黑体" w:hAnsi="黑体" w:eastAsia="黑体"/>
          <w:sz w:val="32"/>
          <w:szCs w:val="32"/>
        </w:rPr>
      </w:pPr>
      <w:r>
        <w:rPr>
          <w:rFonts w:hint="eastAsia" w:ascii="仿宋_GB2312" w:hAnsi="仿宋" w:eastAsia="仿宋_GB2312" w:cs="宋体"/>
          <w:color w:val="000000"/>
          <w:kern w:val="0"/>
          <w:sz w:val="32"/>
          <w:szCs w:val="32"/>
        </w:rPr>
        <w:t>为加快推进密云水库防灾减灾及蓄水能力提升工程安置房及配套基础设施项目(沙河地块)建设，经密云区人民政府研究批准，拟对密云水库防灾减灾及蓄水能力提升工程安置房及配套基础设施项目(沙河地块)（以下简称本项目）范围内国有土地上房屋实施征收。</w:t>
      </w:r>
    </w:p>
    <w:p>
      <w:pPr>
        <w:spacing w:line="560" w:lineRule="exact"/>
        <w:ind w:firstLine="640" w:firstLineChars="200"/>
        <w:contextualSpacing/>
        <w:rPr>
          <w:rFonts w:hint="eastAsia" w:ascii="黑体" w:hAnsi="黑体" w:eastAsia="黑体"/>
          <w:sz w:val="32"/>
          <w:szCs w:val="32"/>
        </w:rPr>
      </w:pPr>
      <w:r>
        <w:rPr>
          <w:rFonts w:hint="eastAsia" w:ascii="仿宋_GB2312" w:hAnsi="仿宋" w:eastAsia="仿宋_GB2312" w:cs="宋体"/>
          <w:color w:val="000000"/>
          <w:kern w:val="0"/>
          <w:sz w:val="32"/>
          <w:szCs w:val="32"/>
        </w:rPr>
        <w:t>依据《国有土地上房屋征收与补偿条例》（国务院令590号）《北京市国有土地上房屋征收与补偿实施意见》（京政发〔2011〕27号）等相关法规规定，坚持依法依规、尊重历史、实事求是、合情合理的原则，并结合我区已实施项目及本项目实际情况，制定本项目房屋征收补偿方案。</w:t>
      </w:r>
    </w:p>
    <w:p>
      <w:pPr>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一、征收范围及项目基本情况</w:t>
      </w:r>
    </w:p>
    <w:p>
      <w:pPr>
        <w:spacing w:line="560" w:lineRule="exact"/>
        <w:ind w:firstLine="640" w:firstLineChars="200"/>
        <w:contextualSpacing/>
        <w:rPr>
          <w:rFonts w:hint="eastAsia" w:ascii="仿宋_GB2312" w:hAnsi="仿宋" w:eastAsia="仿宋_GB2312" w:cs="宋体"/>
          <w:color w:val="FF0000"/>
          <w:kern w:val="0"/>
          <w:sz w:val="32"/>
          <w:szCs w:val="32"/>
        </w:rPr>
      </w:pPr>
      <w:bookmarkStart w:id="1" w:name="_Hlk159874819"/>
      <w:r>
        <w:rPr>
          <w:rFonts w:hint="eastAsia" w:ascii="仿宋_GB2312" w:hAnsi="仿宋" w:eastAsia="仿宋_GB2312" w:cs="宋体"/>
          <w:color w:val="000000"/>
          <w:kern w:val="0"/>
          <w:sz w:val="32"/>
          <w:szCs w:val="32"/>
        </w:rPr>
        <w:t>密云水库防灾减灾及蓄水能力提升工程安置房及配套基础设施项目</w:t>
      </w:r>
      <w:r>
        <w:rPr>
          <w:rFonts w:hint="eastAsia" w:ascii="仿宋_GB2312" w:hAnsi="仿宋" w:eastAsia="仿宋_GB2312" w:cs="宋体"/>
          <w:kern w:val="0"/>
          <w:sz w:val="32"/>
          <w:szCs w:val="32"/>
        </w:rPr>
        <w:t>(沙河地块)具体四至为：</w:t>
      </w:r>
      <w:bookmarkEnd w:id="1"/>
      <w:r>
        <w:rPr>
          <w:rFonts w:hint="eastAsia" w:ascii="仿宋_GB2312" w:hAnsi="仿宋_GB2312" w:eastAsia="仿宋_GB2312" w:cs="仿宋_GB2312"/>
          <w:sz w:val="32"/>
          <w:szCs w:val="32"/>
        </w:rPr>
        <w:t>东至车站路，南至现状民宅，西至现状村级道路，北至站西路。</w:t>
      </w:r>
    </w:p>
    <w:p>
      <w:pPr>
        <w:spacing w:line="560" w:lineRule="exact"/>
        <w:ind w:firstLine="640" w:firstLineChars="200"/>
        <w:contextualSpacing/>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本项目</w:t>
      </w:r>
      <w:bookmarkStart w:id="2" w:name="_Hlk159874902"/>
      <w:r>
        <w:rPr>
          <w:rFonts w:hint="eastAsia" w:ascii="仿宋_GB2312" w:hAnsi="仿宋" w:eastAsia="仿宋_GB2312" w:cs="宋体"/>
          <w:color w:val="000000"/>
          <w:kern w:val="0"/>
          <w:sz w:val="32"/>
          <w:szCs w:val="32"/>
        </w:rPr>
        <w:t>总占地面积约5.51公顷，总建筑面积约1.7万平方米。</w:t>
      </w:r>
      <w:bookmarkEnd w:id="2"/>
    </w:p>
    <w:p>
      <w:pPr>
        <w:spacing w:line="560" w:lineRule="exact"/>
        <w:ind w:firstLine="640" w:firstLineChars="200"/>
        <w:contextualSpacing/>
        <w:rPr>
          <w:rFonts w:hint="eastAsia" w:ascii="仿宋_GB2312" w:hAnsi="仿宋" w:eastAsia="仿宋_GB2312" w:cs="宋体"/>
          <w:color w:val="000000"/>
          <w:kern w:val="0"/>
          <w:sz w:val="32"/>
          <w:szCs w:val="32"/>
        </w:rPr>
      </w:pPr>
      <w:r>
        <w:rPr>
          <w:rFonts w:hint="eastAsia" w:ascii="黑体" w:hAnsi="黑体" w:eastAsia="黑体"/>
          <w:sz w:val="32"/>
          <w:szCs w:val="32"/>
        </w:rPr>
        <w:t>二、房屋征收主体及实施单位</w:t>
      </w:r>
    </w:p>
    <w:p>
      <w:pPr>
        <w:spacing w:line="560" w:lineRule="exact"/>
        <w:ind w:firstLine="640" w:firstLineChars="200"/>
        <w:contextualSpacing/>
        <w:rPr>
          <w:rFonts w:hint="eastAsia" w:ascii="仿宋_GB2312" w:hAnsi="仿宋" w:eastAsia="仿宋_GB2312" w:cs="宋体"/>
          <w:color w:val="000000"/>
          <w:kern w:val="0"/>
          <w:sz w:val="32"/>
          <w:szCs w:val="32"/>
        </w:rPr>
      </w:pPr>
      <w:bookmarkStart w:id="3" w:name="_Hlk159850506"/>
      <w:r>
        <w:rPr>
          <w:rFonts w:hint="eastAsia" w:ascii="仿宋_GB2312" w:hAnsi="仿宋" w:eastAsia="仿宋_GB2312" w:cs="宋体"/>
          <w:color w:val="000000"/>
          <w:kern w:val="0"/>
          <w:sz w:val="32"/>
          <w:szCs w:val="32"/>
        </w:rPr>
        <w:t>房屋征收主体为北京市密云区人民政府（以下简称区政府）。</w:t>
      </w:r>
    </w:p>
    <w:p>
      <w:pPr>
        <w:spacing w:line="560" w:lineRule="exact"/>
        <w:ind w:firstLine="640" w:firstLineChars="200"/>
        <w:contextualSpacing/>
        <w:rPr>
          <w:rFonts w:hint="eastAsia" w:ascii="仿宋_GB2312" w:hAnsi="仿宋" w:eastAsia="仿宋_GB2312" w:cs="宋体"/>
          <w:color w:val="000000"/>
          <w:kern w:val="0"/>
          <w:sz w:val="32"/>
          <w:szCs w:val="32"/>
        </w:rPr>
      </w:pPr>
      <w:r>
        <w:rPr>
          <w:rFonts w:hint="eastAsia" w:ascii="仿宋_GB2312" w:hAnsi="仿宋_GB2312" w:eastAsia="仿宋_GB2312" w:cs="仿宋_GB2312"/>
          <w:color w:val="000000"/>
          <w:kern w:val="0"/>
          <w:sz w:val="32"/>
          <w:szCs w:val="32"/>
        </w:rPr>
        <w:t>房屋征收部门为北京市密云区人民政府房屋征收办公室</w:t>
      </w:r>
      <w:r>
        <w:rPr>
          <w:rFonts w:hint="eastAsia" w:ascii="仿宋_GB2312" w:hAnsi="仿宋" w:eastAsia="仿宋_GB2312" w:cs="宋体"/>
          <w:color w:val="000000"/>
          <w:kern w:val="0"/>
          <w:sz w:val="32"/>
          <w:szCs w:val="32"/>
        </w:rPr>
        <w:t>（以下简称区征收办），负责组织实施本项目房屋征收与补偿工作。</w:t>
      </w:r>
    </w:p>
    <w:p>
      <w:pPr>
        <w:spacing w:line="560" w:lineRule="exact"/>
        <w:ind w:firstLine="640" w:firstLineChars="200"/>
        <w:contextualSpacing/>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北京市密云区房屋征收事务中心（以下简称征收事务中心）受区征收办委托，作为房屋征收实施单位承担本项目房屋征收与补偿的具体实施工作。</w:t>
      </w:r>
    </w:p>
    <w:bookmarkEnd w:id="3"/>
    <w:p>
      <w:pPr>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三、</w:t>
      </w:r>
      <w:bookmarkStart w:id="4" w:name="_Hlk159852727"/>
      <w:r>
        <w:rPr>
          <w:rFonts w:hint="eastAsia" w:ascii="黑体" w:hAnsi="黑体" w:eastAsia="黑体" w:cs="宋体"/>
          <w:color w:val="000000"/>
          <w:kern w:val="0"/>
          <w:sz w:val="32"/>
          <w:szCs w:val="32"/>
        </w:rPr>
        <w:t>认定机构及职责</w:t>
      </w:r>
      <w:bookmarkEnd w:id="4"/>
    </w:p>
    <w:p>
      <w:pPr>
        <w:spacing w:line="560" w:lineRule="exact"/>
        <w:ind w:firstLine="640" w:firstLineChars="200"/>
        <w:contextualSpacing/>
        <w:rPr>
          <w:rFonts w:hint="eastAsia" w:ascii="仿宋_GB2312" w:hAnsi="宋体" w:eastAsia="仿宋_GB2312"/>
          <w:sz w:val="32"/>
          <w:szCs w:val="32"/>
        </w:rPr>
      </w:pPr>
      <w:bookmarkStart w:id="5" w:name="_Hlk159852718"/>
      <w:r>
        <w:rPr>
          <w:rFonts w:hint="eastAsia" w:ascii="仿宋_GB2312" w:hAnsi="宋体" w:eastAsia="仿宋_GB2312"/>
          <w:sz w:val="32"/>
          <w:szCs w:val="32"/>
        </w:rPr>
        <w:t>本项目相关认定工作由区征收办牵头组织成立认定工作组，依法开展认定工作。认定工作组成员由区征收办、区住建委、区规自分局、区司法局、区市场监管局、区国资委、鼓楼街道等单位组成。</w:t>
      </w:r>
    </w:p>
    <w:p>
      <w:pPr>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认定工作组按照国有土地上房屋征收的相关法律、法规和规范性文件，遵循“依法依规、实事求是、尊重历史、合情合理”的原则，依据</w:t>
      </w:r>
      <w:r>
        <w:rPr>
          <w:rFonts w:hint="eastAsia" w:ascii="仿宋_GB2312" w:hAnsi="仿宋_GB2312" w:eastAsia="仿宋_GB2312" w:cs="仿宋_GB2312"/>
          <w:color w:val="000000"/>
          <w:kern w:val="0"/>
          <w:sz w:val="32"/>
          <w:szCs w:val="32"/>
        </w:rPr>
        <w:t>《国有土地使用证》</w:t>
      </w:r>
      <w:r>
        <w:rPr>
          <w:rFonts w:hint="eastAsia" w:ascii="仿宋_GB2312" w:hAnsi="黑体" w:eastAsia="仿宋_GB2312" w:cs="宋体"/>
          <w:color w:val="000000"/>
          <w:kern w:val="0"/>
          <w:sz w:val="32"/>
          <w:szCs w:val="32"/>
        </w:rPr>
        <w:t>《房屋所有权证》</w:t>
      </w:r>
      <w:r>
        <w:rPr>
          <w:rFonts w:hint="eastAsia" w:ascii="仿宋_GB2312" w:hAnsi="仿宋_GB2312" w:eastAsia="仿宋_GB2312" w:cs="仿宋_GB2312"/>
          <w:color w:val="000000"/>
          <w:kern w:val="0"/>
          <w:sz w:val="32"/>
          <w:szCs w:val="32"/>
        </w:rPr>
        <w:t>《不动产权证书》</w:t>
      </w:r>
      <w:r>
        <w:rPr>
          <w:rFonts w:hint="eastAsia" w:ascii="仿宋_GB2312" w:hAnsi="黑体" w:eastAsia="仿宋_GB2312" w:cs="宋体"/>
          <w:color w:val="000000"/>
          <w:kern w:val="0"/>
          <w:sz w:val="32"/>
          <w:szCs w:val="32"/>
        </w:rPr>
        <w:t>等合法有效批准文件，</w:t>
      </w:r>
      <w:r>
        <w:rPr>
          <w:rFonts w:hint="eastAsia" w:ascii="仿宋_GB2312" w:hAnsi="宋体" w:eastAsia="仿宋_GB2312"/>
          <w:sz w:val="32"/>
          <w:szCs w:val="32"/>
        </w:rPr>
        <w:t>对</w:t>
      </w:r>
      <w:r>
        <w:rPr>
          <w:rFonts w:hint="eastAsia" w:ascii="仿宋_GB2312" w:hAnsi="黑体" w:eastAsia="仿宋_GB2312" w:cs="宋体"/>
          <w:snapToGrid w:val="0"/>
          <w:kern w:val="0"/>
          <w:sz w:val="32"/>
          <w:szCs w:val="32"/>
        </w:rPr>
        <w:t>被征收人、用途、土地使用权类型、面积等事项进行认定。</w:t>
      </w:r>
    </w:p>
    <w:bookmarkEnd w:id="5"/>
    <w:p>
      <w:pPr>
        <w:keepNext w:val="0"/>
        <w:keepLines w:val="0"/>
        <w:pageBreakBefore w:val="0"/>
        <w:widowControl w:val="0"/>
        <w:kinsoku/>
        <w:wordWrap/>
        <w:overflowPunct/>
        <w:topLinePunct w:val="0"/>
        <w:autoSpaceDE/>
        <w:autoSpaceDN/>
        <w:bidi w:val="0"/>
        <w:adjustRightInd/>
        <w:snapToGrid/>
        <w:spacing w:line="580" w:lineRule="exact"/>
        <w:ind w:firstLine="640" w:firstLineChars="200"/>
        <w:contextualSpacing/>
        <w:textAlignment w:val="auto"/>
        <w:outlineLvl w:val="9"/>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cs="宋体"/>
          <w:color w:val="000000"/>
          <w:kern w:val="0"/>
          <w:sz w:val="32"/>
          <w:szCs w:val="32"/>
        </w:rPr>
        <w:t>征收评估机构</w:t>
      </w:r>
    </w:p>
    <w:p>
      <w:pPr>
        <w:widowControl/>
        <w:overflowPunct w:val="0"/>
        <w:adjustRightInd w:val="0"/>
        <w:spacing w:line="560" w:lineRule="exact"/>
        <w:ind w:firstLine="643"/>
        <w:contextualSpacing/>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按照规定程序，区征收办组织被征收人通过协商投票的方式选定了</w:t>
      </w:r>
      <w:r>
        <w:rPr>
          <w:rFonts w:hint="eastAsia" w:ascii="仿宋_GB2312" w:hAnsi="仿宋_GB2312" w:eastAsia="仿宋_GB2312" w:cs="仿宋_GB2312"/>
          <w:kern w:val="0"/>
          <w:sz w:val="32"/>
          <w:szCs w:val="32"/>
        </w:rPr>
        <w:t>北京北方亚事房地产土地评估有限公司</w:t>
      </w:r>
      <w:r>
        <w:rPr>
          <w:rFonts w:hint="eastAsia" w:ascii="仿宋_GB2312" w:hAnsi="仿宋_GB2312" w:eastAsia="仿宋_GB2312" w:cs="仿宋_GB2312"/>
          <w:color w:val="000000"/>
          <w:kern w:val="0"/>
          <w:sz w:val="32"/>
          <w:szCs w:val="32"/>
        </w:rPr>
        <w:t>为本项目房地产价格评估机构（以下简称房地产评估机构）。房地产评估机构根据相关法律、法规，负责对土地使用权价值、被征收房屋重置成新价和装修、设备及附属物等价值进行评估。本项目大型设备迁移及补偿费由资产评估机构负责评估。</w:t>
      </w:r>
    </w:p>
    <w:p>
      <w:pPr>
        <w:widowControl/>
        <w:spacing w:line="560" w:lineRule="exact"/>
        <w:ind w:firstLine="643"/>
        <w:contextualSpacing/>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五、征收决定</w:t>
      </w:r>
    </w:p>
    <w:p>
      <w:pPr>
        <w:widowControl/>
        <w:spacing w:line="560" w:lineRule="exact"/>
        <w:ind w:firstLine="643"/>
        <w:contextualSpacing/>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区征收办报请区政府依法作出征收决定并发布公告</w:t>
      </w:r>
      <w:r>
        <w:rPr>
          <w:rFonts w:hint="eastAsia" w:ascii="仿宋_GB2312" w:hAnsi="仿宋_GB2312" w:eastAsia="仿宋_GB2312" w:cs="仿宋_GB2312"/>
          <w:sz w:val="32"/>
          <w:szCs w:val="32"/>
        </w:rPr>
        <w:t>。</w:t>
      </w:r>
    </w:p>
    <w:p>
      <w:pPr>
        <w:widowControl/>
        <w:spacing w:line="560" w:lineRule="exact"/>
        <w:ind w:firstLine="640" w:firstLineChars="200"/>
        <w:contextualSpacing/>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六、补偿决定</w:t>
      </w:r>
    </w:p>
    <w:p>
      <w:pPr>
        <w:widowControl/>
        <w:spacing w:line="560" w:lineRule="exact"/>
        <w:ind w:firstLine="640" w:firstLineChars="200"/>
        <w:contextualSpacing/>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被征收人在房屋征收决定公告的签约期内达不成征收补偿协议，或被征收房屋所有权人不明确的，由区征收办报请区政府作出征收补偿决定，并在房屋征收范围内予以公告。</w:t>
      </w:r>
    </w:p>
    <w:p>
      <w:pPr>
        <w:widowControl/>
        <w:spacing w:line="560" w:lineRule="exact"/>
        <w:ind w:firstLine="640" w:firstLineChars="200"/>
        <w:contextualSpacing/>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被征收人对征收补偿决定不服的，可以在法定期限内申请行政复议或提起行政诉讼。</w:t>
      </w:r>
    </w:p>
    <w:p>
      <w:pPr>
        <w:widowControl/>
        <w:spacing w:line="560" w:lineRule="exact"/>
        <w:ind w:firstLine="640" w:firstLineChars="200"/>
        <w:contextualSpacing/>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七、强制执行</w:t>
      </w:r>
    </w:p>
    <w:p>
      <w:pPr>
        <w:spacing w:line="560" w:lineRule="exact"/>
        <w:ind w:firstLine="640" w:firstLineChars="200"/>
        <w:contextualSpacing/>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被征收人在法定期限内不申请行政复议或者不提起行政诉讼，在征收补偿决定规定的期限内又不搬迁的，由区政府依法申请人民法院强制执行。</w:t>
      </w:r>
    </w:p>
    <w:p>
      <w:pPr>
        <w:spacing w:line="560" w:lineRule="exact"/>
        <w:contextualSpacing/>
        <w:jc w:val="center"/>
        <w:rPr>
          <w:rFonts w:hint="eastAsia" w:ascii="黑体" w:hAnsi="黑体" w:eastAsia="黑体"/>
          <w:sz w:val="32"/>
          <w:szCs w:val="32"/>
        </w:rPr>
      </w:pPr>
    </w:p>
    <w:p>
      <w:pPr>
        <w:spacing w:line="560" w:lineRule="exact"/>
        <w:contextualSpacing/>
        <w:jc w:val="center"/>
        <w:rPr>
          <w:rFonts w:hint="eastAsia" w:ascii="黑体" w:hAnsi="黑体" w:eastAsia="黑体"/>
          <w:sz w:val="32"/>
          <w:szCs w:val="32"/>
        </w:rPr>
      </w:pPr>
      <w:r>
        <w:rPr>
          <w:rFonts w:hint="eastAsia" w:ascii="黑体" w:hAnsi="黑体" w:eastAsia="黑体"/>
          <w:sz w:val="32"/>
          <w:szCs w:val="32"/>
        </w:rPr>
        <w:t>第二章  被征收房屋的相关认定</w:t>
      </w:r>
    </w:p>
    <w:p>
      <w:pPr>
        <w:spacing w:line="560" w:lineRule="exact"/>
        <w:contextualSpacing/>
        <w:jc w:val="center"/>
        <w:rPr>
          <w:rFonts w:hint="eastAsia" w:ascii="黑体" w:hAnsi="黑体" w:eastAsia="黑体"/>
          <w:sz w:val="32"/>
          <w:szCs w:val="32"/>
        </w:rPr>
      </w:pPr>
    </w:p>
    <w:p>
      <w:pPr>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一、被征收人、用途、土地使用权类型认定</w:t>
      </w:r>
    </w:p>
    <w:p>
      <w:pPr>
        <w:spacing w:line="560" w:lineRule="exact"/>
        <w:ind w:firstLine="640" w:firstLineChars="200"/>
        <w:contextualSpacing/>
        <w:rPr>
          <w:rFonts w:hint="eastAsia" w:ascii="仿宋_GB2312" w:hAnsi="仿宋_GB2312" w:eastAsia="仿宋_GB2312" w:cs="仿宋_GB2312"/>
          <w:color w:val="000000"/>
          <w:kern w:val="0"/>
          <w:sz w:val="32"/>
          <w:szCs w:val="32"/>
        </w:rPr>
      </w:pPr>
      <w:r>
        <w:rPr>
          <w:rFonts w:hint="eastAsia" w:ascii="仿宋_GB2312" w:hAnsi="黑体" w:eastAsia="仿宋_GB2312" w:cs="宋体"/>
          <w:color w:val="000000"/>
          <w:kern w:val="0"/>
          <w:sz w:val="32"/>
          <w:szCs w:val="32"/>
        </w:rPr>
        <w:t>取得</w:t>
      </w:r>
      <w:r>
        <w:rPr>
          <w:rFonts w:hint="eastAsia" w:ascii="仿宋_GB2312" w:hAnsi="仿宋_GB2312" w:eastAsia="仿宋_GB2312" w:cs="仿宋_GB2312"/>
          <w:color w:val="000000"/>
          <w:kern w:val="0"/>
          <w:sz w:val="32"/>
          <w:szCs w:val="32"/>
        </w:rPr>
        <w:t>《国有土地使用证》《房屋所有权证》《不动产权证书》</w:t>
      </w:r>
      <w:r>
        <w:rPr>
          <w:rFonts w:hint="eastAsia" w:ascii="仿宋_GB2312" w:hAnsi="黑体" w:eastAsia="仿宋_GB2312" w:cs="宋体"/>
          <w:color w:val="000000"/>
          <w:kern w:val="0"/>
          <w:sz w:val="32"/>
          <w:szCs w:val="32"/>
        </w:rPr>
        <w:t>等</w:t>
      </w:r>
      <w:r>
        <w:rPr>
          <w:rFonts w:hint="eastAsia" w:ascii="仿宋_GB2312" w:hAnsi="仿宋_GB2312" w:eastAsia="仿宋_GB2312" w:cs="仿宋_GB2312"/>
          <w:color w:val="000000"/>
          <w:kern w:val="0"/>
          <w:sz w:val="32"/>
          <w:szCs w:val="32"/>
        </w:rPr>
        <w:t>合法有效批准文件的，按照批准文件载明的权利人、用途、土地使用权类型等事项进行认定。</w:t>
      </w:r>
    </w:p>
    <w:p>
      <w:pPr>
        <w:pStyle w:val="2"/>
        <w:ind w:firstLine="640"/>
        <w:rPr>
          <w:rFonts w:hint="eastAsia"/>
        </w:rPr>
      </w:pPr>
      <w:r>
        <w:rPr>
          <w:rFonts w:hint="eastAsia" w:ascii="仿宋_GB2312" w:hAnsi="仿宋_GB2312" w:eastAsia="仿宋_GB2312" w:cs="仿宋_GB2312"/>
          <w:color w:val="000000"/>
          <w:kern w:val="0"/>
          <w:sz w:val="32"/>
          <w:szCs w:val="32"/>
        </w:rPr>
        <w:t>无上述文件的，由认定工作组结合实际情况进行认定。</w:t>
      </w:r>
    </w:p>
    <w:p>
      <w:pPr>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二、占地面积认定</w:t>
      </w:r>
    </w:p>
    <w:p>
      <w:pPr>
        <w:widowControl/>
        <w:overflowPunct w:val="0"/>
        <w:adjustRightInd w:val="0"/>
        <w:spacing w:line="560" w:lineRule="exact"/>
        <w:ind w:firstLine="660"/>
        <w:contextualSpacing/>
        <w:rPr>
          <w:rFonts w:hint="eastAsia" w:ascii="仿宋_GB2312" w:hAnsi="仿宋_GB2312" w:eastAsia="仿宋_GB2312" w:cs="仿宋_GB2312"/>
          <w:color w:val="000000"/>
          <w:kern w:val="0"/>
          <w:sz w:val="32"/>
          <w:szCs w:val="32"/>
        </w:rPr>
      </w:pPr>
      <w:bookmarkStart w:id="6" w:name="_Hlk159515404"/>
      <w:r>
        <w:rPr>
          <w:rFonts w:hint="eastAsia" w:ascii="仿宋_GB2312" w:hAnsi="黑体" w:eastAsia="仿宋_GB2312" w:cs="宋体"/>
          <w:color w:val="000000"/>
          <w:kern w:val="0"/>
          <w:sz w:val="32"/>
          <w:szCs w:val="32"/>
        </w:rPr>
        <w:t>取得</w:t>
      </w:r>
      <w:r>
        <w:rPr>
          <w:rFonts w:hint="eastAsia" w:ascii="仿宋_GB2312" w:hAnsi="仿宋_GB2312" w:eastAsia="仿宋_GB2312" w:cs="仿宋_GB2312"/>
          <w:color w:val="000000"/>
          <w:kern w:val="0"/>
          <w:sz w:val="32"/>
          <w:szCs w:val="32"/>
        </w:rPr>
        <w:t>《国有土地使用证》《不动产权证书》</w:t>
      </w:r>
      <w:r>
        <w:rPr>
          <w:rFonts w:hint="eastAsia" w:ascii="仿宋_GB2312" w:hAnsi="黑体" w:eastAsia="仿宋_GB2312" w:cs="宋体"/>
          <w:color w:val="000000"/>
          <w:kern w:val="0"/>
          <w:sz w:val="32"/>
          <w:szCs w:val="32"/>
        </w:rPr>
        <w:t>等</w:t>
      </w:r>
      <w:r>
        <w:rPr>
          <w:rFonts w:hint="eastAsia" w:ascii="仿宋_GB2312" w:hAnsi="仿宋_GB2312" w:eastAsia="仿宋_GB2312" w:cs="仿宋_GB2312"/>
          <w:color w:val="000000"/>
          <w:kern w:val="0"/>
          <w:sz w:val="32"/>
          <w:szCs w:val="32"/>
        </w:rPr>
        <w:t>合法有效批准文件的，按照批准文件载明的占地面积进行认定。</w:t>
      </w:r>
    </w:p>
    <w:p>
      <w:pPr>
        <w:widowControl/>
        <w:overflowPunct w:val="0"/>
        <w:adjustRightInd w:val="0"/>
        <w:spacing w:line="560" w:lineRule="exact"/>
        <w:ind w:firstLine="660"/>
        <w:contextualSpacing/>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无上述文件的，由认定工作组结合实际情况进行认定。</w:t>
      </w:r>
    </w:p>
    <w:bookmarkEnd w:id="6"/>
    <w:p>
      <w:pPr>
        <w:widowControl/>
        <w:overflowPunct w:val="0"/>
        <w:adjustRightInd w:val="0"/>
        <w:spacing w:line="560" w:lineRule="exact"/>
        <w:ind w:firstLine="660"/>
        <w:contextualSpacing/>
        <w:rPr>
          <w:rFonts w:hint="eastAsia" w:ascii="黑体" w:hAnsi="黑体" w:eastAsia="黑体"/>
          <w:sz w:val="32"/>
          <w:szCs w:val="32"/>
        </w:rPr>
      </w:pPr>
      <w:r>
        <w:rPr>
          <w:rFonts w:hint="eastAsia" w:ascii="黑体" w:hAnsi="黑体" w:eastAsia="黑体"/>
          <w:sz w:val="32"/>
          <w:szCs w:val="32"/>
        </w:rPr>
        <w:t>三、建筑面积认定</w:t>
      </w:r>
    </w:p>
    <w:p>
      <w:pPr>
        <w:widowControl/>
        <w:overflowPunct w:val="0"/>
        <w:adjustRightInd w:val="0"/>
        <w:spacing w:line="560" w:lineRule="exact"/>
        <w:ind w:firstLine="660"/>
        <w:contextualSpacing/>
        <w:rPr>
          <w:rFonts w:hint="eastAsia" w:ascii="仿宋_GB2312" w:hAnsi="黑体" w:eastAsia="仿宋_GB2312" w:cs="宋体"/>
          <w:color w:val="000000"/>
          <w:kern w:val="0"/>
          <w:sz w:val="32"/>
          <w:szCs w:val="32"/>
        </w:rPr>
      </w:pPr>
      <w:bookmarkStart w:id="7" w:name="_Hlk159515427"/>
      <w:r>
        <w:rPr>
          <w:rFonts w:hint="eastAsia" w:ascii="仿宋_GB2312" w:hAnsi="黑体" w:eastAsia="仿宋_GB2312" w:cs="宋体"/>
          <w:color w:val="000000"/>
          <w:kern w:val="0"/>
          <w:sz w:val="32"/>
          <w:szCs w:val="32"/>
        </w:rPr>
        <w:t>取得《房屋所有权证》</w:t>
      </w:r>
      <w:r>
        <w:rPr>
          <w:rFonts w:hint="eastAsia" w:ascii="仿宋_GB2312" w:hAnsi="仿宋_GB2312" w:eastAsia="仿宋_GB2312" w:cs="仿宋_GB2312"/>
          <w:color w:val="000000"/>
          <w:kern w:val="0"/>
          <w:sz w:val="32"/>
          <w:szCs w:val="32"/>
        </w:rPr>
        <w:t>《不动产权证书》等合法有效批准文件的</w:t>
      </w:r>
      <w:r>
        <w:rPr>
          <w:rFonts w:hint="eastAsia" w:ascii="仿宋_GB2312" w:hAnsi="黑体" w:eastAsia="仿宋_GB2312" w:cs="宋体"/>
          <w:color w:val="000000"/>
          <w:kern w:val="0"/>
          <w:sz w:val="32"/>
          <w:szCs w:val="32"/>
        </w:rPr>
        <w:t>，按照</w:t>
      </w:r>
      <w:r>
        <w:rPr>
          <w:rFonts w:hint="eastAsia" w:ascii="仿宋_GB2312" w:hAnsi="仿宋_GB2312" w:eastAsia="仿宋_GB2312" w:cs="仿宋_GB2312"/>
          <w:color w:val="000000"/>
          <w:kern w:val="0"/>
          <w:sz w:val="32"/>
          <w:szCs w:val="32"/>
        </w:rPr>
        <w:t>批准文件载明的建筑面积</w:t>
      </w:r>
      <w:r>
        <w:rPr>
          <w:rFonts w:hint="eastAsia" w:ascii="仿宋_GB2312" w:hAnsi="黑体" w:eastAsia="仿宋_GB2312" w:cs="宋体"/>
          <w:color w:val="000000"/>
          <w:kern w:val="0"/>
          <w:sz w:val="32"/>
          <w:szCs w:val="32"/>
        </w:rPr>
        <w:t>进行认定。</w:t>
      </w:r>
      <w:r>
        <w:rPr>
          <w:rFonts w:hint="eastAsia" w:ascii="仿宋_GB2312" w:hAnsi="仿宋_GB2312" w:eastAsia="仿宋_GB2312" w:cs="仿宋_GB2312"/>
          <w:color w:val="000000"/>
          <w:kern w:val="0"/>
          <w:sz w:val="32"/>
          <w:szCs w:val="32"/>
        </w:rPr>
        <w:t>未取得</w:t>
      </w:r>
      <w:r>
        <w:rPr>
          <w:rFonts w:hint="eastAsia" w:ascii="仿宋_GB2312" w:hAnsi="黑体" w:eastAsia="仿宋_GB2312" w:cs="宋体"/>
          <w:color w:val="000000"/>
          <w:kern w:val="0"/>
          <w:sz w:val="32"/>
          <w:szCs w:val="32"/>
        </w:rPr>
        <w:t>《房屋所有权证》</w:t>
      </w:r>
      <w:r>
        <w:rPr>
          <w:rFonts w:hint="eastAsia" w:ascii="仿宋_GB2312" w:hAnsi="仿宋_GB2312" w:eastAsia="仿宋_GB2312" w:cs="仿宋_GB2312"/>
          <w:color w:val="000000"/>
          <w:kern w:val="0"/>
          <w:sz w:val="32"/>
          <w:szCs w:val="32"/>
        </w:rPr>
        <w:t>《不动产权证书》，但取得发改、规划等部门批准文件的，按照批准文件载明的建筑面积进行认定。</w:t>
      </w:r>
    </w:p>
    <w:p>
      <w:pPr>
        <w:widowControl/>
        <w:overflowPunct w:val="0"/>
        <w:adjustRightInd w:val="0"/>
        <w:spacing w:line="560" w:lineRule="exact"/>
        <w:ind w:firstLine="660"/>
        <w:contextualSpacing/>
        <w:rPr>
          <w:rFonts w:hint="eastAsia" w:ascii="仿宋_GB2312" w:hAnsi="仿宋_GB2312" w:eastAsia="仿宋_GB2312" w:cs="仿宋_GB2312"/>
          <w:color w:val="000000"/>
          <w:kern w:val="0"/>
          <w:sz w:val="32"/>
          <w:szCs w:val="32"/>
        </w:rPr>
      </w:pPr>
      <w:r>
        <w:rPr>
          <w:rFonts w:hint="eastAsia" w:ascii="仿宋_GB2312" w:hAnsi="黑体" w:eastAsia="仿宋_GB2312" w:cs="宋体"/>
          <w:color w:val="000000"/>
          <w:kern w:val="0"/>
          <w:sz w:val="32"/>
          <w:szCs w:val="32"/>
        </w:rPr>
        <w:t>未取得《房屋所有权证》</w:t>
      </w:r>
      <w:r>
        <w:rPr>
          <w:rFonts w:hint="eastAsia" w:ascii="仿宋_GB2312" w:hAnsi="仿宋_GB2312" w:eastAsia="仿宋_GB2312" w:cs="仿宋_GB2312"/>
          <w:color w:val="000000"/>
          <w:kern w:val="0"/>
          <w:sz w:val="32"/>
          <w:szCs w:val="32"/>
        </w:rPr>
        <w:t>《不动产权证书》，也未取得发改、规划等部门批准文件的，且未被相关部门认定为违法建设的房屋和未</w:t>
      </w:r>
      <w:r>
        <w:rPr>
          <w:rFonts w:hint="eastAsia" w:ascii="仿宋_GB2312" w:eastAsia="仿宋_GB2312"/>
          <w:color w:val="000000"/>
          <w:sz w:val="32"/>
          <w:szCs w:val="32"/>
          <w:shd w:val="clear" w:color="auto" w:fill="FFFFFF"/>
        </w:rPr>
        <w:t>超过批准期限的临时建筑</w:t>
      </w:r>
      <w:r>
        <w:rPr>
          <w:rFonts w:hint="eastAsia" w:ascii="仿宋_GB2312" w:hAnsi="仿宋_GB2312" w:eastAsia="仿宋_GB2312" w:cs="仿宋_GB2312"/>
          <w:color w:val="000000"/>
          <w:kern w:val="0"/>
          <w:sz w:val="32"/>
          <w:szCs w:val="32"/>
        </w:rPr>
        <w:t>，由认定工作组结合实际情况进行认定。</w:t>
      </w:r>
    </w:p>
    <w:p>
      <w:pPr>
        <w:widowControl/>
        <w:overflowPunct w:val="0"/>
        <w:adjustRightInd w:val="0"/>
        <w:spacing w:line="560" w:lineRule="exact"/>
        <w:ind w:firstLine="660"/>
        <w:contextualSpacing/>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被相关部门认定为违法建设的房屋和</w:t>
      </w:r>
      <w:r>
        <w:rPr>
          <w:rFonts w:hint="eastAsia" w:ascii="仿宋_GB2312" w:eastAsia="仿宋_GB2312"/>
          <w:color w:val="000000"/>
          <w:sz w:val="32"/>
          <w:szCs w:val="32"/>
          <w:shd w:val="clear" w:color="auto" w:fill="FFFFFF"/>
        </w:rPr>
        <w:t>超过批准期限的临时建筑不予认定。</w:t>
      </w:r>
    </w:p>
    <w:bookmarkEnd w:id="7"/>
    <w:p>
      <w:pPr>
        <w:spacing w:line="560" w:lineRule="exact"/>
        <w:ind w:firstLine="640" w:firstLineChars="200"/>
        <w:contextualSpacing/>
        <w:rPr>
          <w:rFonts w:hint="eastAsia" w:ascii="黑体" w:hAnsi="黑体" w:eastAsia="黑体" w:cs="宋体"/>
          <w:snapToGrid w:val="0"/>
          <w:kern w:val="0"/>
          <w:sz w:val="32"/>
          <w:szCs w:val="32"/>
        </w:rPr>
      </w:pPr>
      <w:r>
        <w:rPr>
          <w:rFonts w:hint="eastAsia" w:ascii="黑体" w:hAnsi="黑体" w:eastAsia="黑体" w:cs="宋体"/>
          <w:snapToGrid w:val="0"/>
          <w:kern w:val="0"/>
          <w:sz w:val="32"/>
          <w:szCs w:val="32"/>
        </w:rPr>
        <w:t>四、经营面积认定</w:t>
      </w:r>
    </w:p>
    <w:p>
      <w:pPr>
        <w:spacing w:line="560" w:lineRule="exact"/>
        <w:ind w:firstLine="640" w:firstLineChars="200"/>
        <w:contextualSpacing/>
        <w:rPr>
          <w:rFonts w:hint="eastAsia" w:ascii="仿宋_GB2312" w:hAnsi="黑体" w:eastAsia="仿宋_GB2312" w:cs="宋体"/>
          <w:snapToGrid w:val="0"/>
          <w:kern w:val="0"/>
          <w:sz w:val="32"/>
          <w:szCs w:val="32"/>
        </w:rPr>
      </w:pPr>
      <w:r>
        <w:rPr>
          <w:rFonts w:hint="eastAsia" w:ascii="仿宋_GB2312" w:hAnsi="黑体" w:eastAsia="仿宋_GB2312" w:cs="宋体"/>
          <w:snapToGrid w:val="0"/>
          <w:kern w:val="0"/>
          <w:sz w:val="32"/>
          <w:szCs w:val="32"/>
        </w:rPr>
        <w:t>利用房屋或场地进行实际生产经营，经认定工作组认定可认定为经营面积。利用房屋进行经营的认定经营面积最大不超过认定的建筑面积，利用场地进行经营的认定经营面积最大不超过认定的占地面积。</w:t>
      </w:r>
    </w:p>
    <w:p>
      <w:pPr>
        <w:spacing w:line="560" w:lineRule="exact"/>
        <w:ind w:firstLine="640" w:firstLineChars="200"/>
        <w:contextualSpacing/>
        <w:rPr>
          <w:rFonts w:hint="eastAsia" w:ascii="黑体" w:hAnsi="黑体" w:eastAsia="黑体" w:cs="宋体"/>
          <w:snapToGrid w:val="0"/>
          <w:kern w:val="0"/>
          <w:sz w:val="32"/>
          <w:szCs w:val="32"/>
        </w:rPr>
      </w:pPr>
      <w:r>
        <w:rPr>
          <w:rFonts w:hint="eastAsia" w:ascii="黑体" w:hAnsi="黑体" w:eastAsia="黑体" w:cs="宋体"/>
          <w:snapToGrid w:val="0"/>
          <w:kern w:val="0"/>
          <w:sz w:val="32"/>
          <w:szCs w:val="32"/>
        </w:rPr>
        <w:t>五、认定结果公示</w:t>
      </w:r>
    </w:p>
    <w:p>
      <w:pPr>
        <w:widowControl/>
        <w:spacing w:line="560" w:lineRule="exact"/>
        <w:ind w:firstLine="640"/>
        <w:contextualSpacing/>
        <w:rPr>
          <w:rFonts w:hint="eastAsia" w:ascii="仿宋_GB2312" w:hAnsi="黑体" w:eastAsia="仿宋_GB2312" w:cs="宋体"/>
          <w:snapToGrid w:val="0"/>
          <w:kern w:val="0"/>
          <w:sz w:val="32"/>
          <w:szCs w:val="32"/>
        </w:rPr>
      </w:pPr>
      <w:r>
        <w:rPr>
          <w:rFonts w:hint="eastAsia" w:ascii="仿宋_GB2312" w:hAnsi="黑体" w:eastAsia="仿宋_GB2312" w:cs="宋体"/>
          <w:snapToGrid w:val="0"/>
          <w:kern w:val="0"/>
          <w:sz w:val="32"/>
          <w:szCs w:val="32"/>
        </w:rPr>
        <w:t>经认定工作组认定的结果，在本项目征收范围内进行公示。在公示期内，被征收人或相关权利人未对认定结果提出异议的，公示期届满后，认定结果生效并作为补偿依据。</w:t>
      </w:r>
    </w:p>
    <w:p>
      <w:pPr>
        <w:widowControl/>
        <w:spacing w:line="560" w:lineRule="exact"/>
        <w:ind w:firstLine="640"/>
        <w:contextualSpacing/>
        <w:rPr>
          <w:rFonts w:hint="eastAsia" w:ascii="仿宋_GB2312" w:hAnsi="黑体" w:eastAsia="仿宋_GB2312" w:cs="宋体"/>
          <w:snapToGrid w:val="0"/>
          <w:kern w:val="0"/>
          <w:sz w:val="32"/>
          <w:szCs w:val="32"/>
        </w:rPr>
      </w:pPr>
      <w:r>
        <w:rPr>
          <w:rFonts w:hint="eastAsia" w:ascii="仿宋_GB2312" w:hAnsi="黑体" w:eastAsia="仿宋_GB2312" w:cs="宋体"/>
          <w:snapToGrid w:val="0"/>
          <w:kern w:val="0"/>
          <w:sz w:val="32"/>
          <w:szCs w:val="32"/>
        </w:rPr>
        <w:t>对认定结果有异议的，被征收人或相关权利人应在公示期内向认定工作组提出书面意见并提供相关证明材料，</w:t>
      </w:r>
      <w:bookmarkStart w:id="8" w:name="_Hlk88818296"/>
      <w:r>
        <w:rPr>
          <w:rFonts w:hint="eastAsia" w:ascii="仿宋_GB2312" w:hAnsi="黑体" w:eastAsia="仿宋_GB2312" w:cs="宋体"/>
          <w:snapToGrid w:val="0"/>
          <w:kern w:val="0"/>
          <w:sz w:val="32"/>
          <w:szCs w:val="32"/>
        </w:rPr>
        <w:t>经认定工作组核实后改变原认定结果的，作为最终认定结果进行再次公示</w:t>
      </w:r>
      <w:bookmarkEnd w:id="8"/>
      <w:r>
        <w:rPr>
          <w:rFonts w:hint="eastAsia" w:ascii="仿宋_GB2312" w:hAnsi="黑体" w:eastAsia="仿宋_GB2312" w:cs="宋体"/>
          <w:snapToGrid w:val="0"/>
          <w:kern w:val="0"/>
          <w:sz w:val="32"/>
          <w:szCs w:val="32"/>
        </w:rPr>
        <w:t>。最终认定结果作为补偿依据。</w:t>
      </w:r>
    </w:p>
    <w:p>
      <w:pPr>
        <w:spacing w:line="560" w:lineRule="exact"/>
        <w:contextualSpacing/>
        <w:jc w:val="center"/>
        <w:rPr>
          <w:rFonts w:hint="eastAsia" w:ascii="黑体" w:hAnsi="黑体" w:eastAsia="黑体"/>
          <w:sz w:val="32"/>
          <w:szCs w:val="32"/>
        </w:rPr>
      </w:pPr>
    </w:p>
    <w:p>
      <w:pPr>
        <w:spacing w:line="560" w:lineRule="exact"/>
        <w:contextualSpacing/>
        <w:jc w:val="center"/>
        <w:rPr>
          <w:rFonts w:hint="eastAsia" w:ascii="黑体" w:hAnsi="黑体" w:eastAsia="黑体"/>
          <w:sz w:val="32"/>
          <w:szCs w:val="32"/>
        </w:rPr>
      </w:pPr>
      <w:r>
        <w:rPr>
          <w:rFonts w:hint="eastAsia" w:ascii="黑体" w:hAnsi="黑体" w:eastAsia="黑体"/>
          <w:sz w:val="32"/>
          <w:szCs w:val="32"/>
        </w:rPr>
        <w:t>第三章  被征收房屋的补偿</w:t>
      </w:r>
    </w:p>
    <w:p>
      <w:pPr>
        <w:spacing w:line="560" w:lineRule="exact"/>
        <w:contextualSpacing/>
        <w:jc w:val="center"/>
        <w:rPr>
          <w:rFonts w:hint="eastAsia" w:ascii="黑体" w:hAnsi="黑体" w:eastAsia="黑体"/>
          <w:sz w:val="32"/>
          <w:szCs w:val="32"/>
        </w:rPr>
      </w:pPr>
    </w:p>
    <w:p>
      <w:pPr>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一、补偿方式及内容</w:t>
      </w:r>
    </w:p>
    <w:p>
      <w:pPr>
        <w:pStyle w:val="8"/>
        <w:spacing w:line="560" w:lineRule="exact"/>
        <w:ind w:firstLine="640" w:firstLineChars="200"/>
        <w:contextualSpacing/>
        <w:jc w:val="both"/>
        <w:textAlignment w:val="baseline"/>
        <w:rPr>
          <w:rFonts w:hint="eastAsia" w:ascii="仿宋_GB2312" w:hAnsi="仿宋_GB2312" w:eastAsia="仿宋_GB2312" w:cs="仿宋_GB2312"/>
          <w:color w:val="000000"/>
          <w:sz w:val="32"/>
          <w:szCs w:val="32"/>
        </w:rPr>
      </w:pPr>
      <w:r>
        <w:rPr>
          <w:rFonts w:hint="eastAsia" w:ascii="仿宋_GB2312" w:hAnsi="仿宋" w:eastAsia="仿宋_GB2312"/>
          <w:color w:val="000000"/>
          <w:sz w:val="32"/>
          <w:szCs w:val="32"/>
        </w:rPr>
        <w:t>本项目补偿方式为货币补偿。</w:t>
      </w:r>
    </w:p>
    <w:p>
      <w:pPr>
        <w:widowControl/>
        <w:spacing w:line="560" w:lineRule="exact"/>
        <w:ind w:firstLine="640"/>
        <w:contextualSpacing/>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货币补偿计算公式如下：</w:t>
      </w:r>
    </w:p>
    <w:p>
      <w:pPr>
        <w:pStyle w:val="8"/>
        <w:spacing w:line="560" w:lineRule="exact"/>
        <w:ind w:firstLine="640" w:firstLineChars="200"/>
        <w:contextualSpacing/>
        <w:jc w:val="both"/>
        <w:textAlignment w:val="baseline"/>
        <w:rPr>
          <w:rFonts w:hint="eastAsia" w:ascii="仿宋_GB2312" w:eastAsia="仿宋_GB2312"/>
          <w:sz w:val="32"/>
          <w:szCs w:val="32"/>
        </w:rPr>
      </w:pPr>
      <w:r>
        <w:rPr>
          <w:rFonts w:hint="eastAsia" w:ascii="仿宋_GB2312" w:hAnsi="仿宋" w:eastAsia="仿宋_GB2312"/>
          <w:color w:val="000000"/>
          <w:sz w:val="32"/>
          <w:szCs w:val="32"/>
        </w:rPr>
        <w:t>货币补偿总额=被征收房屋价值补偿+停产停业损失补偿+搬迁补助费+各项移机、移装费+大型设备迁移或补偿费+</w:t>
      </w:r>
      <w:r>
        <w:rPr>
          <w:rFonts w:hint="eastAsia" w:ascii="仿宋_GB2312" w:eastAsia="仿宋_GB2312"/>
          <w:sz w:val="32"/>
          <w:szCs w:val="32"/>
        </w:rPr>
        <w:t>签约配合奖励</w:t>
      </w:r>
      <w:r>
        <w:rPr>
          <w:rFonts w:hint="eastAsia" w:ascii="仿宋_GB2312" w:hAnsi="仿宋" w:eastAsia="仿宋_GB2312"/>
          <w:color w:val="000000"/>
          <w:sz w:val="32"/>
          <w:szCs w:val="32"/>
        </w:rPr>
        <w:t>+</w:t>
      </w:r>
      <w:r>
        <w:rPr>
          <w:rFonts w:hint="eastAsia" w:ascii="仿宋_GB2312" w:eastAsia="仿宋_GB2312"/>
          <w:sz w:val="32"/>
          <w:szCs w:val="32"/>
        </w:rPr>
        <w:t>提前搬迁奖励</w:t>
      </w:r>
    </w:p>
    <w:p>
      <w:pPr>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二、被征收房屋价值的补偿</w:t>
      </w:r>
    </w:p>
    <w:p>
      <w:pPr>
        <w:spacing w:line="560" w:lineRule="exact"/>
        <w:ind w:firstLine="640" w:firstLineChars="200"/>
        <w:contextualSpacing/>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被征收房屋价值的补偿包括土地使用权价值、房屋重置成新价和装修、设备及附属物价值。</w:t>
      </w:r>
    </w:p>
    <w:p>
      <w:pPr>
        <w:spacing w:line="560" w:lineRule="exact"/>
        <w:ind w:firstLine="640" w:firstLineChars="200"/>
        <w:contextualSpacing/>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土地使用权价值：由选定的房地产评估机构根据《北京市国有土地上房屋征收评估暂行办法》（京建法〔2016〕19号）及《关于进一步规范国有土地上非住宅房屋征收评估与补偿工作的通知》（京建法〔20</w:t>
      </w:r>
      <w:r>
        <w:rPr>
          <w:rFonts w:ascii="仿宋_GB2312" w:hAnsi="宋体" w:eastAsia="仿宋_GB2312" w:cs="宋体"/>
          <w:kern w:val="0"/>
          <w:sz w:val="32"/>
          <w:szCs w:val="32"/>
        </w:rPr>
        <w:t>2</w:t>
      </w:r>
      <w:r>
        <w:rPr>
          <w:rFonts w:hint="eastAsia" w:ascii="仿宋_GB2312" w:hAnsi="宋体" w:eastAsia="仿宋_GB2312" w:cs="宋体"/>
          <w:kern w:val="0"/>
          <w:sz w:val="32"/>
          <w:szCs w:val="32"/>
        </w:rPr>
        <w:t>3〕4号）等相关规定评估确定。土地价值受用途影响，土地使用权价值低于每亩120万元的，该种用途的土地使用权价值按照每亩120万元的标准进行定额补偿。</w:t>
      </w:r>
    </w:p>
    <w:p>
      <w:pPr>
        <w:spacing w:line="560" w:lineRule="exact"/>
        <w:ind w:firstLine="640" w:firstLineChars="200"/>
        <w:contextualSpacing/>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房屋重置成新价和装修、设备及附属物价值：由选定的房地产评估机构根据《北京市房屋重置成新价评估技术标准》(北估秘〔2016〕001号）等相关规定评估确定。根据认定的建筑面积，房屋重置成新价和装修、设备及附属物价值分别低于每平方米1</w:t>
      </w:r>
      <w:r>
        <w:rPr>
          <w:rFonts w:ascii="仿宋_GB2312" w:hAnsi="宋体" w:eastAsia="仿宋_GB2312" w:cs="宋体"/>
          <w:kern w:val="0"/>
          <w:sz w:val="32"/>
          <w:szCs w:val="32"/>
        </w:rPr>
        <w:t>400</w:t>
      </w:r>
      <w:r>
        <w:rPr>
          <w:rFonts w:hint="eastAsia" w:ascii="仿宋_GB2312" w:hAnsi="宋体" w:eastAsia="仿宋_GB2312" w:cs="宋体"/>
          <w:kern w:val="0"/>
          <w:sz w:val="32"/>
          <w:szCs w:val="32"/>
        </w:rPr>
        <w:t>元和每平方米</w:t>
      </w:r>
      <w:r>
        <w:rPr>
          <w:rFonts w:ascii="仿宋_GB2312" w:hAnsi="宋体" w:eastAsia="仿宋_GB2312" w:cs="宋体"/>
          <w:kern w:val="0"/>
          <w:sz w:val="32"/>
          <w:szCs w:val="32"/>
        </w:rPr>
        <w:t>600</w:t>
      </w:r>
      <w:r>
        <w:rPr>
          <w:rFonts w:hint="eastAsia" w:ascii="仿宋_GB2312" w:hAnsi="宋体" w:eastAsia="仿宋_GB2312" w:cs="宋体"/>
          <w:kern w:val="0"/>
          <w:sz w:val="32"/>
          <w:szCs w:val="32"/>
        </w:rPr>
        <w:t>元标准的，按照每平方米1</w:t>
      </w:r>
      <w:r>
        <w:rPr>
          <w:rFonts w:ascii="仿宋_GB2312" w:hAnsi="宋体" w:eastAsia="仿宋_GB2312" w:cs="宋体"/>
          <w:kern w:val="0"/>
          <w:sz w:val="32"/>
          <w:szCs w:val="32"/>
        </w:rPr>
        <w:t>400</w:t>
      </w:r>
      <w:r>
        <w:rPr>
          <w:rFonts w:hint="eastAsia" w:ascii="仿宋_GB2312" w:hAnsi="宋体" w:eastAsia="仿宋_GB2312" w:cs="宋体"/>
          <w:kern w:val="0"/>
          <w:sz w:val="32"/>
          <w:szCs w:val="32"/>
        </w:rPr>
        <w:t>元和每平方米</w:t>
      </w:r>
      <w:r>
        <w:rPr>
          <w:rFonts w:ascii="仿宋_GB2312" w:hAnsi="宋体" w:eastAsia="仿宋_GB2312" w:cs="宋体"/>
          <w:kern w:val="0"/>
          <w:sz w:val="32"/>
          <w:szCs w:val="32"/>
        </w:rPr>
        <w:t>600</w:t>
      </w:r>
      <w:r>
        <w:rPr>
          <w:rFonts w:hint="eastAsia" w:ascii="仿宋_GB2312" w:hAnsi="宋体" w:eastAsia="仿宋_GB2312" w:cs="宋体"/>
          <w:kern w:val="0"/>
          <w:sz w:val="32"/>
          <w:szCs w:val="32"/>
        </w:rPr>
        <w:t>元的标准进行定额补偿；房屋重置成新价和装修、设备及附属物价值分别高于每平方米1</w:t>
      </w:r>
      <w:r>
        <w:rPr>
          <w:rFonts w:ascii="仿宋_GB2312" w:hAnsi="宋体" w:eastAsia="仿宋_GB2312" w:cs="宋体"/>
          <w:kern w:val="0"/>
          <w:sz w:val="32"/>
          <w:szCs w:val="32"/>
        </w:rPr>
        <w:t>400</w:t>
      </w:r>
      <w:r>
        <w:rPr>
          <w:rFonts w:hint="eastAsia" w:ascii="仿宋_GB2312" w:hAnsi="宋体" w:eastAsia="仿宋_GB2312" w:cs="宋体"/>
          <w:kern w:val="0"/>
          <w:sz w:val="32"/>
          <w:szCs w:val="32"/>
        </w:rPr>
        <w:t>元和每平方米</w:t>
      </w:r>
      <w:r>
        <w:rPr>
          <w:rFonts w:ascii="仿宋_GB2312" w:hAnsi="宋体" w:eastAsia="仿宋_GB2312" w:cs="宋体"/>
          <w:kern w:val="0"/>
          <w:sz w:val="32"/>
          <w:szCs w:val="32"/>
        </w:rPr>
        <w:t>600</w:t>
      </w:r>
      <w:r>
        <w:rPr>
          <w:rFonts w:hint="eastAsia" w:ascii="仿宋_GB2312" w:hAnsi="宋体" w:eastAsia="仿宋_GB2312" w:cs="宋体"/>
          <w:kern w:val="0"/>
          <w:sz w:val="32"/>
          <w:szCs w:val="32"/>
        </w:rPr>
        <w:t>元标准的，</w:t>
      </w:r>
      <w:bookmarkStart w:id="9" w:name="_Hlk180052190"/>
      <w:r>
        <w:rPr>
          <w:rFonts w:hint="eastAsia" w:ascii="仿宋_GB2312" w:hAnsi="宋体" w:eastAsia="仿宋_GB2312" w:cs="宋体"/>
          <w:kern w:val="0"/>
          <w:sz w:val="32"/>
          <w:szCs w:val="32"/>
        </w:rPr>
        <w:t>根据房地产评估机构的评估结果据实补偿。</w:t>
      </w:r>
    </w:p>
    <w:bookmarkEnd w:id="9"/>
    <w:p>
      <w:pPr>
        <w:spacing w:line="560" w:lineRule="exact"/>
        <w:ind w:firstLine="640" w:firstLineChars="200"/>
        <w:contextualSpacing/>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被相关部门认定为违法建设的房屋和超过批准期限的临时建筑不予补偿。</w:t>
      </w:r>
    </w:p>
    <w:p>
      <w:pPr>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利用</w:t>
      </w:r>
      <w:r>
        <w:rPr>
          <w:rFonts w:hint="eastAsia" w:ascii="黑体" w:hAnsi="黑体" w:eastAsia="黑体"/>
          <w:sz w:val="32"/>
          <w:szCs w:val="32"/>
        </w:rPr>
        <w:t>被征收房屋</w:t>
      </w:r>
      <w:r>
        <w:rPr>
          <w:rFonts w:hint="eastAsia" w:ascii="黑体" w:hAnsi="黑体" w:eastAsia="黑体"/>
          <w:sz w:val="32"/>
          <w:szCs w:val="32"/>
          <w:lang w:eastAsia="zh-CN"/>
        </w:rPr>
        <w:t>经营的</w:t>
      </w:r>
      <w:r>
        <w:rPr>
          <w:rFonts w:hint="eastAsia" w:ascii="黑体" w:hAnsi="黑体" w:eastAsia="黑体"/>
          <w:sz w:val="32"/>
          <w:szCs w:val="32"/>
        </w:rPr>
        <w:t>停产停业损失补偿及标准</w:t>
      </w:r>
    </w:p>
    <w:p>
      <w:pPr>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被征收人利用</w:t>
      </w:r>
      <w:bookmarkStart w:id="10" w:name="_Hlk159515713"/>
      <w:r>
        <w:rPr>
          <w:rFonts w:hint="eastAsia" w:ascii="仿宋_GB2312" w:hAnsi="宋体" w:eastAsia="仿宋_GB2312"/>
          <w:sz w:val="32"/>
          <w:szCs w:val="32"/>
        </w:rPr>
        <w:t>房屋进行实际生产经营且符合下列条件的，</w:t>
      </w:r>
      <w:bookmarkEnd w:id="10"/>
      <w:r>
        <w:rPr>
          <w:rFonts w:hint="eastAsia" w:ascii="仿宋_GB2312" w:hAnsi="宋体" w:eastAsia="仿宋_GB2312"/>
          <w:sz w:val="32"/>
          <w:szCs w:val="32"/>
        </w:rPr>
        <w:t>按照认定的经营建筑面积，给予每平方米1000元的一次性停产停业损失补偿：</w:t>
      </w:r>
    </w:p>
    <w:p>
      <w:pPr>
        <w:widowControl/>
        <w:shd w:val="clear" w:color="auto" w:fill="FFFFFF"/>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具有房屋权属证明或经认定为合法房屋；</w:t>
      </w:r>
    </w:p>
    <w:p>
      <w:pPr>
        <w:widowControl/>
        <w:shd w:val="clear" w:color="auto" w:fill="FFFFFF"/>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具有合法有效的营业执照、税务登记证等相关材料；</w:t>
      </w:r>
    </w:p>
    <w:p>
      <w:pPr>
        <w:widowControl/>
        <w:shd w:val="clear" w:color="auto" w:fill="FFFFFF"/>
        <w:spacing w:line="560" w:lineRule="exact"/>
        <w:ind w:firstLine="640" w:firstLineChars="200"/>
        <w:contextualSpacing/>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存在实际经营行为且实际经营地点与被征收房屋地址一致；</w:t>
      </w:r>
    </w:p>
    <w:p>
      <w:pPr>
        <w:widowControl/>
        <w:shd w:val="clear" w:color="auto" w:fill="FFFFFF"/>
        <w:spacing w:line="560" w:lineRule="exact"/>
        <w:ind w:firstLine="640" w:firstLineChars="200"/>
        <w:contextualSpacing/>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4</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提交相关纳税凭证。</w:t>
      </w:r>
    </w:p>
    <w:p>
      <w:pPr>
        <w:widowControl/>
        <w:shd w:val="clear" w:color="auto" w:fill="FFFFFF"/>
        <w:spacing w:line="560" w:lineRule="exact"/>
        <w:ind w:firstLine="640"/>
        <w:contextualSpacing/>
        <w:rPr>
          <w:rFonts w:hint="eastAsia"/>
        </w:rPr>
      </w:pPr>
      <w:r>
        <w:rPr>
          <w:rFonts w:hint="eastAsia" w:ascii="仿宋_GB2312" w:hAnsi="宋体" w:eastAsia="仿宋_GB2312"/>
          <w:sz w:val="32"/>
          <w:szCs w:val="32"/>
        </w:rPr>
        <w:t>对被征收房屋停产停业损失补偿标准有异议的，可参照《北京市国有土地上房屋征收停产停业损失补偿暂行办法》（京建法〔2011〕18号），由房地产评估机构根据相关规定评估确定。</w:t>
      </w:r>
    </w:p>
    <w:p>
      <w:pPr>
        <w:spacing w:line="560" w:lineRule="exact"/>
        <w:ind w:firstLine="640" w:firstLineChars="200"/>
        <w:contextualSpacing/>
        <w:rPr>
          <w:rFonts w:hint="eastAsia" w:ascii="黑体" w:hAnsi="黑体" w:eastAsia="黑体"/>
          <w:sz w:val="32"/>
          <w:szCs w:val="32"/>
          <w:lang w:eastAsia="zh-CN"/>
        </w:rPr>
      </w:pPr>
      <w:r>
        <w:rPr>
          <w:rFonts w:hint="eastAsia" w:ascii="黑体" w:hAnsi="黑体" w:eastAsia="黑体"/>
          <w:sz w:val="32"/>
          <w:szCs w:val="32"/>
          <w:lang w:eastAsia="zh-CN"/>
        </w:rPr>
        <w:t>四、利用征收范围内场地经营的停产停业损失补偿及标准</w:t>
      </w:r>
    </w:p>
    <w:p>
      <w:pPr>
        <w:widowControl/>
        <w:shd w:val="clear" w:color="auto" w:fill="FFFFFF"/>
        <w:spacing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被征收人</w:t>
      </w:r>
      <w:r>
        <w:rPr>
          <w:rFonts w:hint="eastAsia" w:ascii="仿宋_GB2312" w:hAnsi="宋体" w:eastAsia="仿宋_GB2312"/>
          <w:sz w:val="32"/>
          <w:szCs w:val="32"/>
          <w:lang w:eastAsia="zh-CN"/>
        </w:rPr>
        <w:t>在征收范围内</w:t>
      </w:r>
      <w:r>
        <w:rPr>
          <w:rFonts w:hint="eastAsia" w:ascii="仿宋_GB2312" w:hAnsi="宋体" w:eastAsia="仿宋_GB2312"/>
          <w:sz w:val="32"/>
          <w:szCs w:val="32"/>
        </w:rPr>
        <w:t>利用场地经营的且符合下列条件的，按照认定的场地经营面积，给予每平方米</w:t>
      </w:r>
      <w:r>
        <w:rPr>
          <w:rFonts w:ascii="仿宋_GB2312" w:hAnsi="宋体" w:eastAsia="仿宋_GB2312"/>
          <w:sz w:val="32"/>
          <w:szCs w:val="32"/>
        </w:rPr>
        <w:t>200元</w:t>
      </w:r>
      <w:r>
        <w:rPr>
          <w:rFonts w:hint="eastAsia" w:ascii="仿宋_GB2312" w:hAnsi="宋体" w:eastAsia="仿宋_GB2312"/>
          <w:sz w:val="32"/>
          <w:szCs w:val="32"/>
        </w:rPr>
        <w:t>一次性</w:t>
      </w:r>
      <w:r>
        <w:rPr>
          <w:rFonts w:hint="eastAsia" w:ascii="仿宋_GB2312" w:hAnsi="宋体" w:eastAsia="仿宋_GB2312"/>
          <w:sz w:val="32"/>
          <w:szCs w:val="32"/>
          <w:lang w:eastAsia="zh-CN"/>
        </w:rPr>
        <w:t>场地</w:t>
      </w:r>
      <w:r>
        <w:rPr>
          <w:rFonts w:hint="eastAsia" w:ascii="仿宋_GB2312" w:hAnsi="宋体" w:eastAsia="仿宋_GB2312"/>
          <w:sz w:val="32"/>
          <w:szCs w:val="32"/>
        </w:rPr>
        <w:t>经营停产停业损失补偿。</w:t>
      </w:r>
    </w:p>
    <w:p>
      <w:pPr>
        <w:widowControl/>
        <w:shd w:val="clear" w:color="auto" w:fill="FFFFFF"/>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具有土地权属证明等合法有效批准文件或经认定为合法使用的土地；</w:t>
      </w:r>
    </w:p>
    <w:p>
      <w:pPr>
        <w:widowControl/>
        <w:shd w:val="clear" w:color="auto" w:fill="FFFFFF"/>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具有合法有效的营业执照、税务登记证等相关材料；</w:t>
      </w:r>
    </w:p>
    <w:p>
      <w:pPr>
        <w:widowControl/>
        <w:shd w:val="clear" w:color="auto" w:fill="FFFFFF"/>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存在实际经营行为且实际经营地点位于征收范围内；</w:t>
      </w:r>
    </w:p>
    <w:p>
      <w:pPr>
        <w:widowControl/>
        <w:shd w:val="clear" w:color="auto" w:fill="FFFFFF"/>
        <w:spacing w:line="560" w:lineRule="exact"/>
        <w:ind w:firstLine="640" w:firstLineChars="200"/>
        <w:contextualSpacing/>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4</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提交相关纳税凭证。</w:t>
      </w:r>
    </w:p>
    <w:p>
      <w:pPr>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、搬迁补助费</w:t>
      </w:r>
    </w:p>
    <w:p>
      <w:pPr>
        <w:widowControl/>
        <w:shd w:val="clear" w:color="auto" w:fill="FFFFFF"/>
        <w:spacing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按照认定的建筑面积给予每平方米50元的搬迁补助费。</w:t>
      </w:r>
    </w:p>
    <w:p>
      <w:pPr>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、各项移机、移装费</w:t>
      </w:r>
    </w:p>
    <w:p>
      <w:pPr>
        <w:widowControl/>
        <w:shd w:val="clear" w:color="auto" w:fill="FFFFFF"/>
        <w:spacing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电话、宽带移机费235元/部；</w:t>
      </w:r>
    </w:p>
    <w:p>
      <w:pPr>
        <w:widowControl/>
        <w:shd w:val="clear" w:color="auto" w:fill="FFFFFF"/>
        <w:spacing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有线电视移装费300元/端；</w:t>
      </w:r>
    </w:p>
    <w:p>
      <w:pPr>
        <w:widowControl/>
        <w:shd w:val="clear" w:color="auto" w:fill="FFFFFF"/>
        <w:spacing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空调移装费400元/台；</w:t>
      </w:r>
    </w:p>
    <w:p>
      <w:pPr>
        <w:widowControl/>
        <w:shd w:val="clear" w:color="auto" w:fill="FFFFFF"/>
        <w:spacing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热水器、太阳能移装费各300元/台；</w:t>
      </w:r>
    </w:p>
    <w:p>
      <w:pPr>
        <w:widowControl/>
        <w:shd w:val="clear" w:color="auto" w:fill="FFFFFF"/>
        <w:spacing w:line="560" w:lineRule="exact"/>
        <w:ind w:firstLine="640"/>
        <w:contextualSpacing/>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、大型设备迁移及补偿费</w:t>
      </w:r>
    </w:p>
    <w:p>
      <w:pPr>
        <w:widowControl/>
        <w:shd w:val="clear" w:color="auto" w:fill="FFFFFF"/>
        <w:spacing w:line="560" w:lineRule="exact"/>
        <w:ind w:firstLine="640"/>
        <w:contextualSpacing/>
        <w:rPr>
          <w:rFonts w:hint="eastAsia" w:ascii="仿宋_GB2312" w:hAnsi="宋体" w:eastAsia="仿宋_GB2312"/>
          <w:sz w:val="32"/>
          <w:szCs w:val="32"/>
        </w:rPr>
      </w:pPr>
      <w:r>
        <w:rPr>
          <w:rFonts w:hint="eastAsia" w:ascii="仿宋_GB2312" w:hAnsi="仿宋_GB2312" w:eastAsia="仿宋_GB2312" w:cs="仿宋_GB2312"/>
          <w:color w:val="000000"/>
          <w:kern w:val="0"/>
          <w:sz w:val="32"/>
          <w:szCs w:val="32"/>
        </w:rPr>
        <w:t>大型设备迁移及补偿费</w:t>
      </w:r>
      <w:r>
        <w:rPr>
          <w:rFonts w:hint="eastAsia" w:ascii="仿宋_GB2312" w:hAnsi="宋体" w:eastAsia="仿宋_GB2312"/>
          <w:sz w:val="32"/>
          <w:szCs w:val="32"/>
        </w:rPr>
        <w:t>由资产评估机构评估确定。</w:t>
      </w:r>
    </w:p>
    <w:p>
      <w:pPr>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、奖励项目及标准</w:t>
      </w:r>
    </w:p>
    <w:p>
      <w:pPr>
        <w:spacing w:line="560" w:lineRule="exact"/>
        <w:ind w:firstLine="640" w:firstLineChars="200"/>
        <w:contextualSpacing/>
        <w:rPr>
          <w:rFonts w:hint="eastAsia" w:ascii="楷体_GB2312" w:hAnsi="宋体" w:eastAsia="楷体_GB2312"/>
          <w:sz w:val="32"/>
          <w:szCs w:val="32"/>
        </w:rPr>
      </w:pPr>
      <w:r>
        <w:rPr>
          <w:rFonts w:hint="eastAsia" w:ascii="楷体_GB2312" w:hAnsi="宋体" w:eastAsia="楷体_GB2312"/>
          <w:sz w:val="32"/>
          <w:szCs w:val="32"/>
        </w:rPr>
        <w:t>（一）签约配合奖励</w:t>
      </w:r>
    </w:p>
    <w:p>
      <w:pPr>
        <w:spacing w:line="560" w:lineRule="exact"/>
        <w:ind w:firstLine="640" w:firstLineChars="200"/>
        <w:contextualSpacing/>
        <w:rPr>
          <w:rFonts w:ascii="仿宋_GB2312" w:eastAsia="仿宋_GB2312" w:cs="仿宋_GB2312"/>
          <w:sz w:val="32"/>
          <w:szCs w:val="32"/>
        </w:rPr>
      </w:pPr>
      <w:r>
        <w:rPr>
          <w:rFonts w:hint="eastAsia" w:ascii="仿宋_GB2312" w:eastAsia="仿宋_GB2312" w:cs="仿宋_GB2312"/>
          <w:sz w:val="32"/>
          <w:szCs w:val="32"/>
        </w:rPr>
        <w:t>被征收人在房屋征收决定规定的签约期限届满前签约，并按协议约定期限搬迁交房的，按照各项评估补偿总额的4</w:t>
      </w:r>
      <w:r>
        <w:rPr>
          <w:rFonts w:ascii="仿宋_GB2312" w:eastAsia="仿宋_GB2312" w:cs="仿宋_GB2312"/>
          <w:sz w:val="32"/>
          <w:szCs w:val="32"/>
        </w:rPr>
        <w:t>%</w:t>
      </w:r>
      <w:r>
        <w:rPr>
          <w:rFonts w:hint="eastAsia" w:ascii="仿宋_GB2312" w:eastAsia="仿宋_GB2312" w:cs="仿宋_GB2312"/>
          <w:sz w:val="32"/>
          <w:szCs w:val="32"/>
        </w:rPr>
        <w:t>计算签约配合奖励，签约配合奖励最高不得超过4</w:t>
      </w:r>
      <w:r>
        <w:rPr>
          <w:rFonts w:ascii="仿宋_GB2312" w:eastAsia="仿宋_GB2312" w:cs="仿宋_GB2312"/>
          <w:sz w:val="32"/>
          <w:szCs w:val="32"/>
        </w:rPr>
        <w:t>0</w:t>
      </w:r>
      <w:r>
        <w:rPr>
          <w:rFonts w:hint="eastAsia" w:ascii="仿宋_GB2312" w:eastAsia="仿宋_GB2312" w:cs="仿宋_GB2312"/>
          <w:sz w:val="32"/>
          <w:szCs w:val="32"/>
        </w:rPr>
        <w:t>万元。</w:t>
      </w:r>
    </w:p>
    <w:p>
      <w:pPr>
        <w:spacing w:line="560" w:lineRule="exact"/>
        <w:ind w:firstLine="640" w:firstLineChars="200"/>
        <w:contextualSpacing/>
        <w:rPr>
          <w:rFonts w:hint="eastAsia" w:ascii="楷体_GB2312" w:hAnsi="宋体" w:eastAsia="楷体_GB2312"/>
          <w:sz w:val="32"/>
          <w:szCs w:val="32"/>
        </w:rPr>
      </w:pPr>
      <w:r>
        <w:rPr>
          <w:rFonts w:hint="eastAsia" w:ascii="楷体_GB2312" w:hAnsi="宋体" w:eastAsia="楷体_GB2312"/>
          <w:sz w:val="32"/>
          <w:szCs w:val="32"/>
        </w:rPr>
        <w:t>（二）提前搬迁奖励</w:t>
      </w:r>
    </w:p>
    <w:p>
      <w:pPr>
        <w:spacing w:line="560" w:lineRule="exact"/>
        <w:ind w:firstLine="640" w:firstLineChars="200"/>
        <w:contextualSpacing/>
        <w:rPr>
          <w:rFonts w:ascii="仿宋_GB2312" w:eastAsia="仿宋_GB2312" w:cs="仿宋_GB2312"/>
          <w:sz w:val="32"/>
          <w:szCs w:val="32"/>
        </w:rPr>
      </w:pPr>
      <w:r>
        <w:rPr>
          <w:rFonts w:hint="eastAsia" w:ascii="仿宋_GB2312" w:eastAsia="仿宋_GB2312" w:cs="仿宋_GB2312"/>
          <w:sz w:val="32"/>
          <w:szCs w:val="32"/>
        </w:rPr>
        <w:t>被征收人在房屋征收决定规定的签约期限届满前签约，并按协议约定期限搬迁交房的，按照各项评估补偿总额的5</w:t>
      </w:r>
      <w:r>
        <w:rPr>
          <w:rFonts w:ascii="仿宋_GB2312" w:eastAsia="仿宋_GB2312" w:cs="仿宋_GB2312"/>
          <w:sz w:val="32"/>
          <w:szCs w:val="32"/>
        </w:rPr>
        <w:t>%</w:t>
      </w:r>
      <w:r>
        <w:rPr>
          <w:rFonts w:hint="eastAsia" w:ascii="仿宋_GB2312" w:eastAsia="仿宋_GB2312" w:cs="仿宋_GB2312"/>
          <w:sz w:val="32"/>
          <w:szCs w:val="32"/>
        </w:rPr>
        <w:t>计算提前搬迁奖励，提前搬迁奖励最高不得超过5</w:t>
      </w:r>
      <w:r>
        <w:rPr>
          <w:rFonts w:ascii="仿宋_GB2312" w:eastAsia="仿宋_GB2312" w:cs="仿宋_GB2312"/>
          <w:sz w:val="32"/>
          <w:szCs w:val="32"/>
        </w:rPr>
        <w:t>0</w:t>
      </w:r>
      <w:r>
        <w:rPr>
          <w:rFonts w:hint="eastAsia" w:ascii="仿宋_GB2312" w:eastAsia="仿宋_GB2312" w:cs="仿宋_GB2312"/>
          <w:sz w:val="32"/>
          <w:szCs w:val="32"/>
        </w:rPr>
        <w:t>万元。</w:t>
      </w:r>
    </w:p>
    <w:p>
      <w:pPr>
        <w:spacing w:line="560" w:lineRule="exact"/>
        <w:ind w:firstLine="640" w:firstLineChars="200"/>
        <w:contextualSpacing/>
        <w:rPr>
          <w:rFonts w:hint="eastAsia" w:ascii="仿宋_GB2312" w:hAnsi="宋体" w:eastAsia="仿宋_GB2312"/>
          <w:sz w:val="32"/>
          <w:szCs w:val="32"/>
        </w:rPr>
      </w:pPr>
    </w:p>
    <w:p>
      <w:pPr>
        <w:spacing w:line="560" w:lineRule="exact"/>
        <w:contextualSpacing/>
        <w:jc w:val="center"/>
        <w:rPr>
          <w:rFonts w:hint="eastAsia" w:ascii="黑体" w:hAnsi="黑体" w:eastAsia="黑体"/>
          <w:sz w:val="32"/>
          <w:szCs w:val="32"/>
        </w:rPr>
      </w:pPr>
      <w:r>
        <w:rPr>
          <w:rFonts w:hint="eastAsia" w:ascii="黑体" w:hAnsi="黑体" w:eastAsia="黑体"/>
          <w:sz w:val="32"/>
          <w:szCs w:val="32"/>
        </w:rPr>
        <w:t>第四章  其他</w:t>
      </w:r>
    </w:p>
    <w:p>
      <w:pPr>
        <w:spacing w:line="560" w:lineRule="exact"/>
        <w:contextualSpacing/>
        <w:jc w:val="center"/>
        <w:rPr>
          <w:rFonts w:hint="eastAsia" w:ascii="黑体" w:hAnsi="黑体" w:eastAsia="黑体"/>
          <w:sz w:val="32"/>
          <w:szCs w:val="32"/>
        </w:rPr>
      </w:pPr>
    </w:p>
    <w:p>
      <w:pPr>
        <w:spacing w:line="560" w:lineRule="exact"/>
        <w:ind w:firstLine="640" w:firstLineChars="200"/>
        <w:contextualSpacing/>
        <w:jc w:val="left"/>
        <w:rPr>
          <w:rFonts w:hint="eastAsia" w:ascii="仿宋_GB2312" w:hAnsi="宋体" w:eastAsia="仿宋_GB2312"/>
          <w:sz w:val="32"/>
          <w:szCs w:val="32"/>
        </w:rPr>
      </w:pPr>
      <w:r>
        <w:rPr>
          <w:rFonts w:hint="eastAsia" w:ascii="仿宋_GB2312" w:hAnsi="宋体" w:eastAsia="仿宋_GB2312"/>
          <w:sz w:val="32"/>
          <w:szCs w:val="32"/>
        </w:rPr>
        <w:t>本方案执行过程中出现的特殊问题由区征收办组织相关部门研究并形成专题会议纪要，专题会议纪要是本方案实施过程中的补充性文件并作为审计单位审计的依据。</w:t>
      </w:r>
    </w:p>
    <w:p>
      <w:pPr>
        <w:widowControl/>
        <w:shd w:val="clear" w:color="auto" w:fill="FFFFFF"/>
        <w:spacing w:line="560" w:lineRule="exact"/>
        <w:ind w:firstLine="645"/>
        <w:jc w:val="left"/>
        <w:rPr>
          <w:rFonts w:ascii="仿宋_GB2312" w:hAnsi="宋体" w:eastAsia="仿宋_GB2312"/>
          <w:sz w:val="32"/>
          <w:szCs w:val="32"/>
        </w:rPr>
      </w:pPr>
      <w:r>
        <w:rPr>
          <w:rFonts w:hint="eastAsia" w:ascii="仿宋_GB2312" w:hAnsi="宋体" w:eastAsia="仿宋_GB2312"/>
          <w:sz w:val="32"/>
          <w:szCs w:val="32"/>
        </w:rPr>
        <w:t>本方案由区征收办负责政策解释。</w:t>
      </w:r>
    </w:p>
    <w:p>
      <w:pPr>
        <w:widowControl/>
        <w:shd w:val="clear" w:color="auto" w:fill="FFFFFF"/>
        <w:snapToGrid w:val="0"/>
        <w:spacing w:line="560" w:lineRule="exact"/>
        <w:jc w:val="center"/>
        <w:rPr>
          <w:rFonts w:hint="eastAsia" w:ascii="CESI黑体-GB13000" w:hAnsi="CESI黑体-GB13000" w:eastAsia="CESI黑体-GB13000" w:cs="CESI黑体-GB13000"/>
          <w:bCs/>
          <w:sz w:val="32"/>
          <w:szCs w:val="32"/>
        </w:rPr>
      </w:pPr>
    </w:p>
    <w:p>
      <w:pPr>
        <w:adjustRightInd w:val="0"/>
        <w:spacing w:line="560" w:lineRule="exact"/>
        <w:ind w:right="1280"/>
        <w:contextualSpacing/>
        <w:rPr>
          <w:rFonts w:hint="eastAsia" w:ascii="黑体" w:hAnsi="黑体" w:eastAsia="黑体" w:cs="仿宋_GB2312"/>
          <w:kern w:val="0"/>
          <w:sz w:val="32"/>
          <w:szCs w:val="32"/>
        </w:rPr>
      </w:pPr>
    </w:p>
    <w:bookmarkEnd w:id="0"/>
    <w:p>
      <w:pPr>
        <w:adjustRightInd w:val="0"/>
        <w:spacing w:line="560" w:lineRule="exact"/>
        <w:contextualSpacing/>
        <w:rPr>
          <w:rFonts w:ascii="仿宋_GB2312" w:hAnsi="仿宋_GB2312" w:eastAsia="仿宋_GB2312" w:cs="仿宋_GB2312"/>
          <w:kern w:val="0"/>
          <w:sz w:val="32"/>
          <w:szCs w:val="32"/>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moder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000" w:usb1="00000000" w:usb2="00000010" w:usb3="00000000" w:csb0="0004009F" w:csb1="00000000"/>
  </w:font>
  <w:font w:name="Calibri Light">
    <w:altName w:val="DejaVu Sans"/>
    <w:panose1 w:val="020F030202020403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6545" cy="204470"/>
              <wp:effectExtent l="0" t="1905" r="2540" b="3175"/>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296545" cy="20447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6.1pt;width:23.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dw6LSAAAAAwEAAA8AAAAAAAAAAQAgAAAAOAAAAGRycy9kb3ducmV2LnhtbFBL&#10;AQIUABQAAAAIAIdO4kAnaEia5gEAAMADAAAOAAAAAAAAAAEAIAAAADcBAABkcnMvZTJvRG9jLnht&#10;bFBLBQYAAAAABgAGAFkBAACP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CC"/>
    <w:rsid w:val="00005F29"/>
    <w:rsid w:val="000477B5"/>
    <w:rsid w:val="0006541F"/>
    <w:rsid w:val="00071823"/>
    <w:rsid w:val="000764ED"/>
    <w:rsid w:val="000C7BF1"/>
    <w:rsid w:val="000E632F"/>
    <w:rsid w:val="001111B8"/>
    <w:rsid w:val="00144C46"/>
    <w:rsid w:val="0016753E"/>
    <w:rsid w:val="0019134F"/>
    <w:rsid w:val="00195ABD"/>
    <w:rsid w:val="001C3F38"/>
    <w:rsid w:val="001E22B0"/>
    <w:rsid w:val="00201CE8"/>
    <w:rsid w:val="002127C1"/>
    <w:rsid w:val="0023299B"/>
    <w:rsid w:val="00262D9B"/>
    <w:rsid w:val="00276374"/>
    <w:rsid w:val="002838F9"/>
    <w:rsid w:val="002D4961"/>
    <w:rsid w:val="002E3664"/>
    <w:rsid w:val="002F7742"/>
    <w:rsid w:val="00307F6C"/>
    <w:rsid w:val="0032440F"/>
    <w:rsid w:val="00342E51"/>
    <w:rsid w:val="00394358"/>
    <w:rsid w:val="003C3E46"/>
    <w:rsid w:val="003C55A0"/>
    <w:rsid w:val="003D0190"/>
    <w:rsid w:val="00404AF0"/>
    <w:rsid w:val="00407D25"/>
    <w:rsid w:val="0041423C"/>
    <w:rsid w:val="00437F85"/>
    <w:rsid w:val="004463E5"/>
    <w:rsid w:val="00483105"/>
    <w:rsid w:val="00486EB8"/>
    <w:rsid w:val="00487126"/>
    <w:rsid w:val="004A26C5"/>
    <w:rsid w:val="004A57B5"/>
    <w:rsid w:val="004B19BE"/>
    <w:rsid w:val="004C2E59"/>
    <w:rsid w:val="004F6003"/>
    <w:rsid w:val="00511CD7"/>
    <w:rsid w:val="00513C63"/>
    <w:rsid w:val="00517B75"/>
    <w:rsid w:val="00520693"/>
    <w:rsid w:val="0053368C"/>
    <w:rsid w:val="005448B8"/>
    <w:rsid w:val="00561105"/>
    <w:rsid w:val="00562EF7"/>
    <w:rsid w:val="005704A3"/>
    <w:rsid w:val="00576235"/>
    <w:rsid w:val="00580C4E"/>
    <w:rsid w:val="00581F04"/>
    <w:rsid w:val="00592E00"/>
    <w:rsid w:val="005A6A9E"/>
    <w:rsid w:val="005C4D36"/>
    <w:rsid w:val="005E19A5"/>
    <w:rsid w:val="005E4159"/>
    <w:rsid w:val="006023C0"/>
    <w:rsid w:val="00610A10"/>
    <w:rsid w:val="006125E2"/>
    <w:rsid w:val="00614DDA"/>
    <w:rsid w:val="006245FE"/>
    <w:rsid w:val="0063418B"/>
    <w:rsid w:val="00643756"/>
    <w:rsid w:val="00676B20"/>
    <w:rsid w:val="006A4817"/>
    <w:rsid w:val="006E410B"/>
    <w:rsid w:val="006F3E9A"/>
    <w:rsid w:val="007027BE"/>
    <w:rsid w:val="00761BC9"/>
    <w:rsid w:val="00765CF8"/>
    <w:rsid w:val="00780C81"/>
    <w:rsid w:val="007A023F"/>
    <w:rsid w:val="007A0767"/>
    <w:rsid w:val="007A7A09"/>
    <w:rsid w:val="0080626F"/>
    <w:rsid w:val="00811F2D"/>
    <w:rsid w:val="00820BB6"/>
    <w:rsid w:val="00825DB9"/>
    <w:rsid w:val="00827AFF"/>
    <w:rsid w:val="00832AD0"/>
    <w:rsid w:val="00837693"/>
    <w:rsid w:val="00850599"/>
    <w:rsid w:val="0088361A"/>
    <w:rsid w:val="0088772B"/>
    <w:rsid w:val="008A168E"/>
    <w:rsid w:val="008A287D"/>
    <w:rsid w:val="008C40AD"/>
    <w:rsid w:val="0090524B"/>
    <w:rsid w:val="00980AEB"/>
    <w:rsid w:val="00993159"/>
    <w:rsid w:val="009B6260"/>
    <w:rsid w:val="009E6464"/>
    <w:rsid w:val="00A12072"/>
    <w:rsid w:val="00A40A56"/>
    <w:rsid w:val="00A41DB7"/>
    <w:rsid w:val="00A644EA"/>
    <w:rsid w:val="00A66C88"/>
    <w:rsid w:val="00A67197"/>
    <w:rsid w:val="00A67F07"/>
    <w:rsid w:val="00A83016"/>
    <w:rsid w:val="00AA1B8A"/>
    <w:rsid w:val="00AD0940"/>
    <w:rsid w:val="00B164A6"/>
    <w:rsid w:val="00B36832"/>
    <w:rsid w:val="00B5045B"/>
    <w:rsid w:val="00B51B48"/>
    <w:rsid w:val="00B831E2"/>
    <w:rsid w:val="00BA7354"/>
    <w:rsid w:val="00BD2C1E"/>
    <w:rsid w:val="00BD795D"/>
    <w:rsid w:val="00BF0033"/>
    <w:rsid w:val="00BF337B"/>
    <w:rsid w:val="00C70051"/>
    <w:rsid w:val="00C87EA8"/>
    <w:rsid w:val="00C9754D"/>
    <w:rsid w:val="00CC1326"/>
    <w:rsid w:val="00CC6F81"/>
    <w:rsid w:val="00CE421E"/>
    <w:rsid w:val="00D01952"/>
    <w:rsid w:val="00D37AF4"/>
    <w:rsid w:val="00D40922"/>
    <w:rsid w:val="00D53636"/>
    <w:rsid w:val="00DB22CC"/>
    <w:rsid w:val="00DC0671"/>
    <w:rsid w:val="00DD2C09"/>
    <w:rsid w:val="00DD36FE"/>
    <w:rsid w:val="00DE418E"/>
    <w:rsid w:val="00DF040E"/>
    <w:rsid w:val="00E037A8"/>
    <w:rsid w:val="00E14245"/>
    <w:rsid w:val="00E601BB"/>
    <w:rsid w:val="00E6510D"/>
    <w:rsid w:val="00E73914"/>
    <w:rsid w:val="00E745D2"/>
    <w:rsid w:val="00E748A6"/>
    <w:rsid w:val="00EA203F"/>
    <w:rsid w:val="00EB21AF"/>
    <w:rsid w:val="00EB7160"/>
    <w:rsid w:val="00EC40C5"/>
    <w:rsid w:val="00F01514"/>
    <w:rsid w:val="00F04945"/>
    <w:rsid w:val="00F17339"/>
    <w:rsid w:val="00F211F9"/>
    <w:rsid w:val="00F3184F"/>
    <w:rsid w:val="00F37EC5"/>
    <w:rsid w:val="00FB7742"/>
    <w:rsid w:val="00FC28E7"/>
    <w:rsid w:val="00FD0C8D"/>
    <w:rsid w:val="02347645"/>
    <w:rsid w:val="04482564"/>
    <w:rsid w:val="059A1C02"/>
    <w:rsid w:val="06E3771F"/>
    <w:rsid w:val="07361D30"/>
    <w:rsid w:val="0932165E"/>
    <w:rsid w:val="099763D6"/>
    <w:rsid w:val="0C3D0B49"/>
    <w:rsid w:val="13F62BBB"/>
    <w:rsid w:val="165E7295"/>
    <w:rsid w:val="17B1799F"/>
    <w:rsid w:val="19B84F21"/>
    <w:rsid w:val="1E3A2FF4"/>
    <w:rsid w:val="1F9D2B37"/>
    <w:rsid w:val="2598564E"/>
    <w:rsid w:val="25CF5DE4"/>
    <w:rsid w:val="25FB26F9"/>
    <w:rsid w:val="277440DD"/>
    <w:rsid w:val="2AD612D4"/>
    <w:rsid w:val="2B875A16"/>
    <w:rsid w:val="2D133C16"/>
    <w:rsid w:val="2D543478"/>
    <w:rsid w:val="2D6866F2"/>
    <w:rsid w:val="2E6C2073"/>
    <w:rsid w:val="302721D1"/>
    <w:rsid w:val="3088625A"/>
    <w:rsid w:val="30C34611"/>
    <w:rsid w:val="32213A54"/>
    <w:rsid w:val="3292288E"/>
    <w:rsid w:val="3573FDE5"/>
    <w:rsid w:val="377769BD"/>
    <w:rsid w:val="381F5368"/>
    <w:rsid w:val="3A60188E"/>
    <w:rsid w:val="3A66696B"/>
    <w:rsid w:val="3A667B64"/>
    <w:rsid w:val="3B074B1C"/>
    <w:rsid w:val="3B53062E"/>
    <w:rsid w:val="3CB2035F"/>
    <w:rsid w:val="3E2C1635"/>
    <w:rsid w:val="3F2A545F"/>
    <w:rsid w:val="3F7BF70C"/>
    <w:rsid w:val="3FDB385B"/>
    <w:rsid w:val="40854140"/>
    <w:rsid w:val="40E51E11"/>
    <w:rsid w:val="41180261"/>
    <w:rsid w:val="419B1BC0"/>
    <w:rsid w:val="421B370C"/>
    <w:rsid w:val="423115B5"/>
    <w:rsid w:val="423A59D8"/>
    <w:rsid w:val="44D457C9"/>
    <w:rsid w:val="477CCD45"/>
    <w:rsid w:val="48284059"/>
    <w:rsid w:val="48753831"/>
    <w:rsid w:val="49653C0B"/>
    <w:rsid w:val="49F67974"/>
    <w:rsid w:val="4B6A0756"/>
    <w:rsid w:val="4E0804D0"/>
    <w:rsid w:val="4E0A0093"/>
    <w:rsid w:val="4E3117ED"/>
    <w:rsid w:val="4EBE73E8"/>
    <w:rsid w:val="4F032F6A"/>
    <w:rsid w:val="50620220"/>
    <w:rsid w:val="51BF106E"/>
    <w:rsid w:val="51EB59B2"/>
    <w:rsid w:val="55CD2D5F"/>
    <w:rsid w:val="55E64D7B"/>
    <w:rsid w:val="57AF0DFB"/>
    <w:rsid w:val="5A7C3E10"/>
    <w:rsid w:val="5C3C57D6"/>
    <w:rsid w:val="5CB61CF9"/>
    <w:rsid w:val="5D626FE0"/>
    <w:rsid w:val="5F7533FB"/>
    <w:rsid w:val="61301C91"/>
    <w:rsid w:val="620028B2"/>
    <w:rsid w:val="66612B8C"/>
    <w:rsid w:val="67B07C03"/>
    <w:rsid w:val="67F54859"/>
    <w:rsid w:val="6870334D"/>
    <w:rsid w:val="6A3F30F0"/>
    <w:rsid w:val="6BD715C6"/>
    <w:rsid w:val="6DFF87E2"/>
    <w:rsid w:val="6E634A9C"/>
    <w:rsid w:val="6EA63FD5"/>
    <w:rsid w:val="6F092687"/>
    <w:rsid w:val="70933A52"/>
    <w:rsid w:val="725E2579"/>
    <w:rsid w:val="726115E8"/>
    <w:rsid w:val="73444ABF"/>
    <w:rsid w:val="748B3DA4"/>
    <w:rsid w:val="7515565A"/>
    <w:rsid w:val="76B9185A"/>
    <w:rsid w:val="771F48B4"/>
    <w:rsid w:val="78D46882"/>
    <w:rsid w:val="79147FE9"/>
    <w:rsid w:val="791D7188"/>
    <w:rsid w:val="79296E8E"/>
    <w:rsid w:val="79FB7156"/>
    <w:rsid w:val="7A330FFD"/>
    <w:rsid w:val="7B560C5C"/>
    <w:rsid w:val="7C21123D"/>
    <w:rsid w:val="7E33920A"/>
    <w:rsid w:val="7E4D472A"/>
    <w:rsid w:val="7F1C67C9"/>
    <w:rsid w:val="7FDB2F8B"/>
    <w:rsid w:val="7FFB7861"/>
    <w:rsid w:val="D7DBDB1B"/>
    <w:rsid w:val="DC66506A"/>
    <w:rsid w:val="DFEF5672"/>
    <w:rsid w:val="FDFF781F"/>
    <w:rsid w:val="FE676799"/>
    <w:rsid w:val="FFDF99AB"/>
    <w:rsid w:val="FFEF2C49"/>
    <w:rsid w:val="FFF70684"/>
    <w:rsid w:val="FFFBA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8874"/>
      </w:tabs>
      <w:ind w:firstLine="480" w:firstLineChars="200"/>
      <w:jc w:val="left"/>
    </w:pPr>
    <w:rPr>
      <w:rFonts w:ascii="华文中宋" w:hAnsi="华文中宋" w:eastAsia="华文中宋"/>
      <w:sz w:val="24"/>
    </w:rPr>
  </w:style>
  <w:style w:type="paragraph" w:styleId="3">
    <w:name w:val="Body Text"/>
    <w:basedOn w:val="1"/>
    <w:link w:val="18"/>
    <w:qFormat/>
    <w:uiPriority w:val="1"/>
    <w:pPr>
      <w:ind w:left="779" w:firstLine="163"/>
      <w:jc w:val="left"/>
    </w:pPr>
    <w:rPr>
      <w:rFonts w:ascii="宋体" w:hAnsi="宋体" w:cstheme="minorBidi"/>
      <w:kern w:val="0"/>
      <w:sz w:val="30"/>
      <w:szCs w:val="30"/>
      <w:lang w:eastAsia="en-US"/>
    </w:rPr>
  </w:style>
  <w:style w:type="paragraph" w:styleId="4">
    <w:name w:val="Date"/>
    <w:basedOn w:val="1"/>
    <w:next w:val="1"/>
    <w:link w:val="17"/>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hAnsi="宋体" w:cs="宋体"/>
      <w:kern w:val="0"/>
      <w:sz w:val="24"/>
    </w:rPr>
  </w:style>
  <w:style w:type="paragraph" w:styleId="9">
    <w:name w:val="Title"/>
    <w:basedOn w:val="1"/>
    <w:next w:val="1"/>
    <w:link w:val="20"/>
    <w:qFormat/>
    <w:uiPriority w:val="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12"/>
    <w:link w:val="5"/>
    <w:qFormat/>
    <w:uiPriority w:val="0"/>
    <w:rPr>
      <w:kern w:val="2"/>
      <w:sz w:val="18"/>
      <w:szCs w:val="18"/>
    </w:rPr>
  </w:style>
  <w:style w:type="character" w:customStyle="1" w:styleId="14">
    <w:name w:val="页眉 字符"/>
    <w:basedOn w:val="12"/>
    <w:link w:val="7"/>
    <w:qFormat/>
    <w:uiPriority w:val="0"/>
    <w:rPr>
      <w:kern w:val="2"/>
      <w:sz w:val="18"/>
      <w:szCs w:val="18"/>
    </w:rPr>
  </w:style>
  <w:style w:type="character" w:customStyle="1" w:styleId="15">
    <w:name w:val="页脚 字符"/>
    <w:basedOn w:val="12"/>
    <w:link w:val="6"/>
    <w:qFormat/>
    <w:uiPriority w:val="0"/>
    <w:rPr>
      <w:kern w:val="2"/>
      <w:sz w:val="18"/>
      <w:szCs w:val="18"/>
    </w:rPr>
  </w:style>
  <w:style w:type="paragraph" w:customStyle="1" w:styleId="1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日期 字符"/>
    <w:basedOn w:val="12"/>
    <w:link w:val="4"/>
    <w:qFormat/>
    <w:uiPriority w:val="0"/>
    <w:rPr>
      <w:kern w:val="2"/>
      <w:sz w:val="21"/>
      <w:szCs w:val="24"/>
    </w:rPr>
  </w:style>
  <w:style w:type="character" w:customStyle="1" w:styleId="18">
    <w:name w:val="正文文本 字符"/>
    <w:basedOn w:val="12"/>
    <w:link w:val="3"/>
    <w:qFormat/>
    <w:uiPriority w:val="1"/>
    <w:rPr>
      <w:rFonts w:ascii="宋体" w:hAnsi="宋体" w:cstheme="minorBidi"/>
      <w:sz w:val="30"/>
      <w:szCs w:val="30"/>
      <w:lang w:eastAsia="en-US"/>
    </w:rPr>
  </w:style>
  <w:style w:type="paragraph" w:styleId="19">
    <w:name w:val="List Paragraph"/>
    <w:basedOn w:val="1"/>
    <w:qFormat/>
    <w:uiPriority w:val="99"/>
    <w:pPr>
      <w:ind w:firstLine="420" w:firstLineChars="200"/>
    </w:pPr>
  </w:style>
  <w:style w:type="character" w:customStyle="1" w:styleId="20">
    <w:name w:val="标题 字符"/>
    <w:basedOn w:val="12"/>
    <w:link w:val="9"/>
    <w:qFormat/>
    <w:uiPriority w:val="0"/>
    <w:rPr>
      <w:rFonts w:asciiTheme="majorHAnsi" w:hAnsiTheme="majorHAnsi" w:eastAsiaTheme="majorEastAsia" w:cstheme="majorBidi"/>
      <w:b/>
      <w:bCs/>
      <w:kern w:val="2"/>
      <w:sz w:val="32"/>
      <w:szCs w:val="32"/>
    </w:rPr>
  </w:style>
  <w:style w:type="paragraph" w:customStyle="1" w:styleId="21">
    <w:name w:val="p0"/>
    <w:basedOn w:val="1"/>
    <w:qFormat/>
    <w:uiPriority w:val="0"/>
    <w:pPr>
      <w:widowControl/>
      <w:spacing w:line="560" w:lineRule="exact"/>
      <w:ind w:firstLine="640" w:firstLineChars="200"/>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750</Words>
  <Characters>4276</Characters>
  <Lines>35</Lines>
  <Paragraphs>10</Paragraphs>
  <TotalTime>7</TotalTime>
  <ScaleCrop>false</ScaleCrop>
  <LinksUpToDate>false</LinksUpToDate>
  <CharactersWithSpaces>5016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2021-12-02T11:48:00Z</dcterms:created>
  <dc:creator>lenovo</dc:creator>
  <cp:lastModifiedBy>uos</cp:lastModifiedBy>
  <cp:lastPrinted>2024-11-02T00:49:00Z</cp:lastPrinted>
  <dcterms:modified xsi:type="dcterms:W3CDTF">2024-11-01T11:33:25Z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