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textAlignment w:val="baseline"/>
        <w:rPr>
          <w:rFonts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北京市密云区太师屯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sz w:val="44"/>
          <w:szCs w:val="44"/>
        </w:rPr>
        <w:t>镇人民政府</w:t>
      </w:r>
    </w:p>
    <w:p>
      <w:pPr>
        <w:spacing w:line="560" w:lineRule="exact"/>
        <w:jc w:val="center"/>
        <w:textAlignment w:val="baseline"/>
        <w:rPr>
          <w:rFonts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关于</w:t>
      </w:r>
      <w:r>
        <w:rPr>
          <w:rFonts w:ascii="黑体" w:hAnsi="黑体" w:eastAsia="黑体" w:cs="黑体"/>
          <w:color w:val="auto"/>
          <w:sz w:val="44"/>
          <w:szCs w:val="44"/>
        </w:rPr>
        <w:t>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年预算执行情况和</w:t>
      </w:r>
      <w:r>
        <w:rPr>
          <w:rFonts w:ascii="黑体" w:hAnsi="黑体" w:eastAsia="黑体" w:cs="黑体"/>
          <w:color w:val="auto"/>
          <w:sz w:val="44"/>
          <w:szCs w:val="44"/>
        </w:rPr>
        <w:t>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年预算</w:t>
      </w:r>
    </w:p>
    <w:p>
      <w:pPr>
        <w:spacing w:line="560" w:lineRule="exact"/>
        <w:jc w:val="center"/>
        <w:textAlignment w:val="baseline"/>
        <w:rPr>
          <w:rFonts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（草案）的报告</w:t>
      </w:r>
    </w:p>
    <w:p>
      <w:pPr>
        <w:spacing w:line="560" w:lineRule="exact"/>
        <w:jc w:val="center"/>
        <w:textAlignment w:val="baseline"/>
        <w:rPr>
          <w:rFonts w:ascii="楷体_GB2312" w:hAnsi="楷体_GB2312" w:eastAsia="楷体_GB2312" w:cs="楷体_GB2312"/>
          <w:color w:val="auto"/>
          <w:sz w:val="32"/>
          <w:szCs w:val="32"/>
        </w:rPr>
      </w:pPr>
      <w:r>
        <w:rPr>
          <w:rFonts w:ascii="楷体_GB2312" w:hAnsi="华文中宋" w:eastAsia="楷体_GB2312" w:cs="楷体_GB2312"/>
          <w:color w:val="auto"/>
          <w:sz w:val="32"/>
          <w:szCs w:val="32"/>
        </w:rPr>
        <w:t>--202</w:t>
      </w:r>
      <w:r>
        <w:rPr>
          <w:rFonts w:hint="eastAsia" w:ascii="楷体_GB2312" w:hAnsi="华文中宋" w:eastAsia="楷体_GB2312" w:cs="楷体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楷体_GB2312" w:hAnsi="华文中宋" w:eastAsia="楷体_GB2312" w:cs="楷体_GB2312"/>
          <w:color w:val="auto"/>
          <w:sz w:val="32"/>
          <w:szCs w:val="32"/>
        </w:rPr>
        <w:t>年1月</w:t>
      </w:r>
      <w:r>
        <w:rPr>
          <w:rFonts w:hint="eastAsia" w:ascii="楷体_GB2312" w:hAnsi="华文中宋" w:eastAsia="楷体_GB2312" w:cs="楷体_GB2312"/>
          <w:color w:val="auto"/>
          <w:sz w:val="32"/>
          <w:szCs w:val="32"/>
          <w:lang w:val="en-US" w:eastAsia="zh-CN"/>
        </w:rPr>
        <w:t>29</w:t>
      </w:r>
      <w:r>
        <w:rPr>
          <w:rFonts w:hint="eastAsia" w:ascii="楷体_GB2312" w:hAnsi="华文中宋" w:eastAsia="楷体_GB2312" w:cs="楷体_GB2312"/>
          <w:color w:val="auto"/>
          <w:sz w:val="32"/>
          <w:szCs w:val="32"/>
        </w:rPr>
        <w:t>日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在太师屯镇第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届人民代表大会</w:t>
      </w:r>
    </w:p>
    <w:p>
      <w:pPr>
        <w:spacing w:line="560" w:lineRule="exact"/>
        <w:jc w:val="center"/>
        <w:textAlignment w:val="baseline"/>
        <w:rPr>
          <w:rFonts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第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次会议上</w:t>
      </w:r>
    </w:p>
    <w:p>
      <w:pPr>
        <w:spacing w:line="560" w:lineRule="exact"/>
        <w:jc w:val="center"/>
        <w:textAlignment w:val="baseline"/>
        <w:rPr>
          <w:rFonts w:asci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 xml:space="preserve">财政科科长 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  <w:lang w:val="en-US" w:eastAsia="zh-CN"/>
        </w:rPr>
        <w:t>张佳男</w:t>
      </w:r>
    </w:p>
    <w:p>
      <w:pPr>
        <w:pBdr>
          <w:bottom w:val="single" w:color="FFFFFF" w:sz="4" w:space="11"/>
        </w:pBdr>
        <w:snapToGrid w:val="0"/>
        <w:spacing w:line="560" w:lineRule="exact"/>
        <w:textAlignment w:val="baseline"/>
        <w:rPr>
          <w:rFonts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各位代表：</w:t>
      </w:r>
    </w:p>
    <w:p>
      <w:pPr>
        <w:pBdr>
          <w:bottom w:val="single" w:color="FFFFFF" w:sz="4" w:space="11"/>
        </w:pBdr>
        <w:snapToGrid w:val="0"/>
        <w:spacing w:line="560" w:lineRule="exact"/>
        <w:ind w:firstLine="640" w:firstLineChars="200"/>
        <w:textAlignment w:val="baseline"/>
        <w:rPr>
          <w:rFonts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受镇人民政府委托，现将北京市密云区太师屯镇202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年预算执行情况和202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年预算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草案的报告提请镇第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届人民代表大会第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次会议审议。</w:t>
      </w:r>
    </w:p>
    <w:p>
      <w:pPr>
        <w:pBdr>
          <w:bottom w:val="single" w:color="FFFFFF" w:sz="4" w:space="11"/>
        </w:pBdr>
        <w:snapToGrid w:val="0"/>
        <w:spacing w:line="560" w:lineRule="exact"/>
        <w:ind w:firstLine="640" w:firstLineChars="200"/>
        <w:textAlignment w:val="baseline"/>
        <w:rPr>
          <w:rFonts w:ascii="黑体" w:hAnsi="黑体" w:eastAsia="黑体" w:cs="仿宋_GB2312"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</w:rPr>
        <w:t>一、</w:t>
      </w:r>
      <w:r>
        <w:rPr>
          <w:rFonts w:ascii="黑体" w:hAnsi="黑体" w:eastAsia="黑体" w:cs="仿宋_GB2312"/>
          <w:color w:val="auto"/>
          <w:sz w:val="32"/>
          <w:szCs w:val="32"/>
        </w:rPr>
        <w:t>202</w:t>
      </w:r>
      <w:r>
        <w:rPr>
          <w:rFonts w:hint="eastAsia" w:ascii="黑体" w:hAnsi="黑体" w:eastAsia="黑体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仿宋_GB2312"/>
          <w:color w:val="auto"/>
          <w:sz w:val="32"/>
          <w:szCs w:val="32"/>
        </w:rPr>
        <w:t>年预算执行情况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2025年，在区委、区政府和镇党委的坚强领导下，在镇人大的监督下，镇政府坚持以习近平新时代中国特色社会主义思想为指导，全面贯彻党的二十大和二十届三中、四中全会精神，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坚持统筹发展和安全，努力克服各种不利因素的影响，充分发挥财政职能作用，民生保障有力有效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，财政预算执行情况总体良好。</w:t>
      </w:r>
    </w:p>
    <w:p>
      <w:pPr>
        <w:spacing w:line="560" w:lineRule="exact"/>
        <w:ind w:firstLine="642" w:firstLineChars="200"/>
        <w:rPr>
          <w:rFonts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（一）一般公共预算收支情况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全镇一般公共预算收入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38278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万元，比上年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增加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89.99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%，其中：财政收入完成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4517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万元，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上级补助收入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33261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万元。全镇一般公共预算支出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38278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万元，比上年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增加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89.99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级一般公共预算收支平衡。</w:t>
      </w:r>
    </w:p>
    <w:p>
      <w:pPr>
        <w:pBdr>
          <w:bottom w:val="single" w:color="FFFFFF" w:sz="4" w:space="11"/>
        </w:pBdr>
        <w:snapToGrid w:val="0"/>
        <w:spacing w:line="560" w:lineRule="exact"/>
        <w:ind w:firstLine="642" w:firstLineChars="200"/>
        <w:textAlignment w:val="baseline"/>
        <w:rPr>
          <w:rFonts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一般公共预算收入执行情况</w:t>
      </w:r>
    </w:p>
    <w:p>
      <w:pPr>
        <w:pBdr>
          <w:bottom w:val="single" w:color="FFFFFF" w:sz="4" w:space="11"/>
        </w:pBdr>
        <w:snapToGrid w:val="0"/>
        <w:spacing w:line="560" w:lineRule="exact"/>
        <w:ind w:firstLine="640" w:firstLineChars="200"/>
        <w:textAlignment w:val="baseline"/>
        <w:rPr>
          <w:rFonts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回顾过去一年,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我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镇克服重重困难，奋力完成财政收入任务，一般公共预算支出规模发生变化。根据《预算法》和《北京市预算审查监督条例》的规定，我们报请镇人大审查批准了镇级一般公共预算支出调整方案。</w:t>
      </w:r>
    </w:p>
    <w:p>
      <w:pPr>
        <w:pBdr>
          <w:bottom w:val="single" w:color="FFFFFF" w:sz="4" w:space="11"/>
        </w:pBdr>
        <w:snapToGrid w:val="0"/>
        <w:spacing w:line="560" w:lineRule="exact"/>
        <w:ind w:firstLine="640" w:firstLineChars="200"/>
        <w:textAlignment w:val="baseline"/>
        <w:rPr>
          <w:rFonts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全镇调整预算后，202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年财政收入为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4517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万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元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完成调整预算的100%，比上年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2529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万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元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eastAsia="zh-CN"/>
        </w:rPr>
        <w:t>增加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1400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万元，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增幅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78.61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%。其中：税收收入完成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1992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万元，占比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44.1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%；非税收收入完成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2525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万元，占比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55.9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%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。</w:t>
      </w:r>
    </w:p>
    <w:p>
      <w:pPr>
        <w:pBdr>
          <w:bottom w:val="single" w:color="FFFFFF" w:sz="4" w:space="11"/>
        </w:pBdr>
        <w:snapToGrid w:val="0"/>
        <w:spacing w:line="560" w:lineRule="exact"/>
        <w:ind w:firstLine="642" w:firstLineChars="200"/>
        <w:textAlignment w:val="baseline"/>
        <w:rPr>
          <w:rFonts w:asci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</w:rPr>
        <w:t>2、一般公共预算支出执行情况</w:t>
      </w:r>
    </w:p>
    <w:p>
      <w:pPr>
        <w:pBdr>
          <w:bottom w:val="single" w:color="FFFFFF" w:sz="4" w:space="11"/>
        </w:pBdr>
        <w:snapToGrid w:val="0"/>
        <w:spacing w:line="560" w:lineRule="exact"/>
        <w:ind w:firstLine="640" w:firstLineChars="200"/>
        <w:textAlignment w:val="baseline"/>
        <w:rPr>
          <w:rFonts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在202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年的财政工作中，我们全面贯彻执行“量入为出、收支平衡、适度从紧”的财政政策，推进财政工作有序进行。202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年财政支出完成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38278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万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元。重点支持了创建“基本无违建区”、垃圾分类、环境治理、疏整促专项提升、机关政权建设等方面的工作。紧紧围绕重点工作保证支出，促进全镇环境大幅改善、城市功能更加完善、经济良性发展、社会有序稳定。</w:t>
      </w:r>
    </w:p>
    <w:p>
      <w:pPr>
        <w:pBdr>
          <w:bottom w:val="single" w:color="FFFFFF" w:sz="4" w:space="11"/>
        </w:pBdr>
        <w:snapToGrid w:val="0"/>
        <w:spacing w:line="560" w:lineRule="exact"/>
        <w:ind w:firstLine="64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3、主要支出科目执行情况</w:t>
      </w:r>
    </w:p>
    <w:p>
      <w:pPr>
        <w:pBdr>
          <w:bottom w:val="single" w:color="FFFFFF" w:sz="4" w:space="11"/>
        </w:pBdr>
        <w:snapToGrid w:val="0"/>
        <w:spacing w:line="560" w:lineRule="exact"/>
        <w:ind w:firstLine="640" w:firstLineChars="200"/>
        <w:textAlignment w:val="baseline"/>
        <w:rPr>
          <w:rFonts w:asci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一般公共服务支出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3928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占镇财政总支出的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10.26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%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，主要用于机关工作人员的工资福利支出、机关运转经费支出及村两委干部报酬支出等。</w:t>
      </w:r>
    </w:p>
    <w:p>
      <w:pPr>
        <w:pBdr>
          <w:bottom w:val="single" w:color="FFFFFF" w:sz="4" w:space="11"/>
        </w:pBdr>
        <w:snapToGrid w:val="0"/>
        <w:spacing w:line="560" w:lineRule="exact"/>
        <w:ind w:firstLine="640" w:firstLineChars="200"/>
        <w:textAlignment w:val="baseline"/>
        <w:rPr>
          <w:rFonts w:asci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文化旅游和传媒支出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806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占镇财政总支出的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2.11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%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，主要用于我镇文化活动、三馆免费支出、旅游文化设施提升等方面的支出。</w:t>
      </w:r>
    </w:p>
    <w:p>
      <w:pPr>
        <w:pBdr>
          <w:bottom w:val="single" w:color="FFFFFF" w:sz="4" w:space="11"/>
        </w:pBdr>
        <w:snapToGrid w:val="0"/>
        <w:spacing w:line="560" w:lineRule="exact"/>
        <w:ind w:firstLine="640" w:firstLineChars="200"/>
        <w:textAlignment w:val="baseline"/>
        <w:rPr>
          <w:rFonts w:asci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社保和就业保障支出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520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万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占镇财政总支出的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1.36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%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，主要用于我单位机关工作人员养老保险、职业年金的缴纳、离退休人员的离退休费以及低保五保人员的匹配资金。</w:t>
      </w:r>
    </w:p>
    <w:p>
      <w:pPr>
        <w:pBdr>
          <w:bottom w:val="single" w:color="FFFFFF" w:sz="4" w:space="11"/>
        </w:pBdr>
        <w:snapToGrid w:val="0"/>
        <w:spacing w:line="560" w:lineRule="exact"/>
        <w:ind w:firstLine="640" w:firstLineChars="200"/>
        <w:textAlignment w:val="baseline"/>
        <w:rPr>
          <w:rFonts w:asci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卫生健康支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出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225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万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占镇财政总支出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0.59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%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，主要用于我单位机关人员的医疗保险的缴纳、计生专干补贴等计生专项支出。</w:t>
      </w:r>
    </w:p>
    <w:p>
      <w:pPr>
        <w:pBdr>
          <w:bottom w:val="single" w:color="FFFFFF" w:sz="4" w:space="11"/>
        </w:pBdr>
        <w:snapToGrid w:val="0"/>
        <w:spacing w:line="560" w:lineRule="exact"/>
        <w:ind w:firstLine="640" w:firstLineChars="200"/>
        <w:textAlignment w:val="baseline"/>
        <w:rPr>
          <w:rFonts w:hint="default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节能环保支出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342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万元，占镇财政总支出的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0.89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%，主要用于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eastAsia="zh-CN"/>
        </w:rPr>
        <w:t>清水河沿岸生态修复、冬季清洁取暖、太师屯生态综合治理等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支出。</w:t>
      </w:r>
    </w:p>
    <w:p>
      <w:pPr>
        <w:pBdr>
          <w:bottom w:val="single" w:color="FFFFFF" w:sz="4" w:space="11"/>
        </w:pBdr>
        <w:snapToGrid w:val="0"/>
        <w:spacing w:line="560" w:lineRule="exact"/>
        <w:ind w:firstLine="640" w:firstLineChars="200"/>
        <w:textAlignment w:val="baseline"/>
        <w:rPr>
          <w:rFonts w:asci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城乡社区支出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1534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万元，占镇财政总支出的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%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，主要用于机关政权建设支出、公益岗就业人员匹配资金以及其他临时性人员的工资福利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eastAsia="zh-CN"/>
        </w:rPr>
        <w:t>、垃圾分类指导员补贴、复耕土地流转费、治违工作经费等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支出。</w:t>
      </w:r>
    </w:p>
    <w:p>
      <w:pPr>
        <w:pBdr>
          <w:bottom w:val="single" w:color="FFFFFF" w:sz="4" w:space="11"/>
        </w:pBdr>
        <w:snapToGrid w:val="0"/>
        <w:spacing w:line="560" w:lineRule="exact"/>
        <w:ind w:firstLine="640" w:firstLineChars="200"/>
        <w:textAlignment w:val="baseline"/>
        <w:rPr>
          <w:rFonts w:asci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农林水支出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13017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万元，占镇财政总支出的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34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%，主要用于美丽乡村建设支出、村级公益事业金支出、村级电力设施维护资金支出、污水管网方面的支出等。</w:t>
      </w:r>
    </w:p>
    <w:p>
      <w:pPr>
        <w:pBdr>
          <w:bottom w:val="single" w:color="FFFFFF" w:sz="4" w:space="11"/>
        </w:pBdr>
        <w:snapToGrid w:val="0"/>
        <w:spacing w:line="560" w:lineRule="exact"/>
        <w:ind w:firstLine="640" w:firstLineChars="200"/>
        <w:textAlignment w:val="baseline"/>
        <w:rPr>
          <w:rFonts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灾害防治及应急管理支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出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12497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万元，占镇财政总支出的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32.65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%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，主要用于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地质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灾害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兼职安全员岗位补贴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eastAsia="zh-CN"/>
        </w:rPr>
        <w:t>、极端强降雨洪涝灾害救助、乡村公路水毁等支出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pBdr>
          <w:bottom w:val="single" w:color="FFFFFF" w:sz="4" w:space="11"/>
        </w:pBdr>
        <w:snapToGrid w:val="0"/>
        <w:spacing w:line="560" w:lineRule="exact"/>
        <w:ind w:firstLine="642" w:firstLineChars="200"/>
        <w:textAlignment w:val="baseline"/>
        <w:rPr>
          <w:rFonts w:asci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</w:rPr>
        <w:t>（二）202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</w:rPr>
        <w:t>年落实财税政策和财政重点工作情况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年，财政部门全面贯彻《预算法》和《预算法实施条例》，充分发挥财政职能作用，坚持过“紧日子”，积极培育财源，优化支出结构，强化绩效管理，不断提高资金使用效益。</w:t>
      </w:r>
    </w:p>
    <w:p>
      <w:pPr>
        <w:pBdr>
          <w:bottom w:val="single" w:color="FFFFFF" w:sz="4" w:space="11"/>
        </w:pBdr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需要说明的是，上述数据是根据预算执行情况初步汇总的，在财政决算编成后，还会有所变化。因部分项目据实列支、预备费按照具体支出事项分别列支到相应科目等因素影响，各科目执行数据与预算存在一定差异。</w:t>
      </w:r>
    </w:p>
    <w:p>
      <w:pPr>
        <w:spacing w:line="560" w:lineRule="exact"/>
        <w:ind w:firstLine="640"/>
        <w:rPr>
          <w:rFonts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各位代表，面对经济下行和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税收政策不完善等影响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，在镇党委政府的坚强领导下，在镇人大的监督和指导下，财政工作取得了一定成绩，但也必须清醒地认识到，当前财政工作依然面临着困难与挑战：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一是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财源基础相对薄弱，受经济波动、政策调整等因素影响较大，财政收入持续平稳增长的难度进一步加大；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二是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政策刚性增支需求不断增加，财政支出压力较大，财政收支平衡难度进一步加大；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三是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财政收支处于紧平衡状态，我单位“过紧日子”的思想还需进一步加强。</w:t>
      </w:r>
    </w:p>
    <w:p>
      <w:pPr>
        <w:pBdr>
          <w:bottom w:val="single" w:color="FFFFFF" w:sz="4" w:space="11"/>
        </w:pBdr>
        <w:snapToGrid w:val="0"/>
        <w:spacing w:line="560" w:lineRule="exact"/>
        <w:ind w:firstLine="640" w:firstLineChars="200"/>
        <w:textAlignment w:val="baseline"/>
        <w:rPr>
          <w:rFonts w:ascii="仿宋_GB2312" w:hAnsi="等线" w:eastAsia="仿宋_GB2312" w:cs="仿宋_GB2312"/>
          <w:bCs/>
          <w:color w:val="auto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</w:rPr>
        <w:t>二、</w:t>
      </w:r>
      <w:r>
        <w:rPr>
          <w:rFonts w:ascii="黑体" w:hAnsi="黑体" w:eastAsia="黑体" w:cs="仿宋_GB2312"/>
          <w:color w:val="auto"/>
          <w:sz w:val="32"/>
          <w:szCs w:val="32"/>
        </w:rPr>
        <w:t>202</w:t>
      </w:r>
      <w:r>
        <w:rPr>
          <w:rFonts w:hint="eastAsia" w:ascii="黑体" w:hAnsi="黑体" w:eastAsia="黑体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仿宋_GB2312"/>
          <w:color w:val="auto"/>
          <w:sz w:val="32"/>
          <w:szCs w:val="32"/>
        </w:rPr>
        <w:t>年预算（草案）</w:t>
      </w:r>
    </w:p>
    <w:p>
      <w:pPr>
        <w:pBdr>
          <w:bottom w:val="single" w:color="FFFFFF" w:sz="4" w:space="11"/>
        </w:pBdr>
        <w:snapToGrid w:val="0"/>
        <w:spacing w:line="560" w:lineRule="exact"/>
        <w:ind w:firstLine="642" w:firstLineChars="200"/>
        <w:textAlignment w:val="baseline"/>
        <w:rPr>
          <w:rFonts w:asci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202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年收支预算总体安排</w:t>
      </w:r>
    </w:p>
    <w:p>
      <w:pPr>
        <w:pBdr>
          <w:bottom w:val="single" w:color="FFFFFF" w:sz="4" w:space="11"/>
        </w:pBdr>
        <w:snapToGrid w:val="0"/>
        <w:spacing w:line="560" w:lineRule="exact"/>
        <w:ind w:firstLine="640" w:firstLineChars="200"/>
        <w:textAlignment w:val="baseline"/>
        <w:rPr>
          <w:rFonts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202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年，全镇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一般公共预算总财力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10531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万元，全镇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一般公共预算支出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10531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万元，收支平衡。</w:t>
      </w:r>
    </w:p>
    <w:p>
      <w:pPr>
        <w:pBdr>
          <w:bottom w:val="single" w:color="FFFFFF" w:sz="4" w:space="11"/>
        </w:pBdr>
        <w:snapToGrid w:val="0"/>
        <w:spacing w:line="560" w:lineRule="exact"/>
        <w:ind w:firstLine="642" w:firstLineChars="200"/>
        <w:textAlignment w:val="baseline"/>
        <w:rPr>
          <w:rFonts w:asci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</w:rPr>
        <w:t>1、202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</w:rPr>
        <w:t>年一般公共预算收入预算安排情况</w:t>
      </w:r>
    </w:p>
    <w:p>
      <w:pPr>
        <w:pBdr>
          <w:bottom w:val="single" w:color="FFFFFF" w:sz="4" w:space="11"/>
        </w:pBdr>
        <w:snapToGrid w:val="0"/>
        <w:spacing w:line="560" w:lineRule="exact"/>
        <w:ind w:firstLine="640" w:firstLineChars="200"/>
        <w:textAlignment w:val="baseline"/>
        <w:rPr>
          <w:rFonts w:ascii="黑体" w:hAnsi="Courier New" w:eastAsia="黑体"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202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</w:rPr>
        <w:t>全镇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财政收入预期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5000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万元，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比上年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增长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8.93</w:t>
      </w:r>
      <w:r>
        <w:rPr>
          <w:rFonts w:asci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eastAsia="仿宋_GB2312"/>
          <w:color w:val="auto"/>
          <w:sz w:val="32"/>
          <w:szCs w:val="32"/>
        </w:rPr>
        <w:t>具体为：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增值税收入预算为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3495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万元，企业所得税收入预算为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685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万元，其他税收入预算为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820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万元。</w:t>
      </w:r>
    </w:p>
    <w:p>
      <w:pPr>
        <w:pBdr>
          <w:bottom w:val="single" w:color="FFFFFF" w:sz="4" w:space="11"/>
        </w:pBdr>
        <w:snapToGrid w:val="0"/>
        <w:spacing w:line="560" w:lineRule="exact"/>
        <w:ind w:firstLine="640" w:firstLineChars="200"/>
        <w:textAlignment w:val="baseline"/>
        <w:rPr>
          <w:rFonts w:ascii="黑体" w:hAnsi="Courier New" w:eastAsia="黑体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</w:rPr>
        <w:t>年全镇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一般公共预算</w:t>
      </w:r>
      <w:r>
        <w:rPr>
          <w:rFonts w:hint="eastAsia" w:ascii="仿宋_GB2312" w:eastAsia="仿宋_GB2312"/>
          <w:color w:val="auto"/>
          <w:sz w:val="32"/>
          <w:szCs w:val="32"/>
        </w:rPr>
        <w:t>总财力为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10531</w:t>
      </w:r>
      <w:r>
        <w:rPr>
          <w:rFonts w:hint="eastAsia" w:ascii="仿宋_GB2312" w:eastAsia="仿宋_GB2312"/>
          <w:color w:val="auto"/>
          <w:sz w:val="32"/>
          <w:szCs w:val="32"/>
        </w:rPr>
        <w:t>万元，其中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一般公共预算</w:t>
      </w:r>
      <w:r>
        <w:rPr>
          <w:rFonts w:hint="eastAsia" w:ascii="仿宋_GB2312" w:eastAsia="仿宋_GB2312"/>
          <w:color w:val="auto"/>
          <w:sz w:val="32"/>
          <w:szCs w:val="32"/>
        </w:rPr>
        <w:t>收入为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5000</w:t>
      </w:r>
      <w:r>
        <w:rPr>
          <w:rFonts w:hint="eastAsia" w:ascii="仿宋_GB2312" w:eastAsia="仿宋_GB2312"/>
          <w:color w:val="auto"/>
          <w:sz w:val="32"/>
          <w:szCs w:val="32"/>
        </w:rPr>
        <w:t>万元，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比上年增长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8.93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%;</w:t>
      </w:r>
      <w:r>
        <w:rPr>
          <w:rFonts w:hint="eastAsia" w:ascii="仿宋_GB2312" w:eastAsia="仿宋_GB2312"/>
          <w:color w:val="auto"/>
          <w:sz w:val="32"/>
          <w:szCs w:val="32"/>
        </w:rPr>
        <w:t>财政体制补助及提前下达转移支付为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5531</w:t>
      </w:r>
      <w:r>
        <w:rPr>
          <w:rFonts w:hint="eastAsia" w:ascii="仿宋_GB2312" w:eastAsia="仿宋_GB2312"/>
          <w:color w:val="auto"/>
          <w:sz w:val="32"/>
          <w:szCs w:val="32"/>
        </w:rPr>
        <w:t>万元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,比上年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减少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0.3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%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pBdr>
          <w:bottom w:val="single" w:color="FFFFFF" w:sz="4" w:space="11"/>
        </w:pBdr>
        <w:snapToGrid w:val="0"/>
        <w:spacing w:line="560" w:lineRule="exact"/>
        <w:ind w:firstLine="642" w:firstLineChars="200"/>
        <w:textAlignment w:val="baseline"/>
        <w:rPr>
          <w:rFonts w:asci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</w:rPr>
        <w:t>2、202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</w:rPr>
        <w:t>年一般公共预算支出预算安排情况</w:t>
      </w:r>
    </w:p>
    <w:p>
      <w:pPr>
        <w:spacing w:line="560" w:lineRule="exact"/>
        <w:ind w:firstLine="640" w:firstLineChars="200"/>
        <w:rPr>
          <w:rFonts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在镇级财力紧张的情况下，进一步优化支出结构，坚持有保有压，严格落实政府过“紧日子”要求，贯彻“零基预算”理念，统筹资金优先保障“三保”支出。</w:t>
      </w:r>
      <w:r>
        <w:rPr>
          <w:rFonts w:hint="eastAsia" w:ascii="仿宋_GB2312" w:eastAsia="仿宋_GB2312"/>
          <w:color w:val="auto"/>
          <w:sz w:val="32"/>
          <w:szCs w:val="32"/>
        </w:rPr>
        <w:t>全镇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一般公共预算支出安排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10531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万元，比上年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增加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3.88</w:t>
      </w:r>
      <w:r>
        <w:rPr>
          <w:rFonts w:asci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。主要支出科目安排情况如下：</w:t>
      </w:r>
    </w:p>
    <w:p>
      <w:pPr>
        <w:pBdr>
          <w:bottom w:val="single" w:color="FFFFFF" w:sz="4" w:space="11"/>
        </w:pBdr>
        <w:snapToGrid w:val="0"/>
        <w:spacing w:line="560" w:lineRule="exact"/>
        <w:ind w:firstLine="640" w:firstLineChars="200"/>
        <w:textAlignment w:val="baseline"/>
        <w:rPr>
          <w:rFonts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一般公共服务支出安排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4148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万元，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主要用于保障机关运行，保工资、保运转以及村干部工资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组织事务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等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支出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。</w:t>
      </w:r>
    </w:p>
    <w:p>
      <w:pPr>
        <w:pBdr>
          <w:bottom w:val="single" w:color="FFFFFF" w:sz="4" w:space="11"/>
        </w:pBdr>
        <w:snapToGrid w:val="0"/>
        <w:spacing w:line="560" w:lineRule="exact"/>
        <w:ind w:firstLine="640" w:firstLineChars="200"/>
        <w:textAlignment w:val="baseline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文化旅游体育与传媒支出安排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32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万元，主要是用于开展主题宣传、举办文化活动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以及文化设备运维等支出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。</w:t>
      </w:r>
    </w:p>
    <w:p>
      <w:pPr>
        <w:pBdr>
          <w:bottom w:val="single" w:color="FFFFFF" w:sz="4" w:space="11"/>
        </w:pBdr>
        <w:snapToGrid w:val="0"/>
        <w:spacing w:line="560" w:lineRule="exact"/>
        <w:ind w:firstLine="640" w:firstLineChars="200"/>
        <w:textAlignment w:val="baseline"/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社会保障和就业支出安排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545万元，主要用于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我单位机关工作人员养老保险、职业年金的缴纳、离退休人员的离退休费以及低保五保人员的匹配资金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eastAsia="zh-CN"/>
        </w:rPr>
        <w:t>等支出。</w:t>
      </w:r>
    </w:p>
    <w:p>
      <w:pPr>
        <w:pBdr>
          <w:bottom w:val="single" w:color="FFFFFF" w:sz="4" w:space="11"/>
        </w:pBdr>
        <w:snapToGrid w:val="0"/>
        <w:spacing w:line="560" w:lineRule="exact"/>
        <w:ind w:firstLine="640" w:firstLineChars="200"/>
        <w:textAlignment w:val="baseline"/>
        <w:rPr>
          <w:rFonts w:hint="default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eastAsia="zh-CN"/>
        </w:rPr>
        <w:t>卫生健康支出安排安排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339万元，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主要用于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于我单位机关人员的医疗保险的缴纳、计生专干补贴等计生专项支出。</w:t>
      </w:r>
    </w:p>
    <w:p>
      <w:pPr>
        <w:pBdr>
          <w:bottom w:val="single" w:color="FFFFFF" w:sz="4" w:space="11"/>
        </w:pBdr>
        <w:snapToGrid w:val="0"/>
        <w:spacing w:line="560" w:lineRule="exact"/>
        <w:ind w:firstLine="640" w:firstLineChars="200"/>
        <w:textAlignment w:val="baseline"/>
        <w:rPr>
          <w:rFonts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城乡社区支出安排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1520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万元，</w:t>
      </w:r>
      <w:r>
        <w:rPr>
          <w:rFonts w:hint="eastAsia" w:ascii="仿宋_GB2312" w:eastAsia="仿宋_GB2312"/>
          <w:color w:val="auto"/>
          <w:sz w:val="32"/>
          <w:szCs w:val="32"/>
        </w:rPr>
        <w:t>主要用于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开展社区公益事业、</w:t>
      </w:r>
      <w:r>
        <w:rPr>
          <w:rFonts w:hint="eastAsia" w:ascii="仿宋_GB2312" w:eastAsia="仿宋_GB2312"/>
          <w:color w:val="auto"/>
          <w:sz w:val="32"/>
          <w:szCs w:val="32"/>
        </w:rPr>
        <w:t>低保五保人员匹配资金、公益岗就业人员匹配资金等支出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。</w:t>
      </w:r>
    </w:p>
    <w:p>
      <w:pPr>
        <w:pBdr>
          <w:bottom w:val="single" w:color="FFFFFF" w:sz="4" w:space="11"/>
        </w:pBdr>
        <w:snapToGrid w:val="0"/>
        <w:spacing w:line="560" w:lineRule="exact"/>
        <w:ind w:firstLine="640" w:firstLineChars="200"/>
        <w:textAlignment w:val="baseline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农林水支出安排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3638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万元，主要用于村级电力设施维护、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正常离任村党组织书记补贴、基层党组织服务群众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等支出。</w:t>
      </w:r>
    </w:p>
    <w:p>
      <w:pPr>
        <w:pBdr>
          <w:bottom w:val="single" w:color="FFFFFF" w:sz="4" w:space="11"/>
        </w:pBdr>
        <w:snapToGrid w:val="0"/>
        <w:spacing w:line="560" w:lineRule="exact"/>
        <w:ind w:firstLine="640" w:firstLineChars="200"/>
        <w:textAlignment w:val="baseline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住房保障支出安排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309万元，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主要用于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机关在编人员缴纳公积金等费用支出。</w:t>
      </w:r>
    </w:p>
    <w:p>
      <w:pPr>
        <w:pBdr>
          <w:bottom w:val="single" w:color="FFFFFF" w:sz="4" w:space="11"/>
        </w:pBdr>
        <w:snapToGrid w:val="0"/>
        <w:spacing w:line="560" w:lineRule="exact"/>
        <w:ind w:firstLine="640" w:firstLineChars="200"/>
        <w:textAlignment w:val="baseline"/>
        <w:rPr>
          <w:rFonts w:ascii="黑体" w:hAnsi="黑体" w:eastAsia="黑体" w:cs="仿宋_GB2312"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</w:rPr>
        <w:t>三、切实做好</w:t>
      </w:r>
      <w:r>
        <w:rPr>
          <w:rFonts w:ascii="黑体" w:hAnsi="黑体" w:eastAsia="黑体" w:cs="仿宋_GB2312"/>
          <w:color w:val="auto"/>
          <w:sz w:val="32"/>
          <w:szCs w:val="32"/>
        </w:rPr>
        <w:t>20</w:t>
      </w:r>
      <w:r>
        <w:rPr>
          <w:rFonts w:hint="eastAsia" w:ascii="黑体" w:hAnsi="黑体" w:eastAsia="黑体" w:cs="仿宋_GB2312"/>
          <w:color w:val="auto"/>
          <w:sz w:val="32"/>
          <w:szCs w:val="32"/>
        </w:rPr>
        <w:t>2</w:t>
      </w:r>
      <w:r>
        <w:rPr>
          <w:rFonts w:hint="eastAsia" w:ascii="黑体" w:hAnsi="黑体" w:eastAsia="黑体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仿宋_GB2312"/>
          <w:color w:val="auto"/>
          <w:sz w:val="32"/>
          <w:szCs w:val="32"/>
        </w:rPr>
        <w:t>年财政管理和预算执行工作</w:t>
      </w:r>
    </w:p>
    <w:p>
      <w:pPr>
        <w:pBdr>
          <w:bottom w:val="single" w:color="FFFFFF" w:sz="4" w:space="31"/>
        </w:pBdr>
        <w:adjustRightInd w:val="0"/>
        <w:spacing w:line="560" w:lineRule="exact"/>
        <w:ind w:firstLine="640"/>
        <w:outlineLvl w:val="0"/>
        <w:rPr>
          <w:rFonts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（一）抓好“开源”，在筑牢增收基础上积极作为，提高经济发展质量</w:t>
      </w:r>
    </w:p>
    <w:p>
      <w:pPr>
        <w:pBdr>
          <w:bottom w:val="single" w:color="FFFFFF" w:sz="4" w:space="31"/>
        </w:pBdr>
        <w:adjustRightInd w:val="0"/>
        <w:spacing w:line="560" w:lineRule="exact"/>
        <w:ind w:firstLine="640"/>
        <w:outlineLvl w:val="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稳存量。做好企业核查和清退挽留，精准送上“服务包”，提高企业纳税贡献。引增量。用好“五新”政策，瞄准高精尖方向，聚焦“头部经济”，开展靶向招商，培育新兴增长点。盯变量。加强大数据分析比对，关注重点区域、重点企业、重点行业税源变动情况，及时发现并处理可疑风险点。</w:t>
      </w:r>
    </w:p>
    <w:p>
      <w:pPr>
        <w:pBdr>
          <w:bottom w:val="single" w:color="FFFFFF" w:sz="4" w:space="31"/>
        </w:pBdr>
        <w:adjustRightInd w:val="0"/>
        <w:spacing w:line="560" w:lineRule="exact"/>
        <w:ind w:firstLine="640"/>
        <w:outlineLvl w:val="0"/>
        <w:rPr>
          <w:rFonts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（二）抓好“节流”，在加强财政调控上积极作为，优化财政支出结构</w:t>
      </w:r>
    </w:p>
    <w:p>
      <w:pPr>
        <w:pBdr>
          <w:bottom w:val="single" w:color="FFFFFF" w:sz="4" w:space="31"/>
        </w:pBdr>
        <w:adjustRightInd w:val="0"/>
        <w:spacing w:line="560" w:lineRule="exact"/>
        <w:ind w:firstLine="640"/>
        <w:outlineLvl w:val="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对严峻的收支形势，牢固树立“过紧日子”思想，强化成本控制理念，坚持以收定支、量入为出，优化财政资金使用结构和方向。继续从严管控非紧要开支，压减一般性支出和非重点项目支出，预算安排“三公”经费只减不增。</w:t>
      </w:r>
    </w:p>
    <w:p>
      <w:pPr>
        <w:pBdr>
          <w:bottom w:val="single" w:color="FFFFFF" w:sz="4" w:space="31"/>
        </w:pBdr>
        <w:adjustRightInd w:val="0"/>
        <w:spacing w:line="560" w:lineRule="exact"/>
        <w:ind w:firstLine="640"/>
        <w:outlineLvl w:val="0"/>
        <w:rPr>
          <w:rFonts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（三）抓好“保障”，在加强资金统筹上积极作为，增强财政综合实力</w:t>
      </w:r>
    </w:p>
    <w:p>
      <w:pPr>
        <w:pBdr>
          <w:bottom w:val="single" w:color="FFFFFF" w:sz="4" w:space="31"/>
        </w:pBdr>
        <w:adjustRightInd w:val="0"/>
        <w:spacing w:line="560" w:lineRule="exact"/>
        <w:ind w:firstLine="640"/>
        <w:outlineLvl w:val="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强化财政资源统筹，提高财政资源配置效率和使用效益。保障好重要民生实事、重点产业发展、重大活动任务顺利实施。</w:t>
      </w:r>
    </w:p>
    <w:p>
      <w:pPr>
        <w:pBdr>
          <w:bottom w:val="single" w:color="FFFFFF" w:sz="4" w:space="31"/>
        </w:pBdr>
        <w:adjustRightInd w:val="0"/>
        <w:spacing w:line="560" w:lineRule="exact"/>
        <w:ind w:firstLine="640"/>
        <w:outlineLvl w:val="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各位代表，做好202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年财政工作，责任重大、任务艰巨、使命光荣！我们要在镇党委政府的坚强领导下，在镇人大监督和指导下，牢记嘱托、接续奋斗，变压力为动力，扎扎实实做好财政预算各项工作，确保明年财政工作顺利完成。</w:t>
      </w:r>
    </w:p>
    <w:sectPr>
      <w:footerReference r:id="rId3" w:type="default"/>
      <w:pgSz w:w="11906" w:h="16838"/>
      <w:pgMar w:top="1984" w:right="1474" w:bottom="170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4D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altName w:val="方正黑体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roid Sans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65705"/>
    <w:rsid w:val="00001BBD"/>
    <w:rsid w:val="000116C7"/>
    <w:rsid w:val="0001219D"/>
    <w:rsid w:val="00013B2D"/>
    <w:rsid w:val="00015D1D"/>
    <w:rsid w:val="00024711"/>
    <w:rsid w:val="000360FF"/>
    <w:rsid w:val="00040B6C"/>
    <w:rsid w:val="00053634"/>
    <w:rsid w:val="00057C6B"/>
    <w:rsid w:val="00072770"/>
    <w:rsid w:val="0007443C"/>
    <w:rsid w:val="00075A16"/>
    <w:rsid w:val="00075E7B"/>
    <w:rsid w:val="000A0072"/>
    <w:rsid w:val="000B7A7F"/>
    <w:rsid w:val="000D2499"/>
    <w:rsid w:val="000D26E6"/>
    <w:rsid w:val="000E7DF8"/>
    <w:rsid w:val="000F2544"/>
    <w:rsid w:val="00100C43"/>
    <w:rsid w:val="00112395"/>
    <w:rsid w:val="0011302A"/>
    <w:rsid w:val="001270B2"/>
    <w:rsid w:val="00136C7F"/>
    <w:rsid w:val="00143ED5"/>
    <w:rsid w:val="00160DC8"/>
    <w:rsid w:val="00170419"/>
    <w:rsid w:val="00194303"/>
    <w:rsid w:val="00194B26"/>
    <w:rsid w:val="001973BF"/>
    <w:rsid w:val="001A4EAB"/>
    <w:rsid w:val="001E0BC2"/>
    <w:rsid w:val="001F10CA"/>
    <w:rsid w:val="00215DE7"/>
    <w:rsid w:val="002328FA"/>
    <w:rsid w:val="002435AE"/>
    <w:rsid w:val="002458A0"/>
    <w:rsid w:val="00266C73"/>
    <w:rsid w:val="0027049D"/>
    <w:rsid w:val="002749F3"/>
    <w:rsid w:val="00282ADA"/>
    <w:rsid w:val="00287186"/>
    <w:rsid w:val="00293969"/>
    <w:rsid w:val="002A5985"/>
    <w:rsid w:val="002B2F4B"/>
    <w:rsid w:val="002B4450"/>
    <w:rsid w:val="002C3221"/>
    <w:rsid w:val="002F632A"/>
    <w:rsid w:val="00315326"/>
    <w:rsid w:val="003217DE"/>
    <w:rsid w:val="003555AE"/>
    <w:rsid w:val="0036289C"/>
    <w:rsid w:val="0037660A"/>
    <w:rsid w:val="003834C0"/>
    <w:rsid w:val="003A0505"/>
    <w:rsid w:val="003B0D46"/>
    <w:rsid w:val="003C05EA"/>
    <w:rsid w:val="003C3D73"/>
    <w:rsid w:val="003D132C"/>
    <w:rsid w:val="00416A01"/>
    <w:rsid w:val="00420FB8"/>
    <w:rsid w:val="004358DA"/>
    <w:rsid w:val="004400FF"/>
    <w:rsid w:val="00461039"/>
    <w:rsid w:val="00464D15"/>
    <w:rsid w:val="004B212B"/>
    <w:rsid w:val="004B2998"/>
    <w:rsid w:val="004B6E48"/>
    <w:rsid w:val="004C3505"/>
    <w:rsid w:val="004C4F7A"/>
    <w:rsid w:val="004E5503"/>
    <w:rsid w:val="004E7EA5"/>
    <w:rsid w:val="004F4705"/>
    <w:rsid w:val="00516AB0"/>
    <w:rsid w:val="005345C6"/>
    <w:rsid w:val="005365B1"/>
    <w:rsid w:val="00541C96"/>
    <w:rsid w:val="0055417B"/>
    <w:rsid w:val="00577DCE"/>
    <w:rsid w:val="00596A11"/>
    <w:rsid w:val="005A1F75"/>
    <w:rsid w:val="005B1E44"/>
    <w:rsid w:val="005C23C7"/>
    <w:rsid w:val="005C509C"/>
    <w:rsid w:val="005D01A3"/>
    <w:rsid w:val="005D1B32"/>
    <w:rsid w:val="005E14FA"/>
    <w:rsid w:val="00602184"/>
    <w:rsid w:val="00621071"/>
    <w:rsid w:val="00637B16"/>
    <w:rsid w:val="00652750"/>
    <w:rsid w:val="00692EAA"/>
    <w:rsid w:val="006A3A27"/>
    <w:rsid w:val="006A6244"/>
    <w:rsid w:val="006E23D5"/>
    <w:rsid w:val="00735997"/>
    <w:rsid w:val="007423FC"/>
    <w:rsid w:val="00747610"/>
    <w:rsid w:val="00750EB2"/>
    <w:rsid w:val="007576E4"/>
    <w:rsid w:val="00763F2D"/>
    <w:rsid w:val="007966F4"/>
    <w:rsid w:val="007B0C8E"/>
    <w:rsid w:val="007B4DE9"/>
    <w:rsid w:val="007E4EA2"/>
    <w:rsid w:val="007F5982"/>
    <w:rsid w:val="0080496B"/>
    <w:rsid w:val="0080657B"/>
    <w:rsid w:val="00810A5A"/>
    <w:rsid w:val="00817BA1"/>
    <w:rsid w:val="00833D52"/>
    <w:rsid w:val="00844836"/>
    <w:rsid w:val="00856736"/>
    <w:rsid w:val="00863857"/>
    <w:rsid w:val="00865CDC"/>
    <w:rsid w:val="00872C25"/>
    <w:rsid w:val="00876945"/>
    <w:rsid w:val="00892D27"/>
    <w:rsid w:val="00895D05"/>
    <w:rsid w:val="008B7A16"/>
    <w:rsid w:val="008E1A01"/>
    <w:rsid w:val="008F3E61"/>
    <w:rsid w:val="009131B3"/>
    <w:rsid w:val="00951683"/>
    <w:rsid w:val="00965705"/>
    <w:rsid w:val="009830C0"/>
    <w:rsid w:val="0099415E"/>
    <w:rsid w:val="009C582C"/>
    <w:rsid w:val="009D3BFF"/>
    <w:rsid w:val="009E00C2"/>
    <w:rsid w:val="009E2E34"/>
    <w:rsid w:val="009E6F31"/>
    <w:rsid w:val="00A052E2"/>
    <w:rsid w:val="00A10B2F"/>
    <w:rsid w:val="00A12319"/>
    <w:rsid w:val="00A1436F"/>
    <w:rsid w:val="00A9529B"/>
    <w:rsid w:val="00AB3F95"/>
    <w:rsid w:val="00AB500D"/>
    <w:rsid w:val="00AE1DCF"/>
    <w:rsid w:val="00AE221E"/>
    <w:rsid w:val="00AE2E8E"/>
    <w:rsid w:val="00B03C89"/>
    <w:rsid w:val="00B07B73"/>
    <w:rsid w:val="00B2043C"/>
    <w:rsid w:val="00B44757"/>
    <w:rsid w:val="00B465D8"/>
    <w:rsid w:val="00B51AB0"/>
    <w:rsid w:val="00B53527"/>
    <w:rsid w:val="00B55DE7"/>
    <w:rsid w:val="00B675D1"/>
    <w:rsid w:val="00B87BEC"/>
    <w:rsid w:val="00BA4630"/>
    <w:rsid w:val="00BC08A6"/>
    <w:rsid w:val="00BE23D9"/>
    <w:rsid w:val="00BE2FD2"/>
    <w:rsid w:val="00BE47CE"/>
    <w:rsid w:val="00BE6A4B"/>
    <w:rsid w:val="00BF0811"/>
    <w:rsid w:val="00BF202A"/>
    <w:rsid w:val="00BF5820"/>
    <w:rsid w:val="00C0031A"/>
    <w:rsid w:val="00C11261"/>
    <w:rsid w:val="00C22C3F"/>
    <w:rsid w:val="00C71875"/>
    <w:rsid w:val="00C73974"/>
    <w:rsid w:val="00C94DE2"/>
    <w:rsid w:val="00D155CF"/>
    <w:rsid w:val="00D1650F"/>
    <w:rsid w:val="00D16698"/>
    <w:rsid w:val="00D51E37"/>
    <w:rsid w:val="00D54513"/>
    <w:rsid w:val="00D70311"/>
    <w:rsid w:val="00D96640"/>
    <w:rsid w:val="00D97B9E"/>
    <w:rsid w:val="00DB5AD4"/>
    <w:rsid w:val="00DC310E"/>
    <w:rsid w:val="00DD0FD4"/>
    <w:rsid w:val="00DE56E6"/>
    <w:rsid w:val="00DF352B"/>
    <w:rsid w:val="00DF5B57"/>
    <w:rsid w:val="00E14DD0"/>
    <w:rsid w:val="00E225DF"/>
    <w:rsid w:val="00E409F0"/>
    <w:rsid w:val="00E4487D"/>
    <w:rsid w:val="00E730B9"/>
    <w:rsid w:val="00E81B51"/>
    <w:rsid w:val="00EA45F5"/>
    <w:rsid w:val="00EC12CD"/>
    <w:rsid w:val="00EC765E"/>
    <w:rsid w:val="00F248CB"/>
    <w:rsid w:val="00F26CF4"/>
    <w:rsid w:val="00F317CD"/>
    <w:rsid w:val="00F655BE"/>
    <w:rsid w:val="00F9049F"/>
    <w:rsid w:val="00FC73EA"/>
    <w:rsid w:val="00FD5A8E"/>
    <w:rsid w:val="00FD60F9"/>
    <w:rsid w:val="00FD7894"/>
    <w:rsid w:val="011A2EDD"/>
    <w:rsid w:val="014266B2"/>
    <w:rsid w:val="051E7C2F"/>
    <w:rsid w:val="06CC1E93"/>
    <w:rsid w:val="07A648BB"/>
    <w:rsid w:val="09193079"/>
    <w:rsid w:val="0B894EFC"/>
    <w:rsid w:val="0BEB096D"/>
    <w:rsid w:val="121A40E8"/>
    <w:rsid w:val="12A96F63"/>
    <w:rsid w:val="1980600D"/>
    <w:rsid w:val="19BD16DF"/>
    <w:rsid w:val="1E570027"/>
    <w:rsid w:val="1F9715F3"/>
    <w:rsid w:val="1FF958C6"/>
    <w:rsid w:val="252A0BBD"/>
    <w:rsid w:val="25C01241"/>
    <w:rsid w:val="26F01D15"/>
    <w:rsid w:val="276019E4"/>
    <w:rsid w:val="2BA74A20"/>
    <w:rsid w:val="2BAE78C7"/>
    <w:rsid w:val="2D3C6776"/>
    <w:rsid w:val="31035DBF"/>
    <w:rsid w:val="34D64A6B"/>
    <w:rsid w:val="384C75E1"/>
    <w:rsid w:val="39F464AC"/>
    <w:rsid w:val="439065F4"/>
    <w:rsid w:val="45B576A3"/>
    <w:rsid w:val="4767173C"/>
    <w:rsid w:val="4B0B11DC"/>
    <w:rsid w:val="526C7624"/>
    <w:rsid w:val="529E5EAB"/>
    <w:rsid w:val="53E26B2B"/>
    <w:rsid w:val="54AF3152"/>
    <w:rsid w:val="55172ED9"/>
    <w:rsid w:val="55600BD2"/>
    <w:rsid w:val="5DE11028"/>
    <w:rsid w:val="622A7B3E"/>
    <w:rsid w:val="625E066A"/>
    <w:rsid w:val="62603C21"/>
    <w:rsid w:val="636C4E08"/>
    <w:rsid w:val="64BF1384"/>
    <w:rsid w:val="65295E8B"/>
    <w:rsid w:val="6CE20210"/>
    <w:rsid w:val="6EFD03E4"/>
    <w:rsid w:val="6FE6261D"/>
    <w:rsid w:val="70DD16D4"/>
    <w:rsid w:val="723C2810"/>
    <w:rsid w:val="73102EBE"/>
    <w:rsid w:val="788612FA"/>
    <w:rsid w:val="79CD6A88"/>
    <w:rsid w:val="7A1B3A84"/>
    <w:rsid w:val="7D976A7C"/>
    <w:rsid w:val="7DDDABC9"/>
    <w:rsid w:val="7F5E7A33"/>
    <w:rsid w:val="CFBEC437"/>
    <w:rsid w:val="F666B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5"/>
    <w:qFormat/>
    <w:uiPriority w:val="99"/>
    <w:pPr>
      <w:spacing w:line="560" w:lineRule="exact"/>
      <w:ind w:firstLine="643" w:firstLineChars="200"/>
      <w:outlineLvl w:val="2"/>
    </w:pPr>
    <w:rPr>
      <w:rFonts w:ascii="楷体_GB2312" w:hAnsi="Calibri" w:eastAsia="楷体_GB2312" w:cs="宋体"/>
      <w:b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qFormat/>
    <w:uiPriority w:val="99"/>
    <w:rPr>
      <w:sz w:val="18"/>
      <w:szCs w:val="18"/>
    </w:rPr>
  </w:style>
  <w:style w:type="paragraph" w:styleId="4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5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List Paragraph1"/>
    <w:basedOn w:val="1"/>
    <w:qFormat/>
    <w:uiPriority w:val="99"/>
    <w:pPr>
      <w:ind w:firstLine="420" w:firstLineChars="200"/>
    </w:pPr>
  </w:style>
  <w:style w:type="paragraph" w:customStyle="1" w:styleId="11">
    <w:name w:val="UserStyle_0"/>
    <w:basedOn w:val="1"/>
    <w:link w:val="19"/>
    <w:qFormat/>
    <w:uiPriority w:val="99"/>
    <w:pPr>
      <w:widowControl/>
      <w:spacing w:after="160" w:line="240" w:lineRule="exact"/>
      <w:jc w:val="left"/>
    </w:pPr>
    <w:rPr>
      <w:rFonts w:ascii="Calibri" w:hAnsi="Calibri" w:cs="黑体"/>
      <w:szCs w:val="22"/>
    </w:rPr>
  </w:style>
  <w:style w:type="paragraph" w:customStyle="1" w:styleId="12">
    <w:name w:val="汇报正文"/>
    <w:basedOn w:val="1"/>
    <w:link w:val="20"/>
    <w:qFormat/>
    <w:uiPriority w:val="99"/>
    <w:pPr>
      <w:spacing w:line="560" w:lineRule="exact"/>
      <w:ind w:firstLine="640" w:firstLineChars="200"/>
    </w:pPr>
    <w:rPr>
      <w:rFonts w:ascii="仿宋_GB2312" w:hAnsi="Calibri" w:eastAsia="仿宋_GB2312" w:cs="黑体"/>
      <w:sz w:val="32"/>
      <w:szCs w:val="32"/>
    </w:rPr>
  </w:style>
  <w:style w:type="paragraph" w:customStyle="1" w:styleId="13">
    <w:name w:val="标题3（三）"/>
    <w:basedOn w:val="1"/>
    <w:qFormat/>
    <w:uiPriority w:val="99"/>
    <w:pPr>
      <w:spacing w:beforeLines="50" w:afterLines="50" w:line="432" w:lineRule="exact"/>
      <w:ind w:firstLine="200" w:firstLineChars="200"/>
    </w:pPr>
    <w:rPr>
      <w:rFonts w:ascii="方正黑体简体" w:eastAsia="方正黑体简体" w:cs="Droid Sans"/>
      <w:color w:val="000000"/>
      <w:sz w:val="27"/>
      <w:szCs w:val="27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标题 3 Char"/>
    <w:basedOn w:val="9"/>
    <w:link w:val="2"/>
    <w:qFormat/>
    <w:uiPriority w:val="99"/>
    <w:rPr>
      <w:rFonts w:ascii="楷体_GB2312" w:hAnsi="Calibri" w:eastAsia="楷体_GB2312" w:cs="宋体"/>
      <w:b/>
      <w:sz w:val="32"/>
      <w:szCs w:val="32"/>
    </w:rPr>
  </w:style>
  <w:style w:type="character" w:customStyle="1" w:styleId="16">
    <w:name w:val="批注框文本 Char"/>
    <w:basedOn w:val="9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9"/>
    <w:link w:val="4"/>
    <w:qFormat/>
    <w:uiPriority w:val="99"/>
    <w:rPr>
      <w:rFonts w:cs="Times New Roman"/>
      <w:sz w:val="18"/>
      <w:szCs w:val="18"/>
    </w:rPr>
  </w:style>
  <w:style w:type="character" w:customStyle="1" w:styleId="18">
    <w:name w:val="页眉 Char"/>
    <w:basedOn w:val="9"/>
    <w:link w:val="5"/>
    <w:qFormat/>
    <w:uiPriority w:val="99"/>
    <w:rPr>
      <w:rFonts w:cs="Times New Roman"/>
      <w:sz w:val="18"/>
      <w:szCs w:val="18"/>
    </w:rPr>
  </w:style>
  <w:style w:type="character" w:customStyle="1" w:styleId="19">
    <w:name w:val="NormalCharacter"/>
    <w:link w:val="11"/>
    <w:qFormat/>
    <w:uiPriority w:val="99"/>
  </w:style>
  <w:style w:type="character" w:customStyle="1" w:styleId="20">
    <w:name w:val="汇报正文 Char"/>
    <w:basedOn w:val="9"/>
    <w:link w:val="12"/>
    <w:qFormat/>
    <w:uiPriority w:val="99"/>
    <w:rPr>
      <w:rFonts w:ascii="仿宋_GB2312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465</Words>
  <Characters>2657</Characters>
  <Lines>22</Lines>
  <Paragraphs>6</Paragraphs>
  <TotalTime>17</TotalTime>
  <ScaleCrop>false</ScaleCrop>
  <LinksUpToDate>false</LinksUpToDate>
  <CharactersWithSpaces>3116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2021-02-24T01:48:00Z</dcterms:created>
  <dc:creator>财政-221</dc:creator>
  <cp:lastModifiedBy>USE</cp:lastModifiedBy>
  <cp:lastPrinted>2021-11-25T07:29:00Z</cp:lastPrinted>
  <dcterms:modified xsi:type="dcterms:W3CDTF">2026-02-11T12:08:38Z</dcterms:modified>
  <dc:title>关于北京市2020年预算执行情况和</dc:title>
  <cp:revision>321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5D61E0B7AEC34DE2B1A7AC6329FAC534</vt:lpwstr>
  </property>
</Properties>
</file>