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exact"/>
        <w:rPr>
          <w:rFonts w:hint="eastAsia" w:ascii="黑体" w:hAnsi="黑体" w:eastAsia="黑体" w:cs="黑体"/>
          <w:color w:val="000000"/>
          <w:sz w:val="36"/>
        </w:rPr>
      </w:pPr>
    </w:p>
    <w:p>
      <w:pPr>
        <w:spacing w:line="560" w:lineRule="exact"/>
        <w:jc w:val="center"/>
        <w:rPr>
          <w:rFonts w:hint="eastAsia" w:ascii="方正小标宋简体" w:eastAsia="方正小标宋简体"/>
          <w:color w:val="auto"/>
          <w:sz w:val="44"/>
          <w:szCs w:val="44"/>
          <w:u w:val="none"/>
          <w:lang w:val="en-US" w:eastAsia="zh-CN"/>
        </w:rPr>
      </w:pPr>
      <w:r>
        <w:rPr>
          <w:rFonts w:hint="eastAsia" w:ascii="方正小标宋简体" w:eastAsia="方正小标宋简体"/>
          <w:color w:val="auto"/>
          <w:sz w:val="44"/>
          <w:szCs w:val="44"/>
          <w:u w:val="none"/>
          <w:lang w:val="en-US" w:eastAsia="zh-CN"/>
        </w:rPr>
        <w:t>北京市密云区人民政府办公室</w:t>
      </w:r>
    </w:p>
    <w:p>
      <w:pPr>
        <w:spacing w:line="560" w:lineRule="exact"/>
        <w:jc w:val="center"/>
        <w:rPr>
          <w:rFonts w:hint="eastAsia" w:ascii="方正小标宋简体" w:eastAsia="方正小标宋简体"/>
          <w:color w:val="000000"/>
          <w:sz w:val="44"/>
          <w:szCs w:val="44"/>
          <w:u w:val="none"/>
        </w:rPr>
      </w:pPr>
      <w:r>
        <w:rPr>
          <w:rFonts w:hint="eastAsia" w:ascii="方正小标宋简体" w:eastAsia="方正小标宋简体"/>
          <w:color w:val="000000"/>
          <w:sz w:val="44"/>
          <w:szCs w:val="44"/>
          <w:u w:val="none"/>
          <w:lang w:eastAsia="zh-CN"/>
        </w:rPr>
        <w:t>2026年</w:t>
      </w:r>
      <w:r>
        <w:rPr>
          <w:rFonts w:hint="eastAsia" w:ascii="方正小标宋简体" w:eastAsia="方正小标宋简体"/>
          <w:color w:val="000000"/>
          <w:sz w:val="44"/>
          <w:szCs w:val="44"/>
          <w:u w:val="none"/>
        </w:rPr>
        <w:t>度部门预算信息公开</w:t>
      </w:r>
    </w:p>
    <w:p>
      <w:pPr>
        <w:spacing w:line="560" w:lineRule="exact"/>
        <w:jc w:val="center"/>
        <w:rPr>
          <w:rFonts w:hint="eastAsia" w:ascii="方正小标宋简体" w:eastAsia="方正小标宋简体"/>
          <w:color w:val="000000"/>
          <w:sz w:val="32"/>
          <w:szCs w:val="32"/>
          <w:u w:val="none"/>
        </w:rPr>
      </w:pPr>
    </w:p>
    <w:p>
      <w:pPr>
        <w:spacing w:line="560" w:lineRule="exact"/>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2"/>
          <w:szCs w:val="32"/>
          <w:u w:val="none"/>
        </w:rPr>
        <w:t>目   录</w:t>
      </w:r>
    </w:p>
    <w:p>
      <w:pPr>
        <w:pStyle w:val="2"/>
        <w:spacing w:line="560" w:lineRule="exact"/>
        <w:rPr>
          <w:rFonts w:hint="default" w:ascii="Cambria" w:eastAsia="黑体"/>
          <w:color w:val="000000"/>
          <w:sz w:val="36"/>
          <w:szCs w:val="32"/>
        </w:rPr>
      </w:pP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第一部分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度部门预算情况说明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一、部门情况说明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二、收入预算情况说明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三、支出预算情况说明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四、财政拨款“三公”经费预算情况说明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五、其他情况说明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六、名词解释</w:t>
      </w: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第二部分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度部门预算报表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一、收支总表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二、收入总表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三、支出总表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highlight w:val="none"/>
          <w:u w:val="none"/>
          <w:lang w:val="zh-CN"/>
        </w:rPr>
      </w:pPr>
      <w:r>
        <w:rPr>
          <w:rFonts w:hint="eastAsia" w:ascii="仿宋_GB2312" w:hAnsi="仿宋_GB2312" w:eastAsia="仿宋_GB2312" w:cs="仿宋_GB2312"/>
          <w:color w:val="000000"/>
          <w:kern w:val="0"/>
          <w:sz w:val="32"/>
          <w:szCs w:val="32"/>
          <w:highlight w:val="none"/>
          <w:u w:val="none"/>
          <w:lang w:val="zh-CN"/>
        </w:rPr>
        <w:t>四、政府采购预算明细表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highlight w:val="none"/>
          <w:u w:val="none"/>
          <w:lang w:val="zh-CN"/>
        </w:rPr>
      </w:pPr>
      <w:r>
        <w:rPr>
          <w:rFonts w:hint="eastAsia" w:ascii="仿宋_GB2312" w:hAnsi="仿宋_GB2312" w:eastAsia="仿宋_GB2312" w:cs="仿宋_GB2312"/>
          <w:color w:val="000000"/>
          <w:kern w:val="0"/>
          <w:sz w:val="32"/>
          <w:szCs w:val="32"/>
          <w:highlight w:val="none"/>
          <w:u w:val="none"/>
          <w:lang w:val="zh-CN"/>
        </w:rPr>
        <w:t>五、财政拨款收支总表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0"/>
          <w:sz w:val="32"/>
          <w:szCs w:val="32"/>
          <w:u w:val="none"/>
          <w:lang w:val="zh-CN"/>
        </w:rPr>
        <w:t>六</w:t>
      </w:r>
      <w:r>
        <w:rPr>
          <w:rFonts w:hint="eastAsia" w:ascii="仿宋_GB2312" w:hAnsi="仿宋_GB2312" w:eastAsia="仿宋_GB2312" w:cs="仿宋_GB2312"/>
          <w:color w:val="000000"/>
          <w:kern w:val="2"/>
          <w:sz w:val="32"/>
          <w:szCs w:val="32"/>
          <w:u w:val="none"/>
          <w:lang w:val="zh-CN"/>
        </w:rPr>
        <w:t>、一般公共预算财政拨款支出表</w:t>
      </w:r>
    </w:p>
    <w:p>
      <w:pPr>
        <w:autoSpaceDE/>
        <w:autoSpaceDN/>
        <w:adjustRightInd/>
        <w:spacing w:line="560" w:lineRule="exact"/>
        <w:ind w:firstLine="640" w:firstLineChars="200"/>
        <w:jc w:val="left"/>
        <w:rPr>
          <w:rFonts w:hint="eastAsia" w:ascii="仿宋_GB2312" w:hAnsi="仿宋_GB2312" w:eastAsia="仿宋_GB2312" w:cs="仿宋_GB2312"/>
          <w:color w:val="000000"/>
          <w:spacing w:val="0"/>
          <w:kern w:val="2"/>
          <w:sz w:val="32"/>
          <w:szCs w:val="32"/>
          <w:u w:val="none"/>
          <w:lang w:val="zh-CN"/>
        </w:rPr>
      </w:pPr>
      <w:r>
        <w:rPr>
          <w:rFonts w:hint="eastAsia" w:ascii="仿宋_GB2312" w:hAnsi="仿宋_GB2312" w:eastAsia="仿宋_GB2312" w:cs="仿宋_GB2312"/>
          <w:color w:val="000000"/>
          <w:kern w:val="2"/>
          <w:sz w:val="32"/>
          <w:szCs w:val="32"/>
          <w:u w:val="none"/>
          <w:lang w:val="zh-CN"/>
        </w:rPr>
        <w:t>七</w:t>
      </w:r>
      <w:r>
        <w:rPr>
          <w:rFonts w:hint="eastAsia" w:ascii="仿宋_GB2312" w:hAnsi="仿宋_GB2312" w:eastAsia="仿宋_GB2312" w:cs="仿宋_GB2312"/>
          <w:color w:val="000000"/>
          <w:spacing w:val="0"/>
          <w:kern w:val="2"/>
          <w:sz w:val="32"/>
          <w:szCs w:val="32"/>
          <w:u w:val="none"/>
          <w:lang w:val="zh-CN"/>
        </w:rPr>
        <w:t>、一般公共预算财政拨款基本支出表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2"/>
          <w:sz w:val="32"/>
          <w:szCs w:val="32"/>
          <w:u w:val="none"/>
          <w:lang w:val="zh-CN"/>
        </w:rPr>
        <w:t>八、政府性基金预算财政拨款支出表</w:t>
      </w:r>
    </w:p>
    <w:p>
      <w:pPr>
        <w:spacing w:line="560" w:lineRule="exact"/>
        <w:ind w:firstLine="640" w:firstLineChars="200"/>
        <w:rPr>
          <w:rFonts w:hint="eastAsia" w:ascii="仿宋_GB2312" w:hAnsi="仿宋_GB2312" w:eastAsia="仿宋_GB2312" w:cs="仿宋_GB2312"/>
          <w:color w:val="000000"/>
          <w:sz w:val="32"/>
          <w:szCs w:val="32"/>
          <w:u w:val="none"/>
          <w:lang w:val="zh-CN"/>
        </w:rPr>
      </w:pPr>
      <w:r>
        <w:rPr>
          <w:rFonts w:hint="eastAsia" w:ascii="仿宋_GB2312" w:hAnsi="仿宋_GB2312" w:eastAsia="仿宋_GB2312" w:cs="仿宋_GB2312"/>
          <w:color w:val="000000"/>
          <w:sz w:val="32"/>
          <w:szCs w:val="32"/>
          <w:u w:val="none"/>
          <w:lang w:val="zh-CN"/>
        </w:rPr>
        <w:t>九、国有资本经营预算财政拨款支出表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spacing w:val="0"/>
          <w:kern w:val="2"/>
          <w:sz w:val="32"/>
          <w:szCs w:val="32"/>
          <w:u w:val="none"/>
          <w:lang w:val="zh-CN"/>
        </w:rPr>
        <w:t>十、财政拨款</w:t>
      </w:r>
      <w:r>
        <w:rPr>
          <w:rFonts w:hint="eastAsia" w:ascii="仿宋_GB2312" w:hAnsi="仿宋_GB2312" w:eastAsia="仿宋_GB2312" w:cs="仿宋_GB2312"/>
          <w:color w:val="000000"/>
          <w:kern w:val="2"/>
          <w:sz w:val="32"/>
          <w:szCs w:val="32"/>
          <w:u w:val="none"/>
          <w:lang w:val="zh-CN"/>
        </w:rPr>
        <w:t>“三公”经费支出表</w:t>
      </w:r>
    </w:p>
    <w:p>
      <w:pPr>
        <w:autoSpaceDE/>
        <w:autoSpaceDN/>
        <w:adjustRightInd/>
        <w:spacing w:line="560" w:lineRule="exact"/>
        <w:ind w:firstLine="640" w:firstLineChars="200"/>
        <w:jc w:val="left"/>
        <w:rPr>
          <w:rFonts w:hint="eastAsia" w:ascii="仿宋_GB2312" w:hAnsi="仿宋_GB2312" w:eastAsia="仿宋_GB2312" w:cs="仿宋_GB2312"/>
          <w:color w:val="000000"/>
          <w:spacing w:val="0"/>
          <w:kern w:val="2"/>
          <w:sz w:val="32"/>
          <w:szCs w:val="32"/>
          <w:highlight w:val="none"/>
          <w:u w:val="none"/>
          <w:lang w:val="zh-CN"/>
        </w:rPr>
      </w:pPr>
      <w:r>
        <w:rPr>
          <w:rFonts w:hint="eastAsia" w:ascii="仿宋_GB2312" w:hAnsi="仿宋_GB2312" w:eastAsia="仿宋_GB2312" w:cs="仿宋_GB2312"/>
          <w:color w:val="000000"/>
          <w:spacing w:val="0"/>
          <w:kern w:val="2"/>
          <w:sz w:val="32"/>
          <w:szCs w:val="32"/>
          <w:highlight w:val="none"/>
          <w:u w:val="none"/>
          <w:lang w:val="zh-CN"/>
        </w:rPr>
        <w:t>十一、政府购买服务预算财政拨款明细表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highlight w:val="none"/>
          <w:u w:val="none"/>
          <w:lang w:val="zh-CN"/>
        </w:rPr>
      </w:pPr>
      <w:r>
        <w:rPr>
          <w:rFonts w:hint="eastAsia" w:ascii="仿宋_GB2312" w:hAnsi="仿宋_GB2312" w:eastAsia="仿宋_GB2312" w:cs="仿宋_GB2312"/>
          <w:color w:val="000000"/>
          <w:kern w:val="2"/>
          <w:sz w:val="32"/>
          <w:szCs w:val="32"/>
          <w:highlight w:val="none"/>
          <w:u w:val="none"/>
          <w:lang w:val="zh-CN"/>
        </w:rPr>
        <w:t>十二、项目支出绩效目标表</w:t>
      </w:r>
    </w:p>
    <w:p>
      <w:pPr>
        <w:autoSpaceDE/>
        <w:autoSpaceDN/>
        <w:adjustRightInd/>
        <w:spacing w:line="560" w:lineRule="exact"/>
        <w:ind w:firstLine="640" w:firstLineChars="200"/>
        <w:jc w:val="left"/>
        <w:rPr>
          <w:rFonts w:hint="eastAsia" w:ascii="仿宋_GB2312" w:hAnsi="仿宋_GB2312" w:eastAsia="仿宋_GB2312" w:cs="仿宋_GB2312"/>
          <w:color w:val="FF0000"/>
          <w:kern w:val="2"/>
          <w:sz w:val="32"/>
          <w:szCs w:val="32"/>
          <w:highlight w:val="none"/>
          <w:u w:val="none"/>
          <w:lang w:val="zh-CN"/>
        </w:rPr>
      </w:pPr>
      <w:r>
        <w:rPr>
          <w:rFonts w:hint="eastAsia" w:ascii="仿宋_GB2312" w:hAnsi="仿宋_GB2312" w:eastAsia="仿宋_GB2312" w:cs="仿宋_GB2312"/>
          <w:color w:val="000000"/>
          <w:kern w:val="2"/>
          <w:sz w:val="32"/>
          <w:szCs w:val="32"/>
          <w:highlight w:val="none"/>
          <w:u w:val="none"/>
          <w:lang w:val="zh-CN"/>
        </w:rPr>
        <w:t>十三、部门整体支出绩效目标表</w:t>
      </w:r>
    </w:p>
    <w:p>
      <w:pPr>
        <w:spacing w:line="560" w:lineRule="exact"/>
        <w:ind w:firstLine="640" w:firstLineChars="200"/>
        <w:rPr>
          <w:rFonts w:hint="default" w:ascii="仿宋_GB2312" w:hAnsi="仿宋_GB2312" w:eastAsia="仿宋_GB2312" w:cs="仿宋_GB2312"/>
          <w:color w:val="000000"/>
          <w:kern w:val="2"/>
          <w:sz w:val="32"/>
          <w:szCs w:val="32"/>
        </w:rPr>
        <w:sectPr>
          <w:footerReference r:id="rId3" w:type="default"/>
          <w:footerReference r:id="rId4" w:type="even"/>
          <w:pgSz w:w="11906" w:h="16838"/>
          <w:pgMar w:top="1911" w:right="1474" w:bottom="1882" w:left="1588" w:header="851" w:footer="1531" w:gutter="0"/>
          <w:pgNumType w:fmt="numberInDash"/>
          <w:cols w:space="720" w:num="1"/>
          <w:docGrid w:type="lines" w:linePitch="312" w:charSpace="0"/>
        </w:sectPr>
      </w:pPr>
    </w:p>
    <w:p>
      <w:pPr>
        <w:spacing w:line="560" w:lineRule="exact"/>
        <w:ind w:firstLine="0" w:firstLineChars="0"/>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6"/>
          <w:szCs w:val="36"/>
          <w:u w:val="none"/>
        </w:rPr>
        <w:t xml:space="preserve">第一部分  </w:t>
      </w:r>
      <w:r>
        <w:rPr>
          <w:rFonts w:hint="eastAsia" w:ascii="方正小标宋简体" w:eastAsia="方正小标宋简体"/>
          <w:color w:val="000000"/>
          <w:sz w:val="36"/>
          <w:szCs w:val="36"/>
          <w:u w:val="none"/>
          <w:lang w:eastAsia="zh-CN"/>
        </w:rPr>
        <w:t>2026年</w:t>
      </w:r>
      <w:r>
        <w:rPr>
          <w:rFonts w:hint="eastAsia" w:ascii="方正小标宋简体" w:eastAsia="方正小标宋简体"/>
          <w:color w:val="000000"/>
          <w:sz w:val="36"/>
          <w:szCs w:val="36"/>
          <w:u w:val="none"/>
        </w:rPr>
        <w:t>度部门预算情况说明</w:t>
      </w:r>
    </w:p>
    <w:p>
      <w:pPr>
        <w:spacing w:line="560" w:lineRule="exact"/>
        <w:ind w:firstLine="640" w:firstLineChars="200"/>
        <w:rPr>
          <w:rFonts w:hint="eastAsia" w:ascii="仿宋_GB2312" w:eastAsia="仿宋_GB2312"/>
          <w:color w:val="000000"/>
          <w:sz w:val="32"/>
          <w:szCs w:val="32"/>
          <w:u w:val="none"/>
        </w:rPr>
      </w:pP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一、部门情况说明</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（一）本部门性质、职责等情况</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区政府办公室为区政府所属正处级行政单位。主要职责包括：</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1、贯彻执行区政府的决策和指示，负责处理区政府日常具体事务。</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2、起草、印发以区政府和区政府办公室名义上报下发的文件；审核办理以区政府和区政府办公室名义转发的文件；起草区政府工作总结、工作计划和年度《政府工作报告》。</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负责政务信息的收集、加工整理、编发、传递和反馈，并围绕区政府的中心工作开展调研，为区政府领导决策提供依据；编发《昨日区情》、《密云政务》，负责向市政府上报信息以及区政府信息公开的组织、协调、监督、管理等事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4、督促、检查市政府、市政府有关部门和区政府重要决策、工作部署以及区级领导交办事项的贯彻落实。</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5、负责区政府常务会、区长办公会、区政府全体会议和区政府有关会议的筹备，并负责会议决定事项的督办落实工作。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6、负责区政府内外联系及公关性工作，综合协调区政府各部门之间的关系；负责与市政府和区委、区人大、区政协的联络工作；受区长、副区长的委托，代表区政府牵头组织重要政务活动及临时性工作。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7、负责市、区人大会议和政协会议交由区政府办理的意见、建议和提案的落实工作；负责人大、政协交由区政府承办的有关事项；协助有关部门做好市、区人大代表和政协委员视察活动的组织筹备联络工作。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8、负责外事调研、涉外事件处理、因公出国（境）、外国人来华邀请的审核、报批以及区委外事工作领导小组的日常工作。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9、</w:t>
      </w:r>
      <w:r>
        <w:rPr>
          <w:rFonts w:hint="eastAsia" w:ascii="仿宋_GB2312" w:hAnsi="Times New Roman" w:eastAsia="仿宋_GB2312" w:cs="Times New Roman"/>
          <w:color w:val="000000"/>
          <w:sz w:val="32"/>
          <w:szCs w:val="32"/>
        </w:rPr>
        <w:t>负责区政府的文件收发、传递、保管、机要保密、档案立卷、印信管理和值班、接待等日常行政工作。</w:t>
      </w:r>
    </w:p>
    <w:p>
      <w:pPr>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10</w:t>
      </w:r>
      <w:r>
        <w:rPr>
          <w:rFonts w:hint="eastAsia" w:ascii="仿宋_GB2312" w:hAnsi="Times New Roman" w:eastAsia="仿宋_GB2312" w:cs="Times New Roman"/>
          <w:color w:val="000000"/>
          <w:sz w:val="32"/>
          <w:szCs w:val="32"/>
        </w:rPr>
        <w:t>、办理区政府领导同志交办的其他事项。</w:t>
      </w:r>
    </w:p>
    <w:p>
      <w:pPr>
        <w:spacing w:line="560" w:lineRule="exact"/>
        <w:ind w:firstLine="640" w:firstLineChars="200"/>
        <w:outlineLvl w:val="9"/>
        <w:rPr>
          <w:rFonts w:hint="eastAsia" w:ascii="楷体_GB2312" w:eastAsia="楷体_GB2312"/>
          <w:color w:val="FF0000"/>
          <w:sz w:val="32"/>
          <w:szCs w:val="32"/>
          <w:u w:val="none"/>
        </w:rPr>
      </w:pPr>
      <w:r>
        <w:rPr>
          <w:rFonts w:hint="eastAsia" w:ascii="楷体_GB2312" w:hAnsi="Times New Roman" w:eastAsia="楷体_GB2312" w:cs="Times New Roman"/>
          <w:color w:val="000000"/>
          <w:sz w:val="32"/>
          <w:szCs w:val="32"/>
          <w:lang w:eastAsia="zh-CN"/>
        </w:rPr>
        <w:t>（</w:t>
      </w:r>
      <w:r>
        <w:rPr>
          <w:rFonts w:hint="eastAsia" w:ascii="楷体_GB2312" w:hAnsi="Times New Roman" w:eastAsia="楷体_GB2312" w:cs="Times New Roman"/>
          <w:color w:val="000000"/>
          <w:sz w:val="32"/>
          <w:szCs w:val="32"/>
          <w:lang w:val="en-US" w:eastAsia="zh-CN"/>
        </w:rPr>
        <w:t>二</w:t>
      </w:r>
      <w:r>
        <w:rPr>
          <w:rFonts w:hint="eastAsia" w:ascii="楷体_GB2312" w:hAnsi="Times New Roman" w:eastAsia="楷体_GB2312" w:cs="Times New Roman"/>
          <w:color w:val="000000"/>
          <w:sz w:val="32"/>
          <w:szCs w:val="32"/>
          <w:lang w:eastAsia="zh-CN"/>
        </w:rPr>
        <w:t>）</w:t>
      </w:r>
      <w:r>
        <w:rPr>
          <w:rFonts w:hint="eastAsia" w:ascii="楷体_GB2312" w:eastAsia="楷体_GB2312"/>
          <w:color w:val="000000"/>
          <w:sz w:val="32"/>
          <w:szCs w:val="32"/>
          <w:u w:val="none"/>
        </w:rPr>
        <w:t>机构设置情况</w:t>
      </w:r>
    </w:p>
    <w:p>
      <w:pPr>
        <w:spacing w:line="560" w:lineRule="exact"/>
        <w:ind w:firstLine="640" w:firstLineChars="200"/>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区政府办内设职能科室7个，即值班室、秘书科、信息科、督查室、联络科、行政科、外事科，以及机关党委（党建科）、机关纪委、机关工会；所属事业单位2个，分别为区政府绩效考评中心和区政府办公室综合服务中心。</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hAnsi="Times New Roman" w:eastAsia="仿宋_GB2312" w:cs="Times New Roman"/>
          <w:color w:val="000000"/>
          <w:sz w:val="32"/>
          <w:szCs w:val="32"/>
          <w:lang w:val="en-US" w:eastAsia="zh-CN"/>
        </w:rPr>
        <w:t>北京市密云区人民政府办公室包括1个预算单位，即北京市密云区人民政府办公室（本级）。</w:t>
      </w:r>
    </w:p>
    <w:p>
      <w:pPr>
        <w:spacing w:line="560" w:lineRule="exact"/>
        <w:ind w:firstLine="640" w:firstLineChars="200"/>
        <w:rPr>
          <w:rFonts w:hint="eastAsia" w:ascii="黑体" w:eastAsia="黑体"/>
          <w:color w:val="FF0000"/>
          <w:sz w:val="32"/>
          <w:szCs w:val="32"/>
          <w:u w:val="none"/>
        </w:rPr>
      </w:pPr>
      <w:r>
        <w:rPr>
          <w:rFonts w:hint="eastAsia" w:ascii="黑体" w:eastAsia="黑体"/>
          <w:color w:val="000000"/>
          <w:sz w:val="32"/>
          <w:szCs w:val="32"/>
          <w:u w:val="none"/>
        </w:rPr>
        <w:t>二、收入预算情况说明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度收入预算</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065.46</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008.61</w:t>
      </w:r>
      <w:r>
        <w:rPr>
          <w:rFonts w:hint="eastAsia" w:ascii="仿宋_GB2312" w:eastAsia="仿宋_GB2312"/>
          <w:color w:val="000000"/>
          <w:sz w:val="32"/>
          <w:szCs w:val="32"/>
          <w:u w:val="none"/>
        </w:rPr>
        <w:t>万元增加</w:t>
      </w:r>
      <w:r>
        <w:rPr>
          <w:rFonts w:hint="eastAsia" w:ascii="仿宋_GB2312" w:eastAsia="仿宋_GB2312"/>
          <w:color w:val="000000"/>
          <w:sz w:val="32"/>
          <w:szCs w:val="32"/>
          <w:u w:val="none"/>
          <w:lang w:eastAsia="zh-CN"/>
        </w:rPr>
        <w:t>5</w:t>
      </w:r>
      <w:r>
        <w:rPr>
          <w:rFonts w:hint="eastAsia" w:ascii="仿宋_GB2312" w:eastAsia="仿宋_GB2312"/>
          <w:color w:val="000000"/>
          <w:sz w:val="32"/>
          <w:szCs w:val="32"/>
          <w:u w:val="none"/>
          <w:lang w:val="en-US" w:eastAsia="zh-CN"/>
        </w:rPr>
        <w:t>6.85</w:t>
      </w:r>
      <w:r>
        <w:rPr>
          <w:rFonts w:hint="eastAsia" w:ascii="仿宋_GB2312" w:eastAsia="仿宋_GB2312"/>
          <w:color w:val="000000"/>
          <w:sz w:val="32"/>
          <w:szCs w:val="32"/>
          <w:u w:val="none"/>
        </w:rPr>
        <w:t>万元，增长</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.83</w:t>
      </w:r>
      <w:r>
        <w:rPr>
          <w:rFonts w:hint="eastAsia" w:ascii="仿宋_GB2312" w:eastAsia="仿宋_GB2312"/>
          <w:color w:val="000000"/>
          <w:sz w:val="32"/>
          <w:szCs w:val="32"/>
          <w:u w:val="none"/>
        </w:rPr>
        <w:t>%。主要原因是</w:t>
      </w:r>
      <w:r>
        <w:rPr>
          <w:rFonts w:hint="eastAsia" w:ascii="仿宋_GB2312" w:eastAsia="仿宋_GB2312"/>
          <w:color w:val="000000"/>
          <w:sz w:val="32"/>
          <w:szCs w:val="32"/>
          <w:u w:val="none"/>
          <w:lang w:val="en-US" w:eastAsia="zh-CN"/>
        </w:rPr>
        <w:t>人员增加以及机关养老、职业年金、医疗保险和公积金调整</w:t>
      </w:r>
      <w:r>
        <w:rPr>
          <w:rFonts w:hint="eastAsia" w:ascii="仿宋_GB2312" w:eastAsia="仿宋_GB2312"/>
          <w:color w:val="000000"/>
          <w:sz w:val="32"/>
          <w:szCs w:val="32"/>
          <w:u w:val="none"/>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（一）本年财政拨款收入</w:t>
      </w:r>
      <w:r>
        <w:rPr>
          <w:rFonts w:hint="eastAsia" w:ascii="楷体_GB2312" w:eastAsia="楷体_GB2312"/>
          <w:color w:val="000000"/>
          <w:sz w:val="32"/>
          <w:szCs w:val="32"/>
          <w:u w:val="none"/>
          <w:lang w:eastAsia="zh-CN"/>
        </w:rPr>
        <w:t>2</w:t>
      </w:r>
      <w:r>
        <w:rPr>
          <w:rFonts w:hint="eastAsia" w:ascii="楷体_GB2312" w:eastAsia="楷体_GB2312"/>
          <w:color w:val="000000"/>
          <w:sz w:val="32"/>
          <w:szCs w:val="32"/>
          <w:u w:val="none"/>
          <w:lang w:val="en-US" w:eastAsia="zh-CN"/>
        </w:rPr>
        <w:t>003.55</w:t>
      </w:r>
      <w:r>
        <w:rPr>
          <w:rFonts w:hint="eastAsia" w:ascii="楷体_GB2312" w:eastAsia="楷体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1.一般公共预算拨款收入</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003.55</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2.政府性基金预算拨款收入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3.国有资本经营预算拨款收入</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（二）本年其他资金收入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楷体_GB2312" w:eastAsia="楷体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4.财政专户管理资金收入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5.事业收入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6.上级补助收入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7.附属单位上缴收入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8.事业单位经营收入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9.其他收入</w:t>
      </w:r>
      <w:r>
        <w:rPr>
          <w:rFonts w:hint="eastAsia" w:ascii="楷体_GB2312" w:eastAsia="楷体_GB2312"/>
          <w:color w:val="000000"/>
          <w:sz w:val="32"/>
          <w:szCs w:val="32"/>
          <w:u w:val="none"/>
          <w:lang w:eastAsia="zh-CN"/>
        </w:rPr>
        <w:t>0</w:t>
      </w:r>
      <w:r>
        <w:rPr>
          <w:rFonts w:hint="eastAsia" w:ascii="楷体_GB2312" w:eastAsia="楷体_GB2312"/>
          <w:color w:val="000000"/>
          <w:sz w:val="32"/>
          <w:szCs w:val="32"/>
          <w:u w:val="none"/>
          <w:lang w:val="en-US" w:eastAsia="zh-CN"/>
        </w:rPr>
        <w:t>.00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（三）上年结转结余</w:t>
      </w:r>
      <w:r>
        <w:rPr>
          <w:rFonts w:hint="eastAsia" w:ascii="楷体_GB2312" w:eastAsia="楷体_GB2312"/>
          <w:color w:val="000000"/>
          <w:sz w:val="32"/>
          <w:szCs w:val="32"/>
          <w:u w:val="none"/>
          <w:lang w:eastAsia="zh-CN"/>
        </w:rPr>
        <w:t>3</w:t>
      </w:r>
      <w:r>
        <w:rPr>
          <w:rFonts w:hint="eastAsia" w:ascii="楷体_GB2312" w:eastAsia="楷体_GB2312"/>
          <w:color w:val="000000"/>
          <w:sz w:val="32"/>
          <w:szCs w:val="32"/>
          <w:u w:val="none"/>
          <w:lang w:val="en-US" w:eastAsia="zh-CN"/>
        </w:rPr>
        <w:t>1.91</w:t>
      </w:r>
      <w:r>
        <w:rPr>
          <w:rFonts w:hint="eastAsia" w:ascii="楷体_GB2312" w:eastAsia="楷体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10.上年结转结余</w:t>
      </w:r>
      <w:r>
        <w:rPr>
          <w:rFonts w:hint="eastAsia" w:ascii="仿宋_GB2312" w:eastAsia="仿宋_GB2312"/>
          <w:color w:val="000000"/>
          <w:sz w:val="32"/>
          <w:szCs w:val="32"/>
          <w:u w:val="none"/>
          <w:lang w:eastAsia="zh-CN"/>
        </w:rPr>
        <w:t>3</w:t>
      </w:r>
      <w:r>
        <w:rPr>
          <w:rFonts w:hint="eastAsia" w:ascii="仿宋_GB2312" w:eastAsia="仿宋_GB2312"/>
          <w:color w:val="000000"/>
          <w:sz w:val="32"/>
          <w:szCs w:val="32"/>
          <w:u w:val="none"/>
          <w:lang w:val="en-US" w:eastAsia="zh-CN"/>
        </w:rPr>
        <w:t>1.91</w:t>
      </w:r>
      <w:r>
        <w:rPr>
          <w:rFonts w:hint="eastAsia" w:ascii="仿宋_GB2312" w:eastAsia="仿宋_GB2312"/>
          <w:color w:val="000000"/>
          <w:sz w:val="32"/>
          <w:szCs w:val="32"/>
          <w:u w:val="none"/>
        </w:rPr>
        <w:t>万元。</w:t>
      </w:r>
    </w:p>
    <w:p>
      <w:pPr>
        <w:spacing w:line="560" w:lineRule="exact"/>
        <w:ind w:firstLine="640" w:firstLineChars="200"/>
        <w:rPr>
          <w:rFonts w:hint="eastAsia" w:ascii="黑体" w:eastAsia="黑体"/>
          <w:color w:val="auto"/>
          <w:sz w:val="32"/>
          <w:szCs w:val="32"/>
          <w:u w:val="none"/>
        </w:rPr>
      </w:pPr>
      <w:r>
        <w:rPr>
          <w:rFonts w:hint="eastAsia" w:ascii="黑体" w:eastAsia="黑体"/>
          <w:sz w:val="32"/>
          <w:szCs w:val="32"/>
          <w:u w:val="none"/>
        </w:rPr>
        <w:t>三</w:t>
      </w:r>
      <w:r>
        <w:rPr>
          <w:rFonts w:hint="eastAsia" w:ascii="黑体" w:eastAsia="黑体"/>
          <w:color w:val="auto"/>
          <w:sz w:val="32"/>
          <w:szCs w:val="32"/>
          <w:u w:val="none"/>
        </w:rPr>
        <w:t>、支出预算情况说明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支出预算</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065.46</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008.61</w:t>
      </w:r>
      <w:r>
        <w:rPr>
          <w:rFonts w:hint="eastAsia" w:ascii="仿宋_GB2312" w:eastAsia="仿宋_GB2312"/>
          <w:color w:val="000000"/>
          <w:sz w:val="32"/>
          <w:szCs w:val="32"/>
          <w:u w:val="none"/>
        </w:rPr>
        <w:t>万元增加</w:t>
      </w:r>
      <w:r>
        <w:rPr>
          <w:rFonts w:hint="eastAsia" w:ascii="仿宋_GB2312" w:eastAsia="仿宋_GB2312"/>
          <w:color w:val="000000"/>
          <w:sz w:val="32"/>
          <w:szCs w:val="32"/>
          <w:u w:val="none"/>
          <w:lang w:eastAsia="zh-CN"/>
        </w:rPr>
        <w:t>5</w:t>
      </w:r>
      <w:r>
        <w:rPr>
          <w:rFonts w:hint="eastAsia" w:ascii="仿宋_GB2312" w:eastAsia="仿宋_GB2312"/>
          <w:color w:val="000000"/>
          <w:sz w:val="32"/>
          <w:szCs w:val="32"/>
          <w:u w:val="none"/>
          <w:lang w:val="en-US" w:eastAsia="zh-CN"/>
        </w:rPr>
        <w:t>6.85</w:t>
      </w:r>
      <w:r>
        <w:rPr>
          <w:rFonts w:hint="eastAsia" w:ascii="仿宋_GB2312" w:eastAsia="仿宋_GB2312"/>
          <w:color w:val="000000"/>
          <w:sz w:val="32"/>
          <w:szCs w:val="32"/>
          <w:u w:val="none"/>
        </w:rPr>
        <w:t>万元，增长</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.83</w:t>
      </w:r>
      <w:r>
        <w:rPr>
          <w:rFonts w:hint="eastAsia" w:ascii="仿宋_GB2312" w:eastAsia="仿宋_GB2312"/>
          <w:color w:val="000000"/>
          <w:sz w:val="32"/>
          <w:szCs w:val="32"/>
          <w:u w:val="none"/>
        </w:rPr>
        <w:t>%。主要原因是</w:t>
      </w:r>
      <w:r>
        <w:rPr>
          <w:rFonts w:hint="eastAsia" w:ascii="仿宋_GB2312" w:eastAsia="仿宋_GB2312"/>
          <w:color w:val="000000"/>
          <w:sz w:val="32"/>
          <w:szCs w:val="32"/>
          <w:u w:val="none"/>
          <w:lang w:val="en-US" w:eastAsia="zh-CN"/>
        </w:rPr>
        <w:t>人员增加以及机关养老、职业年金、医疗保险和公积金调整。</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楷体_GB2312" w:hAnsi="楷体_GB2312" w:eastAsia="楷体_GB2312" w:cs="楷体_GB2312"/>
          <w:color w:val="000000"/>
          <w:sz w:val="32"/>
          <w:szCs w:val="32"/>
          <w:highlight w:val="none"/>
          <w:u w:val="none"/>
        </w:rPr>
        <w:t>(一)基本支出。</w:t>
      </w:r>
      <w:r>
        <w:rPr>
          <w:rFonts w:hint="eastAsia" w:ascii="仿宋_GB2312" w:hAnsi="仿宋_GB2312" w:eastAsia="仿宋_GB2312" w:cs="仿宋_GB2312"/>
          <w:color w:val="000000"/>
          <w:sz w:val="32"/>
          <w:szCs w:val="32"/>
          <w:highlight w:val="none"/>
          <w:u w:val="none"/>
        </w:rPr>
        <w:t>基本支出预算</w:t>
      </w:r>
      <w:r>
        <w:rPr>
          <w:rFonts w:hint="eastAsia" w:ascii="仿宋_GB2312" w:hAnsi="仿宋_GB2312" w:eastAsia="仿宋_GB2312" w:cs="仿宋_GB2312"/>
          <w:color w:val="000000"/>
          <w:sz w:val="32"/>
          <w:szCs w:val="32"/>
          <w:highlight w:val="none"/>
          <w:u w:val="none"/>
          <w:lang w:eastAsia="zh-CN"/>
        </w:rPr>
        <w:t>2</w:t>
      </w:r>
      <w:r>
        <w:rPr>
          <w:rFonts w:hint="eastAsia" w:ascii="仿宋_GB2312" w:hAnsi="仿宋_GB2312" w:eastAsia="仿宋_GB2312" w:cs="仿宋_GB2312"/>
          <w:color w:val="000000"/>
          <w:sz w:val="32"/>
          <w:szCs w:val="32"/>
          <w:highlight w:val="none"/>
          <w:u w:val="none"/>
          <w:lang w:val="en-US" w:eastAsia="zh-CN"/>
        </w:rPr>
        <w:t>048.74</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color w:val="auto"/>
          <w:sz w:val="32"/>
          <w:szCs w:val="32"/>
          <w:highlight w:val="none"/>
          <w:u w:val="none"/>
        </w:rPr>
        <w:t>占</w:t>
      </w:r>
      <w:r>
        <w:rPr>
          <w:rFonts w:hint="eastAsia" w:ascii="仿宋_GB2312" w:hAnsi="仿宋_GB2312" w:eastAsia="仿宋_GB2312" w:cs="仿宋_GB2312"/>
          <w:color w:val="auto"/>
          <w:sz w:val="32"/>
          <w:szCs w:val="32"/>
          <w:highlight w:val="none"/>
          <w:u w:val="none"/>
          <w:lang w:eastAsia="zh-CN"/>
        </w:rPr>
        <w:t>本年</w:t>
      </w:r>
      <w:r>
        <w:rPr>
          <w:rFonts w:hint="eastAsia" w:ascii="仿宋_GB2312" w:hAnsi="仿宋_GB2312" w:eastAsia="仿宋_GB2312" w:cs="仿宋_GB2312"/>
          <w:color w:val="auto"/>
          <w:sz w:val="32"/>
          <w:szCs w:val="32"/>
          <w:highlight w:val="none"/>
          <w:u w:val="none"/>
        </w:rPr>
        <w:t>支出预算</w:t>
      </w:r>
      <w:r>
        <w:rPr>
          <w:rFonts w:hint="eastAsia" w:ascii="仿宋_GB2312" w:hAnsi="仿宋_GB2312" w:eastAsia="仿宋_GB2312" w:cs="仿宋_GB2312"/>
          <w:color w:val="auto"/>
          <w:sz w:val="32"/>
          <w:szCs w:val="32"/>
          <w:highlight w:val="none"/>
          <w:u w:val="none"/>
          <w:lang w:eastAsia="zh-CN"/>
        </w:rPr>
        <w:t>9</w:t>
      </w:r>
      <w:r>
        <w:rPr>
          <w:rFonts w:hint="eastAsia" w:ascii="仿宋_GB2312" w:hAnsi="仿宋_GB2312" w:eastAsia="仿宋_GB2312" w:cs="仿宋_GB2312"/>
          <w:color w:val="auto"/>
          <w:sz w:val="32"/>
          <w:szCs w:val="32"/>
          <w:highlight w:val="none"/>
          <w:u w:val="none"/>
          <w:lang w:val="en-US" w:eastAsia="zh-CN"/>
        </w:rPr>
        <w:t>9.19</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000000"/>
          <w:sz w:val="32"/>
          <w:szCs w:val="32"/>
          <w:u w:val="none"/>
        </w:rPr>
        <w:t>比</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rPr>
        <w:t>年初预算数</w:t>
      </w:r>
      <w:r>
        <w:rPr>
          <w:rFonts w:hint="eastAsia" w:ascii="仿宋_GB2312" w:hAnsi="仿宋_GB2312" w:eastAsia="仿宋_GB2312" w:cs="仿宋_GB2312"/>
          <w:color w:val="000000"/>
          <w:sz w:val="32"/>
          <w:szCs w:val="32"/>
          <w:u w:val="none"/>
          <w:lang w:eastAsia="zh-CN"/>
        </w:rPr>
        <w:t>2</w:t>
      </w:r>
      <w:r>
        <w:rPr>
          <w:rFonts w:hint="eastAsia" w:ascii="仿宋_GB2312" w:hAnsi="仿宋_GB2312" w:eastAsia="仿宋_GB2312" w:cs="仿宋_GB2312"/>
          <w:color w:val="000000"/>
          <w:sz w:val="32"/>
          <w:szCs w:val="32"/>
          <w:u w:val="none"/>
          <w:lang w:val="en-US" w:eastAsia="zh-CN"/>
        </w:rPr>
        <w:t>005.80</w:t>
      </w:r>
      <w:r>
        <w:rPr>
          <w:rFonts w:hint="eastAsia" w:ascii="仿宋_GB2312" w:hAnsi="仿宋_GB2312" w:eastAsia="仿宋_GB2312" w:cs="仿宋_GB2312"/>
          <w:color w:val="000000"/>
          <w:sz w:val="32"/>
          <w:szCs w:val="32"/>
          <w:u w:val="none"/>
        </w:rPr>
        <w:t>万元增加</w:t>
      </w:r>
      <w:r>
        <w:rPr>
          <w:rFonts w:hint="eastAsia" w:ascii="仿宋_GB2312" w:hAnsi="仿宋_GB2312" w:eastAsia="仿宋_GB2312" w:cs="仿宋_GB2312"/>
          <w:color w:val="000000"/>
          <w:sz w:val="32"/>
          <w:szCs w:val="32"/>
          <w:u w:val="none"/>
          <w:lang w:eastAsia="zh-CN"/>
        </w:rPr>
        <w:t>4</w:t>
      </w:r>
      <w:r>
        <w:rPr>
          <w:rFonts w:hint="eastAsia" w:ascii="仿宋_GB2312" w:hAnsi="仿宋_GB2312" w:eastAsia="仿宋_GB2312" w:cs="仿宋_GB2312"/>
          <w:color w:val="000000"/>
          <w:sz w:val="32"/>
          <w:szCs w:val="32"/>
          <w:u w:val="none"/>
          <w:lang w:val="en-US" w:eastAsia="zh-CN"/>
        </w:rPr>
        <w:t>2.94</w:t>
      </w:r>
      <w:r>
        <w:rPr>
          <w:rFonts w:hint="eastAsia" w:ascii="仿宋_GB2312" w:hAnsi="仿宋_GB2312" w:eastAsia="仿宋_GB2312" w:cs="仿宋_GB2312"/>
          <w:color w:val="000000"/>
          <w:sz w:val="32"/>
          <w:szCs w:val="32"/>
          <w:u w:val="none"/>
        </w:rPr>
        <w:t>万元，增长</w:t>
      </w:r>
      <w:r>
        <w:rPr>
          <w:rFonts w:hint="eastAsia" w:ascii="仿宋_GB2312" w:hAnsi="仿宋_GB2312" w:eastAsia="仿宋_GB2312" w:cs="仿宋_GB2312"/>
          <w:color w:val="000000"/>
          <w:sz w:val="32"/>
          <w:szCs w:val="32"/>
          <w:u w:val="none"/>
          <w:lang w:eastAsia="zh-CN"/>
        </w:rPr>
        <w:t>2</w:t>
      </w:r>
      <w:r>
        <w:rPr>
          <w:rFonts w:hint="eastAsia" w:ascii="仿宋_GB2312" w:hAnsi="仿宋_GB2312" w:eastAsia="仿宋_GB2312" w:cs="仿宋_GB2312"/>
          <w:color w:val="000000"/>
          <w:sz w:val="32"/>
          <w:szCs w:val="32"/>
          <w:u w:val="none"/>
          <w:lang w:val="en-US" w:eastAsia="zh-CN"/>
        </w:rPr>
        <w:t>.14</w:t>
      </w:r>
      <w:r>
        <w:rPr>
          <w:rFonts w:hint="eastAsia" w:ascii="仿宋_GB2312" w:hAnsi="仿宋_GB2312" w:eastAsia="仿宋_GB2312" w:cs="仿宋_GB2312"/>
          <w:color w:val="000000"/>
          <w:sz w:val="32"/>
          <w:szCs w:val="32"/>
          <w:u w:val="none"/>
        </w:rPr>
        <w:t>%。</w:t>
      </w:r>
    </w:p>
    <w:p>
      <w:pPr>
        <w:spacing w:line="560" w:lineRule="exact"/>
        <w:ind w:firstLine="640" w:firstLineChars="200"/>
        <w:rPr>
          <w:rFonts w:hint="eastAsia" w:ascii="仿宋_GB2312" w:eastAsia="仿宋_GB2312"/>
          <w:color w:val="000000"/>
          <w:sz w:val="32"/>
          <w:szCs w:val="32"/>
          <w:u w:val="none"/>
        </w:rPr>
      </w:pPr>
      <w:r>
        <w:rPr>
          <w:rFonts w:hint="eastAsia" w:ascii="楷体_GB2312" w:hAnsi="楷体_GB2312" w:eastAsia="楷体_GB2312" w:cs="楷体_GB2312"/>
          <w:color w:val="000000"/>
          <w:sz w:val="32"/>
          <w:szCs w:val="32"/>
          <w:u w:val="none"/>
        </w:rPr>
        <w:t>（二）项目支出。</w:t>
      </w:r>
      <w:r>
        <w:rPr>
          <w:rFonts w:hint="eastAsia" w:ascii="仿宋_GB2312" w:eastAsia="仿宋_GB2312"/>
          <w:color w:val="000000"/>
          <w:sz w:val="32"/>
          <w:szCs w:val="32"/>
          <w:u w:val="none"/>
        </w:rPr>
        <w:t>项目支出预算</w:t>
      </w:r>
      <w:r>
        <w:rPr>
          <w:rFonts w:hint="eastAsia" w:ascii="仿宋_GB2312" w:eastAsia="仿宋_GB2312"/>
          <w:color w:val="000000"/>
          <w:sz w:val="32"/>
          <w:szCs w:val="32"/>
          <w:u w:val="none"/>
          <w:lang w:eastAsia="zh-CN"/>
        </w:rPr>
        <w:t>1</w:t>
      </w:r>
      <w:r>
        <w:rPr>
          <w:rFonts w:hint="eastAsia" w:ascii="仿宋_GB2312" w:eastAsia="仿宋_GB2312"/>
          <w:color w:val="000000"/>
          <w:sz w:val="32"/>
          <w:szCs w:val="32"/>
          <w:u w:val="none"/>
          <w:lang w:val="en-US" w:eastAsia="zh-CN"/>
        </w:rPr>
        <w:t>6.72</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eastAsia="zh-CN"/>
        </w:rPr>
        <w:t>2</w:t>
      </w:r>
      <w:r>
        <w:rPr>
          <w:rFonts w:hint="eastAsia" w:ascii="仿宋_GB2312" w:eastAsia="仿宋_GB2312"/>
          <w:color w:val="000000"/>
          <w:sz w:val="32"/>
          <w:szCs w:val="32"/>
          <w:u w:val="none"/>
          <w:lang w:val="en-US" w:eastAsia="zh-CN"/>
        </w:rPr>
        <w:t>.8</w:t>
      </w:r>
      <w:r>
        <w:rPr>
          <w:rFonts w:hint="eastAsia" w:ascii="仿宋_GB2312" w:eastAsia="仿宋_GB2312"/>
          <w:color w:val="000000"/>
          <w:sz w:val="32"/>
          <w:szCs w:val="32"/>
          <w:u w:val="none"/>
        </w:rPr>
        <w:t>万元增加</w:t>
      </w:r>
      <w:r>
        <w:rPr>
          <w:rFonts w:hint="eastAsia" w:ascii="仿宋_GB2312" w:eastAsia="仿宋_GB2312"/>
          <w:color w:val="000000"/>
          <w:sz w:val="32"/>
          <w:szCs w:val="32"/>
          <w:u w:val="none"/>
          <w:lang w:eastAsia="zh-CN"/>
        </w:rPr>
        <w:t>1</w:t>
      </w:r>
      <w:r>
        <w:rPr>
          <w:rFonts w:hint="eastAsia" w:ascii="仿宋_GB2312" w:eastAsia="仿宋_GB2312"/>
          <w:color w:val="000000"/>
          <w:sz w:val="32"/>
          <w:szCs w:val="32"/>
          <w:u w:val="none"/>
          <w:lang w:val="en-US" w:eastAsia="zh-CN"/>
        </w:rPr>
        <w:t>3.92</w:t>
      </w:r>
      <w:r>
        <w:rPr>
          <w:rFonts w:hint="eastAsia" w:ascii="仿宋_GB2312" w:eastAsia="仿宋_GB2312"/>
          <w:color w:val="000000"/>
          <w:sz w:val="32"/>
          <w:szCs w:val="32"/>
          <w:u w:val="none"/>
        </w:rPr>
        <w:t>万元，增长</w:t>
      </w:r>
      <w:r>
        <w:rPr>
          <w:rFonts w:hint="eastAsia" w:ascii="仿宋_GB2312" w:eastAsia="仿宋_GB2312"/>
          <w:color w:val="000000"/>
          <w:sz w:val="32"/>
          <w:szCs w:val="32"/>
          <w:u w:val="none"/>
          <w:lang w:eastAsia="zh-CN"/>
        </w:rPr>
        <w:t>4</w:t>
      </w:r>
      <w:r>
        <w:rPr>
          <w:rFonts w:hint="eastAsia" w:ascii="仿宋_GB2312" w:eastAsia="仿宋_GB2312"/>
          <w:color w:val="000000"/>
          <w:sz w:val="32"/>
          <w:szCs w:val="32"/>
          <w:u w:val="none"/>
          <w:lang w:val="en-US" w:eastAsia="zh-CN"/>
        </w:rPr>
        <w:t>97.14</w:t>
      </w:r>
      <w:r>
        <w:rPr>
          <w:rFonts w:hint="eastAsia" w:ascii="仿宋_GB2312" w:eastAsia="仿宋_GB2312"/>
          <w:color w:val="000000"/>
          <w:sz w:val="32"/>
          <w:szCs w:val="32"/>
          <w:u w:val="none"/>
        </w:rPr>
        <w:t>%。</w:t>
      </w:r>
    </w:p>
    <w:p>
      <w:pPr>
        <w:numPr>
          <w:ilvl w:val="0"/>
          <w:numId w:val="1"/>
        </w:numPr>
        <w:spacing w:line="560" w:lineRule="exact"/>
        <w:ind w:firstLine="640" w:firstLineChars="200"/>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年</w:t>
      </w:r>
      <w:r>
        <w:rPr>
          <w:rFonts w:hint="eastAsia" w:ascii="楷体_GB2312" w:hAnsi="楷体_GB2312" w:eastAsia="楷体_GB2312" w:cs="楷体_GB2312"/>
          <w:color w:val="000000"/>
          <w:sz w:val="32"/>
          <w:szCs w:val="32"/>
          <w:u w:val="none"/>
          <w:lang w:eastAsia="zh-CN"/>
        </w:rPr>
        <w:t>终</w:t>
      </w:r>
      <w:r>
        <w:rPr>
          <w:rFonts w:hint="eastAsia" w:ascii="楷体_GB2312" w:hAnsi="楷体_GB2312" w:eastAsia="楷体_GB2312" w:cs="楷体_GB2312"/>
          <w:color w:val="000000"/>
          <w:sz w:val="32"/>
          <w:szCs w:val="32"/>
          <w:u w:val="none"/>
        </w:rPr>
        <w:t>结转结余资金</w:t>
      </w:r>
      <w:r>
        <w:rPr>
          <w:rFonts w:hint="eastAsia" w:ascii="楷体_GB2312" w:hAnsi="楷体_GB2312" w:eastAsia="楷体_GB2312" w:cs="楷体_GB2312"/>
          <w:color w:val="000000"/>
          <w:sz w:val="32"/>
          <w:szCs w:val="32"/>
          <w:u w:val="none"/>
          <w:lang w:eastAsia="zh-CN"/>
        </w:rPr>
        <w:t>0</w:t>
      </w:r>
      <w:r>
        <w:rPr>
          <w:rFonts w:hint="eastAsia" w:ascii="楷体_GB2312" w:hAnsi="楷体_GB2312" w:eastAsia="楷体_GB2312" w:cs="楷体_GB2312"/>
          <w:color w:val="000000"/>
          <w:sz w:val="32"/>
          <w:szCs w:val="32"/>
          <w:u w:val="none"/>
          <w:lang w:val="en-US" w:eastAsia="zh-CN"/>
        </w:rPr>
        <w:t>.00</w:t>
      </w:r>
      <w:r>
        <w:rPr>
          <w:rFonts w:hint="eastAsia" w:ascii="楷体_GB2312" w:hAnsi="楷体_GB2312" w:eastAsia="楷体_GB2312" w:cs="楷体_GB2312"/>
          <w:color w:val="000000"/>
          <w:sz w:val="32"/>
          <w:szCs w:val="32"/>
          <w:u w:val="none"/>
        </w:rPr>
        <w:t>万元</w:t>
      </w: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四、财政拨款“三公”经费预算情况说明</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本部门</w:t>
      </w:r>
      <w:r>
        <w:rPr>
          <w:rFonts w:hint="eastAsia" w:ascii="仿宋_GB2312" w:hAnsi="仿宋_GB2312" w:eastAsia="仿宋_GB2312" w:cs="仿宋_GB2312"/>
          <w:color w:val="auto"/>
          <w:sz w:val="32"/>
          <w:szCs w:val="32"/>
          <w:u w:val="none"/>
          <w:lang w:eastAsia="zh-CN"/>
        </w:rPr>
        <w:t>2026年</w:t>
      </w:r>
      <w:r>
        <w:rPr>
          <w:rFonts w:hint="eastAsia" w:ascii="仿宋_GB2312" w:hAnsi="仿宋_GB2312" w:eastAsia="仿宋_GB2312" w:cs="仿宋_GB2312"/>
          <w:color w:val="auto"/>
          <w:sz w:val="32"/>
          <w:szCs w:val="32"/>
          <w:u w:val="none"/>
        </w:rPr>
        <w:t>无财政拨款安排的‘三公’经费预算</w:t>
      </w:r>
      <w:r>
        <w:rPr>
          <w:rFonts w:hint="eastAsia" w:ascii="仿宋_GB2312" w:hAnsi="仿宋_GB2312" w:eastAsia="仿宋_GB2312" w:cs="仿宋_GB2312"/>
          <w:color w:val="auto"/>
          <w:sz w:val="32"/>
          <w:szCs w:val="32"/>
          <w:u w:val="none"/>
          <w:lang w:eastAsia="zh-CN"/>
        </w:rPr>
        <w:t>。</w:t>
      </w: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五、其他情况说明</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val="en-US" w:eastAsia="zh-CN"/>
        </w:rPr>
        <w:t>一</w:t>
      </w:r>
      <w:r>
        <w:rPr>
          <w:rFonts w:hint="eastAsia" w:ascii="楷体_GB2312" w:eastAsia="楷体_GB2312"/>
          <w:color w:val="000000"/>
          <w:sz w:val="32"/>
          <w:szCs w:val="32"/>
          <w:u w:val="none"/>
        </w:rPr>
        <w:t>）政府采购预算说明</w:t>
      </w:r>
    </w:p>
    <w:p>
      <w:pPr>
        <w:spacing w:line="560" w:lineRule="exact"/>
        <w:ind w:firstLine="640" w:firstLineChars="200"/>
        <w:rPr>
          <w:rFonts w:hint="eastAsia" w:ascii="仿宋_GB2312" w:eastAsia="仿宋_GB2312"/>
          <w:color w:val="FF0000"/>
          <w:sz w:val="32"/>
          <w:szCs w:val="32"/>
          <w:u w:val="none"/>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lang w:val="en-US" w:eastAsia="zh-CN"/>
        </w:rPr>
        <w:t>区政府办公室</w:t>
      </w:r>
      <w:r>
        <w:rPr>
          <w:rFonts w:hint="eastAsia" w:ascii="仿宋_GB2312" w:eastAsia="仿宋_GB2312"/>
          <w:color w:val="000000"/>
          <w:sz w:val="32"/>
          <w:szCs w:val="32"/>
          <w:u w:val="none"/>
        </w:rPr>
        <w:t>政府采购预算总额</w:t>
      </w:r>
      <w:r>
        <w:rPr>
          <w:rFonts w:hint="eastAsia" w:ascii="仿宋_GB2312" w:eastAsia="仿宋_GB2312"/>
          <w:color w:val="000000"/>
          <w:sz w:val="32"/>
          <w:szCs w:val="32"/>
          <w:u w:val="none"/>
          <w:lang w:eastAsia="zh-CN"/>
        </w:rPr>
        <w:t>1</w:t>
      </w:r>
      <w:r>
        <w:rPr>
          <w:rFonts w:hint="eastAsia" w:ascii="仿宋_GB2312" w:eastAsia="仿宋_GB2312"/>
          <w:color w:val="000000"/>
          <w:sz w:val="32"/>
          <w:szCs w:val="32"/>
          <w:u w:val="none"/>
          <w:lang w:val="en-US" w:eastAsia="zh-CN"/>
        </w:rPr>
        <w:t>.80</w:t>
      </w:r>
      <w:r>
        <w:rPr>
          <w:rFonts w:hint="eastAsia" w:ascii="仿宋_GB2312" w:eastAsia="仿宋_GB2312"/>
          <w:color w:val="000000"/>
          <w:sz w:val="32"/>
          <w:szCs w:val="32"/>
          <w:u w:val="none"/>
        </w:rPr>
        <w:t>万元，其中：政府采购货物预算</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万元，政府采购工程预算</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lang w:val="en-US" w:eastAsia="zh-CN"/>
        </w:rPr>
        <w:t>.00</w:t>
      </w:r>
      <w:r>
        <w:rPr>
          <w:rFonts w:hint="eastAsia" w:ascii="仿宋_GB2312" w:eastAsia="仿宋_GB2312"/>
          <w:color w:val="000000"/>
          <w:sz w:val="32"/>
          <w:szCs w:val="32"/>
          <w:u w:val="none"/>
        </w:rPr>
        <w:t>万元，政府采购服务预算</w:t>
      </w:r>
      <w:r>
        <w:rPr>
          <w:rFonts w:hint="eastAsia" w:ascii="仿宋_GB2312" w:eastAsia="仿宋_GB2312"/>
          <w:color w:val="000000"/>
          <w:sz w:val="32"/>
          <w:szCs w:val="32"/>
          <w:u w:val="none"/>
          <w:lang w:eastAsia="zh-CN"/>
        </w:rPr>
        <w:t>1</w:t>
      </w:r>
      <w:r>
        <w:rPr>
          <w:rFonts w:hint="eastAsia" w:ascii="仿宋_GB2312" w:eastAsia="仿宋_GB2312"/>
          <w:color w:val="000000"/>
          <w:sz w:val="32"/>
          <w:szCs w:val="32"/>
          <w:u w:val="none"/>
          <w:lang w:val="en-US" w:eastAsia="zh-CN"/>
        </w:rPr>
        <w:t>.80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二</w:t>
      </w:r>
      <w:r>
        <w:rPr>
          <w:rFonts w:hint="eastAsia" w:ascii="楷体_GB2312" w:eastAsia="楷体_GB2312"/>
          <w:color w:val="000000"/>
          <w:sz w:val="32"/>
          <w:szCs w:val="32"/>
          <w:u w:val="none"/>
        </w:rPr>
        <w:t>）政府购买服务预算说明</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本单位2026年无政府购买服务预算。</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三</w:t>
      </w:r>
      <w:r>
        <w:rPr>
          <w:rFonts w:hint="eastAsia" w:ascii="楷体_GB2312" w:eastAsia="楷体_GB2312"/>
          <w:color w:val="000000"/>
          <w:sz w:val="32"/>
          <w:szCs w:val="32"/>
          <w:u w:val="none"/>
        </w:rPr>
        <w:t>）机关运行经费说明</w:t>
      </w:r>
    </w:p>
    <w:p>
      <w:pPr>
        <w:spacing w:line="560" w:lineRule="exact"/>
        <w:ind w:firstLine="640" w:firstLineChars="200"/>
        <w:rPr>
          <w:rFonts w:hint="eastAsia" w:ascii="仿宋_GB2312" w:hAnsi="仿宋_GB2312" w:eastAsia="仿宋_GB2312" w:cs="仿宋_GB2312"/>
          <w:color w:val="FF0000"/>
          <w:sz w:val="32"/>
          <w:szCs w:val="32"/>
          <w:u w:val="none"/>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lang w:val="en-US" w:eastAsia="zh-CN"/>
        </w:rPr>
        <w:t>区政府办公室</w:t>
      </w:r>
      <w:r>
        <w:rPr>
          <w:rFonts w:hint="eastAsia" w:ascii="仿宋_GB2312" w:eastAsia="仿宋_GB2312"/>
          <w:color w:val="000000"/>
          <w:sz w:val="32"/>
          <w:szCs w:val="32"/>
          <w:u w:val="none"/>
        </w:rPr>
        <w:t>机关运行经费财政拨款预算</w:t>
      </w:r>
      <w:r>
        <w:rPr>
          <w:rFonts w:hint="eastAsia" w:ascii="仿宋_GB2312" w:eastAsia="仿宋_GB2312"/>
          <w:color w:val="000000"/>
          <w:sz w:val="32"/>
          <w:szCs w:val="32"/>
          <w:u w:val="none"/>
          <w:lang w:eastAsia="zh-CN"/>
        </w:rPr>
        <w:t>7</w:t>
      </w:r>
      <w:r>
        <w:rPr>
          <w:rFonts w:hint="eastAsia" w:ascii="仿宋_GB2312" w:eastAsia="仿宋_GB2312"/>
          <w:color w:val="000000"/>
          <w:sz w:val="32"/>
          <w:szCs w:val="32"/>
          <w:u w:val="none"/>
          <w:lang w:val="en-US" w:eastAsia="zh-CN"/>
        </w:rPr>
        <w:t>5.14</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s="Droid Sans"/>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四</w:t>
      </w:r>
      <w:r>
        <w:rPr>
          <w:rFonts w:hint="eastAsia" w:ascii="楷体_GB2312" w:eastAsia="楷体_GB2312"/>
          <w:color w:val="000000"/>
          <w:sz w:val="32"/>
          <w:szCs w:val="32"/>
          <w:u w:val="none"/>
        </w:rPr>
        <w:t>）</w:t>
      </w:r>
      <w:r>
        <w:rPr>
          <w:rFonts w:hint="eastAsia" w:ascii="楷体_GB2312" w:eastAsia="楷体_GB2312" w:cs="Droid Sans"/>
          <w:color w:val="000000"/>
          <w:sz w:val="32"/>
          <w:szCs w:val="32"/>
          <w:u w:val="none"/>
        </w:rPr>
        <w:t>重点行政事业性收费情况说明</w:t>
      </w:r>
    </w:p>
    <w:p>
      <w:pPr>
        <w:spacing w:line="560" w:lineRule="exact"/>
        <w:ind w:firstLine="640" w:firstLineChars="200"/>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val="en-US" w:eastAsia="zh-CN"/>
        </w:rPr>
        <w:t>本部门2026年无重点行政事业性收费</w:t>
      </w:r>
      <w:r>
        <w:rPr>
          <w:rFonts w:hint="eastAsia" w:ascii="仿宋_GB2312" w:eastAsia="仿宋_GB2312"/>
          <w:color w:val="auto"/>
          <w:sz w:val="32"/>
          <w:szCs w:val="32"/>
          <w:u w:val="none"/>
          <w:lang w:eastAsia="zh-CN"/>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五</w:t>
      </w:r>
      <w:r>
        <w:rPr>
          <w:rFonts w:hint="eastAsia" w:ascii="楷体_GB2312" w:eastAsia="楷体_GB2312"/>
          <w:color w:val="000000"/>
          <w:sz w:val="32"/>
          <w:szCs w:val="32"/>
          <w:u w:val="none"/>
        </w:rPr>
        <w:t>）国有资本经营预算财政拨款情况说明</w:t>
      </w:r>
    </w:p>
    <w:p>
      <w:pPr>
        <w:spacing w:line="56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本部门</w:t>
      </w:r>
      <w:r>
        <w:rPr>
          <w:rFonts w:hint="eastAsia" w:ascii="仿宋_GB2312" w:eastAsia="仿宋_GB2312"/>
          <w:color w:val="auto"/>
          <w:sz w:val="32"/>
          <w:szCs w:val="32"/>
          <w:u w:val="none"/>
          <w:lang w:eastAsia="zh-CN"/>
        </w:rPr>
        <w:t>2026年</w:t>
      </w:r>
      <w:r>
        <w:rPr>
          <w:rFonts w:hint="eastAsia" w:ascii="仿宋_GB2312" w:eastAsia="仿宋_GB2312"/>
          <w:color w:val="auto"/>
          <w:sz w:val="32"/>
          <w:szCs w:val="32"/>
          <w:u w:val="none"/>
        </w:rPr>
        <w:t>无国有资本经营预算财政拨款安排的预算</w:t>
      </w:r>
      <w:r>
        <w:rPr>
          <w:rFonts w:hint="eastAsia" w:ascii="仿宋_GB2312" w:eastAsia="仿宋_GB2312"/>
          <w:color w:val="auto"/>
          <w:sz w:val="32"/>
          <w:szCs w:val="32"/>
          <w:u w:val="none"/>
          <w:lang w:eastAsia="zh-CN"/>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六</w:t>
      </w:r>
      <w:r>
        <w:rPr>
          <w:rFonts w:hint="eastAsia" w:ascii="楷体_GB2312" w:eastAsia="楷体_GB2312"/>
          <w:color w:val="000000"/>
          <w:sz w:val="32"/>
          <w:szCs w:val="32"/>
          <w:u w:val="none"/>
        </w:rPr>
        <w:t>）国有资产占用情况说明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截至</w:t>
      </w:r>
      <w:r>
        <w:rPr>
          <w:rFonts w:hint="eastAsia" w:ascii="仿宋_GB2312" w:eastAsia="仿宋_GB2312"/>
          <w:color w:val="000000"/>
          <w:sz w:val="32"/>
          <w:szCs w:val="32"/>
          <w:highlight w:val="none"/>
          <w:u w:val="none"/>
          <w:lang w:eastAsia="zh-CN"/>
        </w:rPr>
        <w:t>2025年</w:t>
      </w:r>
      <w:r>
        <w:rPr>
          <w:rFonts w:hint="eastAsia" w:ascii="仿宋_GB2312" w:eastAsia="仿宋_GB2312"/>
          <w:color w:val="000000"/>
          <w:sz w:val="32"/>
          <w:szCs w:val="32"/>
          <w:u w:val="none"/>
        </w:rPr>
        <w:t>底，</w:t>
      </w:r>
      <w:r>
        <w:rPr>
          <w:rFonts w:hint="eastAsia" w:ascii="仿宋_GB2312" w:eastAsia="仿宋_GB2312"/>
          <w:color w:val="000000"/>
          <w:sz w:val="32"/>
          <w:szCs w:val="32"/>
          <w:u w:val="none"/>
          <w:lang w:val="en-US" w:eastAsia="zh-CN"/>
        </w:rPr>
        <w:t>区政府办公室</w:t>
      </w:r>
      <w:r>
        <w:rPr>
          <w:rFonts w:hint="eastAsia" w:ascii="仿宋_GB2312" w:eastAsia="仿宋_GB2312"/>
          <w:color w:val="000000"/>
          <w:sz w:val="32"/>
          <w:szCs w:val="32"/>
          <w:u w:val="none"/>
        </w:rPr>
        <w:t>共有车辆</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rPr>
        <w:t>台；单位价值50万元以上的设备</w:t>
      </w:r>
      <w:r>
        <w:rPr>
          <w:rFonts w:hint="eastAsia" w:ascii="仿宋_GB2312" w:eastAsia="仿宋_GB2312"/>
          <w:color w:val="000000"/>
          <w:sz w:val="32"/>
          <w:szCs w:val="32"/>
          <w:u w:val="none"/>
          <w:lang w:eastAsia="zh-CN"/>
        </w:rPr>
        <w:t>0</w:t>
      </w:r>
      <w:r>
        <w:rPr>
          <w:rFonts w:hint="eastAsia" w:ascii="仿宋_GB2312" w:eastAsia="仿宋_GB2312"/>
          <w:color w:val="000000"/>
          <w:sz w:val="32"/>
          <w:szCs w:val="32"/>
          <w:u w:val="none"/>
        </w:rPr>
        <w:t>台（套）。</w:t>
      </w:r>
      <w:r>
        <w:rPr>
          <w:rFonts w:hint="eastAsia" w:ascii="仿宋_GB2312" w:eastAsia="仿宋_GB2312"/>
          <w:color w:val="000000"/>
          <w:sz w:val="32"/>
          <w:szCs w:val="32"/>
          <w:u w:val="none"/>
          <w:lang w:val="en-US" w:eastAsia="zh-CN"/>
        </w:rPr>
        <w:t>2026年预算安排中，购置单位价值50万元以上的设备0台（套）。</w:t>
      </w:r>
    </w:p>
    <w:p>
      <w:pPr>
        <w:spacing w:line="560" w:lineRule="exact"/>
        <w:ind w:firstLine="640" w:firstLineChars="200"/>
        <w:rPr>
          <w:rFonts w:hint="eastAsia" w:ascii="仿宋_GB2312" w:eastAsia="仿宋_GB2312"/>
          <w:color w:val="000000"/>
          <w:spacing w:val="-2"/>
          <w:sz w:val="32"/>
          <w:szCs w:val="32"/>
          <w:u w:val="none"/>
        </w:rPr>
      </w:pPr>
      <w:r>
        <w:rPr>
          <w:rFonts w:hint="eastAsia" w:ascii="黑体" w:eastAsia="黑体"/>
          <w:color w:val="000000"/>
          <w:sz w:val="32"/>
          <w:szCs w:val="32"/>
          <w:u w:val="none"/>
        </w:rPr>
        <w:t>六、名词解释</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项目支出：指在基本支出之外为完成特定行政任务或事业发展目标所发生的支出。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“三公”经费财政拨款预算数：指本部门当年部门预算</w:t>
      </w:r>
      <w:r>
        <w:rPr>
          <w:rFonts w:hint="eastAsia" w:ascii="仿宋_GB2312" w:eastAsia="仿宋_GB2312"/>
          <w:color w:val="000000"/>
          <w:sz w:val="32"/>
          <w:szCs w:val="32"/>
          <w:u w:val="none"/>
          <w:lang w:eastAsia="zh-CN"/>
        </w:rPr>
        <w:t>中财政拨款</w:t>
      </w:r>
      <w:r>
        <w:rPr>
          <w:rFonts w:hint="eastAsia" w:ascii="仿宋_GB2312" w:eastAsia="仿宋_GB2312"/>
          <w:color w:val="000000"/>
          <w:sz w:val="32"/>
          <w:szCs w:val="32"/>
          <w:u w:val="none"/>
        </w:rPr>
        <w:t>安排的因公出国（境）费用、公务接待费、公务用车购置和运行维护费预算数。</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机关运行经费：指为保障行政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ind w:firstLine="720" w:firstLineChars="200"/>
        <w:jc w:val="center"/>
        <w:rPr>
          <w:rFonts w:hint="eastAsia" w:ascii="方正小标宋简体" w:eastAsia="方正小标宋简体"/>
          <w:color w:val="000000"/>
          <w:sz w:val="36"/>
          <w:szCs w:val="36"/>
          <w:u w:val="none"/>
        </w:rPr>
      </w:pPr>
    </w:p>
    <w:p>
      <w:pPr>
        <w:autoSpaceDE/>
        <w:autoSpaceDN/>
        <w:adjustRightInd/>
        <w:spacing w:line="560" w:lineRule="exact"/>
        <w:ind w:firstLine="720" w:firstLineChars="200"/>
        <w:jc w:val="center"/>
        <w:rPr>
          <w:rFonts w:hint="eastAsia" w:ascii="方正小标宋简体" w:eastAsia="方正小标宋简体"/>
          <w:color w:val="000000"/>
          <w:sz w:val="36"/>
          <w:szCs w:val="36"/>
          <w:u w:val="none"/>
        </w:rPr>
      </w:pPr>
      <w:r>
        <w:rPr>
          <w:rFonts w:hint="eastAsia" w:ascii="方正小标宋简体" w:eastAsia="方正小标宋简体"/>
          <w:color w:val="000000"/>
          <w:sz w:val="36"/>
          <w:szCs w:val="36"/>
          <w:u w:val="none"/>
        </w:rPr>
        <w:t xml:space="preserve">第二部分  </w:t>
      </w:r>
      <w:r>
        <w:rPr>
          <w:rFonts w:hint="eastAsia" w:ascii="方正小标宋简体" w:eastAsia="方正小标宋简体"/>
          <w:color w:val="000000"/>
          <w:sz w:val="36"/>
          <w:szCs w:val="36"/>
          <w:u w:val="none"/>
          <w:lang w:eastAsia="zh-CN"/>
        </w:rPr>
        <w:t>2026年</w:t>
      </w:r>
      <w:r>
        <w:rPr>
          <w:rFonts w:hint="eastAsia" w:ascii="方正小标宋简体" w:eastAsia="方正小标宋简体"/>
          <w:color w:val="000000"/>
          <w:sz w:val="36"/>
          <w:szCs w:val="36"/>
          <w:u w:val="none"/>
        </w:rPr>
        <w:t>度部门预算报表</w:t>
      </w:r>
    </w:p>
    <w:p>
      <w:pPr>
        <w:spacing w:line="560" w:lineRule="exact"/>
        <w:ind w:firstLine="0" w:firstLineChars="0"/>
        <w:rPr>
          <w:rFonts w:hint="eastAsia" w:ascii="仿宋_GB2312" w:eastAsia="仿宋_GB2312"/>
          <w:color w:val="000000"/>
          <w:sz w:val="32"/>
          <w:szCs w:val="32"/>
          <w:u w:val="none"/>
        </w:rPr>
      </w:pPr>
    </w:p>
    <w:p>
      <w:pPr>
        <w:spacing w:line="56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附件：</w:t>
      </w:r>
      <w:r>
        <w:rPr>
          <w:rFonts w:hint="eastAsia" w:ascii="仿宋_GB2312" w:eastAsia="仿宋_GB2312"/>
          <w:sz w:val="32"/>
          <w:szCs w:val="32"/>
          <w:u w:val="none"/>
          <w:lang w:val="en-US" w:eastAsia="zh-CN"/>
        </w:rPr>
        <w:t>北京市密云区人民政府办公室</w:t>
      </w:r>
      <w:r>
        <w:rPr>
          <w:rFonts w:hint="eastAsia" w:ascii="仿宋_GB2312" w:eastAsia="仿宋_GB2312"/>
          <w:sz w:val="32"/>
          <w:szCs w:val="32"/>
          <w:u w:val="none"/>
          <w:lang w:eastAsia="zh-CN"/>
        </w:rPr>
        <w:t>2026年</w:t>
      </w:r>
      <w:r>
        <w:rPr>
          <w:rFonts w:hint="eastAsia" w:ascii="仿宋_GB2312" w:eastAsia="仿宋_GB2312"/>
          <w:sz w:val="32"/>
          <w:szCs w:val="32"/>
          <w:u w:val="none"/>
        </w:rPr>
        <w:t>度部门预算报表</w:t>
      </w:r>
    </w:p>
    <w:p>
      <w:bookmarkStart w:id="0" w:name="_GoBack"/>
      <w:bookmarkEnd w:id="0"/>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sz w:val="28"/>
        <w:szCs w:val="28"/>
      </w:rPr>
    </w:pPr>
    <w:r>
      <w:rPr>
        <w:rFonts w:ascii="宋体"/>
        <w:sz w:val="28"/>
        <w:szCs w:val="28"/>
      </w:rPr>
      <w:fldChar w:fldCharType="begin"/>
    </w:r>
    <w:r>
      <w:rPr>
        <w:rFonts w:hint="eastAsia" w:ascii="宋体"/>
        <w:sz w:val="28"/>
        <w:szCs w:val="28"/>
      </w:rPr>
      <w:instrText xml:space="preserve">PAGE   \* MERGEFORMAT</w:instrText>
    </w:r>
    <w:r>
      <w:rPr>
        <w:rFonts w:ascii="宋体"/>
        <w:sz w:val="28"/>
        <w:szCs w:val="28"/>
      </w:rPr>
      <w:fldChar w:fldCharType="separate"/>
    </w:r>
    <w:r>
      <w:rPr>
        <w:rFonts w:hint="eastAsia" w:ascii="宋体"/>
        <w:sz w:val="28"/>
        <w:szCs w:val="28"/>
        <w:lang w:val="zh-CN"/>
      </w:rPr>
      <w:t>-</w:t>
    </w:r>
    <w:r>
      <w:rPr>
        <w:rFonts w:hint="eastAsia" w:ascii="宋体"/>
        <w:sz w:val="28"/>
        <w:szCs w:val="28"/>
      </w:rPr>
      <w:t xml:space="preserve"> 12 -</w:t>
    </w:r>
    <w:r>
      <w:rPr>
        <w:rFonts w:ascii="宋体"/>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mc:Fallback>
      </mc:AlternateContent>
    </w:r>
  </w:p>
  <w:p>
    <w:pPr>
      <w:pStyle w:val="4"/>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F35D4"/>
    <w:multiLevelType w:val="singleLevel"/>
    <w:tmpl w:val="EFEF35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715DF"/>
    <w:rsid w:val="3EC7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Date"/>
    <w:basedOn w:val="1"/>
    <w:next w:val="1"/>
    <w:uiPriority w:val="0"/>
    <w:rPr>
      <w:rFonts w:eastAsia="楷体_GB2312" w:cs="Droid Sans"/>
      <w:sz w:val="32"/>
      <w:szCs w:val="20"/>
      <w:lang w:bidi="ar-SA"/>
    </w:rPr>
  </w:style>
  <w:style w:type="paragraph" w:styleId="4">
    <w:name w:val="footer"/>
    <w:basedOn w:val="1"/>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2026-02-06T03:00:00Z</dcterms:created>
  <dc:creator>WPS_1733447405</dc:creator>
  <cp:lastModifiedBy>WPS_1733447405</cp:lastModifiedBy>
  <dcterms:modified xsi:type="dcterms:W3CDTF">2026-02-06T03:01:38Z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