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北京市密云区</w:t>
      </w:r>
      <w:r>
        <w:rPr>
          <w:rFonts w:hint="eastAsia" w:ascii="方正小标宋_GBK" w:hAnsi="方正小标宋_GBK" w:eastAsia="方正小标宋_GBK" w:cs="方正小标宋_GBK"/>
          <w:bCs/>
          <w:sz w:val="44"/>
          <w:szCs w:val="44"/>
          <w:lang w:eastAsia="zh-CN"/>
        </w:rPr>
        <w:t>新城子</w:t>
      </w:r>
      <w:r>
        <w:rPr>
          <w:rFonts w:hint="eastAsia" w:ascii="方正小标宋_GBK" w:hAnsi="方正小标宋_GBK" w:eastAsia="方正小标宋_GBK" w:cs="方正小标宋_GBK"/>
          <w:bCs/>
          <w:sz w:val="44"/>
          <w:szCs w:val="44"/>
        </w:rPr>
        <w:t>镇人民政府</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关于2024年预算执行情况和2025年</w:t>
      </w:r>
    </w:p>
    <w:p>
      <w:pPr>
        <w:spacing w:line="56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z w:val="44"/>
          <w:szCs w:val="44"/>
        </w:rPr>
        <w:t>预算的报告</w:t>
      </w:r>
    </w:p>
    <w:p>
      <w:pPr>
        <w:spacing w:line="560" w:lineRule="exac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各位代表：</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我受新城子镇人民政府委托，向大会报告新城子镇2024年财政预算执行情况和2025年财政预算草案，请予审议，并请各位代表和其他列席人员提出宝贵意见。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left"/>
        <w:textAlignment w:val="auto"/>
      </w:pPr>
      <w:r>
        <w:rPr>
          <w:rFonts w:ascii="黑体" w:hAnsi="宋体" w:eastAsia="黑体" w:cs="黑体"/>
          <w:color w:val="000000"/>
          <w:sz w:val="32"/>
          <w:szCs w:val="32"/>
        </w:rPr>
        <w:t>一、</w:t>
      </w:r>
      <w:r>
        <w:rPr>
          <w:rFonts w:hint="eastAsia" w:ascii="黑体" w:hAnsi="宋体" w:eastAsia="黑体" w:cs="黑体"/>
          <w:color w:val="000000"/>
          <w:sz w:val="32"/>
          <w:szCs w:val="32"/>
        </w:rPr>
        <w:t>202</w:t>
      </w:r>
      <w:r>
        <w:rPr>
          <w:rFonts w:hint="eastAsia" w:ascii="黑体" w:hAnsi="宋体" w:eastAsia="黑体" w:cs="黑体"/>
          <w:color w:val="000000"/>
          <w:sz w:val="32"/>
          <w:szCs w:val="32"/>
          <w:lang w:val="en-US" w:eastAsia="zh-CN"/>
        </w:rPr>
        <w:t>4</w:t>
      </w:r>
      <w:r>
        <w:rPr>
          <w:rFonts w:hint="eastAsia" w:ascii="黑体" w:hAnsi="宋体" w:eastAsia="黑体" w:cs="黑体"/>
          <w:color w:val="000000"/>
          <w:sz w:val="32"/>
          <w:szCs w:val="32"/>
        </w:rPr>
        <w:t>年财政预算执行情况</w:t>
      </w:r>
    </w:p>
    <w:p>
      <w:pPr>
        <w:spacing w:line="560" w:lineRule="exact"/>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lang w:val="en-US" w:eastAsia="zh-CN"/>
        </w:rPr>
        <w:t>年，在镇党委、</w:t>
      </w:r>
      <w:r>
        <w:rPr>
          <w:rFonts w:hint="eastAsia" w:ascii="仿宋_GB2312" w:hAnsi="仿宋_GB2312" w:eastAsia="仿宋_GB2312" w:cs="仿宋_GB2312"/>
          <w:sz w:val="32"/>
          <w:lang w:val="en-US" w:eastAsia="zh-CN"/>
        </w:rPr>
        <w:t>镇</w:t>
      </w:r>
      <w:r>
        <w:rPr>
          <w:rFonts w:hint="default" w:ascii="仿宋_GB2312" w:hAnsi="仿宋_GB2312" w:eastAsia="仿宋_GB2312" w:cs="仿宋_GB2312"/>
          <w:sz w:val="32"/>
          <w:lang w:val="en-US" w:eastAsia="zh-CN"/>
        </w:rPr>
        <w:t>政府的正确领导下，在镇人大的依法监督和大力支持下，全镇人民同心协力，以习近平新时代中国特色社会主义思想为指导，全面学习贯彻党的二十大精神，认真落实中央、市</w:t>
      </w:r>
      <w:r>
        <w:rPr>
          <w:rFonts w:hint="eastAsia" w:ascii="仿宋_GB2312" w:hAnsi="仿宋_GB2312" w:eastAsia="仿宋_GB2312" w:cs="仿宋_GB2312"/>
          <w:sz w:val="32"/>
          <w:lang w:val="en-US" w:eastAsia="zh-CN"/>
        </w:rPr>
        <w:t>、区</w:t>
      </w:r>
      <w:r>
        <w:rPr>
          <w:rFonts w:hint="default" w:ascii="仿宋_GB2312" w:hAnsi="仿宋_GB2312" w:eastAsia="仿宋_GB2312" w:cs="仿宋_GB2312"/>
          <w:sz w:val="32"/>
          <w:lang w:val="en-US" w:eastAsia="zh-CN"/>
        </w:rPr>
        <w:t>经济工作会议精神，坚持稳中求进工作总基调，有力支持经济社会平稳健康发展，财政运行总体平稳。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（一）一般公共预算收入执行情况</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预算执行情况：2024年，一般公共预算收入完成2817.59万元，占年初预算4738万元的59.47%。</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（二）一般公共预算支出执行情况</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收支平衡情况：按照现行财政体制算账，2024年全镇一般公共预算收入2817.59万元，财政体制补助及转移支付资金2306.23万元；区下达专项补助5709.56万元，收入总计10833.38万元。全镇公共财政预算支出总计10833.38万元，其中一般公共预算支出9449.81万元；上解支出260万元；债券还本支出1113.57；结转下年使用10万元。</w:t>
      </w:r>
    </w:p>
    <w:p>
      <w:pPr>
        <w:keepNext w:val="0"/>
        <w:keepLines w:val="0"/>
        <w:widowControl/>
        <w:suppressLineNumbers w:val="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2024年财政支出9449.81万元，重点支持了高标准农田建设、美丽乡村建设、防汛、防火、地质灾害治理、文化大院改造、土地整治及复垦、机关政权建设等方面的工作。具体支出包括</w:t>
      </w:r>
      <w:r>
        <w:rPr>
          <w:rFonts w:ascii="sans-serif" w:hAnsi="sans-serif" w:eastAsia="sans-serif" w:cs="sans-serif"/>
          <w:i w:val="0"/>
          <w:caps w:val="0"/>
          <w:color w:val="000000"/>
          <w:spacing w:val="0"/>
          <w:kern w:val="0"/>
          <w:sz w:val="27"/>
          <w:szCs w:val="27"/>
          <w:lang w:val="en-US" w:eastAsia="zh-CN" w:bidi="ar"/>
        </w:rPr>
        <w:t>：</w:t>
      </w:r>
      <w:r>
        <w:rPr>
          <w:rFonts w:hint="eastAsia" w:ascii="仿宋_GB2312" w:hAnsi="仿宋_GB2312" w:eastAsia="仿宋_GB2312" w:cs="仿宋_GB2312"/>
          <w:sz w:val="32"/>
          <w:lang w:val="en-US" w:eastAsia="zh-CN"/>
        </w:rPr>
        <w:t>一般公共服务支出3272.13万元；公共安全支出0.22万元；文化旅游体育与传媒支出524.76万元；社会保障和就业支出371.86万元；卫生健康支出68.93万元；节能环保支出59.41万元；城乡社区支出424.96万元；农林水支出4628.47万元；灾害防治及应急管理支出99.07万元。</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我镇2024年上解支出包括河道跨界断面支出1.67万元，农村低保（镇街）负担30%部分258.33万元，共计260万元。</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我镇2024年债券还本支出预算1113.57万元，已全部支出，用于地方政府一般债券还本支出，实现收支平衡。</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结转下年使用10万元为财源建设奖励资金。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（三）政府性基金收支情况</w:t>
      </w:r>
    </w:p>
    <w:p>
      <w:pPr>
        <w:spacing w:line="56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lang w:val="en-US" w:eastAsia="zh-CN"/>
        </w:rPr>
        <w:t>收支平衡情况：我镇2024年政府性基金预算收入2718.37万元，支</w:t>
      </w:r>
      <w:r>
        <w:rPr>
          <w:rFonts w:hint="eastAsia" w:ascii="仿宋_GB2312" w:hAnsi="仿宋_GB2312" w:eastAsia="仿宋_GB2312" w:cs="仿宋_GB2312"/>
          <w:sz w:val="32"/>
          <w:highlight w:val="none"/>
          <w:lang w:val="en-US" w:eastAsia="zh-CN"/>
        </w:rPr>
        <w:t>出2718.37万元。具体包括：移民补助社会保障和就业支出699</w:t>
      </w:r>
      <w:r>
        <w:rPr>
          <w:rFonts w:hint="eastAsia" w:ascii="仿宋_GB2312" w:hAnsi="仿宋_GB2312" w:eastAsia="仿宋_GB2312" w:cs="仿宋_GB2312"/>
          <w:color w:val="auto"/>
          <w:sz w:val="32"/>
          <w:highlight w:val="none"/>
          <w:lang w:val="en-US" w:eastAsia="zh-CN"/>
        </w:rPr>
        <w:t>.19万元</w:t>
      </w:r>
      <w:r>
        <w:rPr>
          <w:rFonts w:hint="eastAsia" w:ascii="仿宋_GB2312" w:hAnsi="仿宋_GB2312" w:eastAsia="仿宋_GB2312" w:cs="仿宋_GB2312"/>
          <w:sz w:val="32"/>
          <w:highlight w:val="none"/>
          <w:lang w:val="en-US" w:eastAsia="zh-CN"/>
        </w:rPr>
        <w:t>；城乡社区支出1948.71万元；农林水支出68.09万元；彩票事务支出2.38万元。</w:t>
      </w:r>
    </w:p>
    <w:p>
      <w:pPr>
        <w:spacing w:line="560" w:lineRule="exact"/>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highlight w:val="none"/>
          <w:lang w:val="en-US" w:eastAsia="zh-CN"/>
        </w:rPr>
        <w:t>总之，202</w:t>
      </w:r>
      <w:r>
        <w:rPr>
          <w:rFonts w:hint="eastAsia" w:ascii="仿宋_GB2312" w:hAnsi="仿宋_GB2312" w:eastAsia="仿宋_GB2312" w:cs="仿宋_GB2312"/>
          <w:sz w:val="32"/>
          <w:highlight w:val="none"/>
          <w:lang w:val="en-US" w:eastAsia="zh-CN"/>
        </w:rPr>
        <w:t>4</w:t>
      </w:r>
      <w:r>
        <w:rPr>
          <w:rFonts w:hint="default" w:ascii="仿宋_GB2312" w:hAnsi="仿宋_GB2312" w:eastAsia="仿宋_GB2312" w:cs="仿宋_GB2312"/>
          <w:sz w:val="32"/>
          <w:highlight w:val="none"/>
          <w:lang w:val="en-US" w:eastAsia="zh-CN"/>
        </w:rPr>
        <w:t>年，更加注重财政支出的精准性、效益性，强化财政资源统筹，调整优化支出结构，持续提高财政管理水平，有效防控运行风险，推动全镇财政工作在极为严峻</w:t>
      </w:r>
      <w:r>
        <w:rPr>
          <w:rFonts w:hint="default" w:ascii="仿宋_GB2312" w:hAnsi="仿宋_GB2312" w:eastAsia="仿宋_GB2312" w:cs="仿宋_GB2312"/>
          <w:sz w:val="32"/>
          <w:lang w:val="en-US" w:eastAsia="zh-CN"/>
        </w:rPr>
        <w:t>的局面下实现了基本平稳运行，为全镇经济社会高质量发展提供有力支撑。</w:t>
      </w:r>
    </w:p>
    <w:p>
      <w:pPr>
        <w:keepNext w:val="0"/>
        <w:keepLines w:val="0"/>
        <w:widowControl/>
        <w:suppressLineNumbers w:val="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财政预算执行有以下几个特点：一是涵养税源培植狠抓收入征管，确保全年财政收入预算的完成。镇党委、镇政府及时采取有效措施，加大收入力度，财税各部门通力协作，加大对零散税收的征管，对税源企业的监督，做到应征不漏，拾遗补阙。二是支出方面严格按《中华人民共和国预算法》办事，控制财政支出规模，优化支出结构。在确保基本运转支出的基础上，继续实施公务卡消费结算，严格执行厉行节约规定，有效减控“三公”经费支出；保障各类民生及重点项目，支持公共服务设施建设与维护，改善农村生活环境和条件；支持生态保护和节能减排。三是积极筹措资金，促进社会稳定与经济发展同行。以实现可持续发展为目标，全镇各部门紧密配合，积极争取专项资金，促进产业结构调整，逐步提高人民生活水平。</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各位代表，</w:t>
      </w:r>
      <w:r>
        <w:rPr>
          <w:rFonts w:hint="default" w:ascii="仿宋_GB2312" w:hAnsi="仿宋_GB2312" w:eastAsia="仿宋_GB2312" w:cs="仿宋_GB2312"/>
          <w:sz w:val="32"/>
          <w:lang w:val="en-US" w:eastAsia="zh-CN"/>
        </w:rPr>
        <w:t>202</w:t>
      </w: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lang w:val="en-US" w:eastAsia="zh-CN"/>
        </w:rPr>
        <w:t>年全镇财政运行总体平稳，这是镇党委</w:t>
      </w:r>
      <w:r>
        <w:rPr>
          <w:rFonts w:hint="eastAsia" w:ascii="仿宋_GB2312" w:hAnsi="仿宋_GB2312" w:eastAsia="仿宋_GB2312" w:cs="仿宋_GB2312"/>
          <w:sz w:val="32"/>
          <w:lang w:val="en-US" w:eastAsia="zh-CN"/>
        </w:rPr>
        <w:t>、镇</w:t>
      </w:r>
      <w:r>
        <w:rPr>
          <w:rFonts w:hint="default" w:ascii="仿宋_GB2312" w:hAnsi="仿宋_GB2312" w:eastAsia="仿宋_GB2312" w:cs="仿宋_GB2312"/>
          <w:sz w:val="32"/>
          <w:lang w:val="en-US" w:eastAsia="zh-CN"/>
        </w:rPr>
        <w:t>政府正确领导的结</w:t>
      </w:r>
      <w:r>
        <w:rPr>
          <w:rFonts w:hint="default" w:ascii="仿宋_GB2312" w:hAnsi="仿宋_GB2312" w:eastAsia="仿宋_GB2312" w:cs="仿宋_GB2312"/>
          <w:sz w:val="32"/>
          <w:highlight w:val="none"/>
          <w:lang w:val="en-US" w:eastAsia="zh-CN"/>
        </w:rPr>
        <w:t>果</w:t>
      </w:r>
      <w:r>
        <w:rPr>
          <w:rFonts w:hint="eastAsia" w:ascii="仿宋_GB2312" w:hAnsi="仿宋_GB2312" w:eastAsia="仿宋_GB2312" w:cs="仿宋_GB2312"/>
          <w:sz w:val="32"/>
          <w:highlight w:val="none"/>
          <w:lang w:val="en-US" w:eastAsia="zh-CN"/>
        </w:rPr>
        <w:t>，</w:t>
      </w:r>
      <w:r>
        <w:rPr>
          <w:rFonts w:hint="default" w:ascii="仿宋_GB2312" w:hAnsi="仿宋_GB2312" w:eastAsia="仿宋_GB2312" w:cs="仿宋_GB2312"/>
          <w:sz w:val="32"/>
          <w:highlight w:val="none"/>
          <w:lang w:val="en-US" w:eastAsia="zh-CN"/>
        </w:rPr>
        <w:t>也是镇</w:t>
      </w:r>
      <w:r>
        <w:rPr>
          <w:rFonts w:hint="default" w:ascii="仿宋_GB2312" w:hAnsi="仿宋_GB2312" w:eastAsia="仿宋_GB2312" w:cs="仿宋_GB2312"/>
          <w:sz w:val="32"/>
          <w:lang w:val="en-US" w:eastAsia="zh-CN"/>
        </w:rPr>
        <w:t>人大代表委员们的监督指导和大力支持的结果，更是全镇人民团结奋斗、勠力同心、踔厉奋发的结果。同时，我们也要清醒地看到，当前财政依然存在着一些突出矛盾和问题，主要表现在：受经济下行、土地市场疲软、国家减税降费等因素的影响，财政稳定增长的基础尚不牢固，“三保”支出、重点项目建设等刚性支出压力持续加大，财政收支不平衡态势依然存在；财政管理标准化、精准化还需进一步提升，财政资金使用效益有待加强，预算与绩效管理融合还需进一步深化，全过程绩效管理尚未真正建立等。对此，我们将高度重视，采取有效措施，认真加以解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黑体" w:hAnsi="宋体" w:eastAsia="黑体" w:cs="黑体"/>
          <w:color w:val="000000"/>
          <w:sz w:val="32"/>
          <w:szCs w:val="32"/>
        </w:rPr>
      </w:pPr>
      <w:r>
        <w:rPr>
          <w:rFonts w:hint="eastAsia" w:ascii="黑体" w:hAnsi="宋体" w:eastAsia="黑体" w:cs="黑体"/>
          <w:color w:val="000000"/>
          <w:sz w:val="32"/>
          <w:szCs w:val="32"/>
        </w:rPr>
        <w:t>二、202</w:t>
      </w:r>
      <w:r>
        <w:rPr>
          <w:rFonts w:hint="eastAsia" w:ascii="黑体" w:hAnsi="宋体" w:eastAsia="黑体" w:cs="黑体"/>
          <w:color w:val="000000"/>
          <w:sz w:val="32"/>
          <w:szCs w:val="32"/>
          <w:lang w:val="en-US" w:eastAsia="zh-CN"/>
        </w:rPr>
        <w:t>5</w:t>
      </w:r>
      <w:r>
        <w:rPr>
          <w:rFonts w:hint="eastAsia" w:ascii="黑体" w:hAnsi="宋体" w:eastAsia="黑体" w:cs="黑体"/>
          <w:color w:val="000000"/>
          <w:sz w:val="32"/>
          <w:szCs w:val="32"/>
        </w:rPr>
        <w:t>年财政预算编制情况</w:t>
      </w:r>
    </w:p>
    <w:p>
      <w:pPr>
        <w:spacing w:line="560" w:lineRule="exact"/>
        <w:ind w:firstLine="640" w:firstLineChars="200"/>
        <w:rPr>
          <w:rFonts w:hint="eastAsia" w:ascii="仿宋_GB2312" w:hAnsi="仿宋_GB2312" w:eastAsia="仿宋_GB2312" w:cs="仿宋_GB2312"/>
          <w:sz w:val="32"/>
          <w:lang w:val="en-US" w:eastAsia="zh-CN"/>
        </w:rPr>
      </w:pPr>
      <w:r>
        <w:rPr>
          <w:rFonts w:hint="default" w:ascii="仿宋" w:hAnsi="仿宋" w:eastAsia="仿宋" w:cs="仿宋"/>
          <w:color w:val="000000"/>
          <w:sz w:val="32"/>
          <w:szCs w:val="32"/>
        </w:rPr>
        <w:t>指导思想：</w:t>
      </w:r>
      <w:r>
        <w:rPr>
          <w:rFonts w:hint="eastAsia" w:ascii="仿宋_GB2312" w:hAnsi="仿宋_GB2312" w:eastAsia="仿宋_GB2312" w:cs="仿宋_GB2312"/>
          <w:sz w:val="32"/>
          <w:lang w:val="en-US" w:eastAsia="zh-CN"/>
        </w:rPr>
        <w:t>2025年预算编制和财政工作的指导思想是以习近平新时代中国特色社会主义思想为指导，全面贯彻党的二十大和二十届三中全会精神、中央工作会议精神，以预算管理一体化系统为抓手，全面规范预算管理和硬化预算约束，强化统筹，突出重点，优化支出结构；坚决落实政府过“紧日子”要求，将艰苦奋斗、勤俭节约作为预算支出安排的基本方针；兜牢兜实“三保”底线，切实防范和化解政府债务风险，确保财政可持续发展；聚焦区委、区政府决策部署和重点工作，促进紧平衡下财政政策和资金提质增效。</w:t>
      </w:r>
    </w:p>
    <w:p>
      <w:pPr>
        <w:spacing w:line="560" w:lineRule="exact"/>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编制原则：</w:t>
      </w:r>
      <w:r>
        <w:rPr>
          <w:rFonts w:hint="eastAsia" w:ascii="仿宋_GB2312" w:hAnsi="仿宋_GB2312" w:eastAsia="仿宋_GB2312" w:cs="仿宋_GB2312"/>
          <w:sz w:val="32"/>
          <w:lang w:val="en-US" w:eastAsia="zh-CN"/>
        </w:rPr>
        <w:t>增强保障、兜牢底线；优化结构、突出重点；强化统筹、集约高效；严控风险、持续发展。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（一）2024年一般公共预算收入草案</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综合考虑财政收入形势，按照积极稳妥的原则，根据镇实际情况，确定2025年一般公共预算收入预计8385.69万元(其中2025年镇本级一般公共预算收入为4151.40万元，财政体制补助及提前下达转移支付为4234.29万元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（二）2024年一般公共预算支出草案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lang w:val="en-US" w:eastAsia="zh-CN"/>
        </w:rPr>
        <w:t>在镇级财力紧张的情况下，进一步优化支出结构，坚持有保有压，严格落实政府过“紧日子”要求，贯彻“零基础预算”理念，统筹资金在保障基本民生、工资、运转的同时，保障镇人大、共青团事务、工会经费、一站式服务、防汛、防火、保水、护林、安全生产、纪检办案、环境保护、低保五保、安全维稳、意识形态等支出。全镇一般公共预算支出安排8385.69万元。主要支出安排如下：一般公共服务支出安排4487.78万元；文化旅游体育与传媒支出安排19.4万元；社保和就业保障支出安排390.45万元；卫生健康支出198.36万元；节能环保支出1169万元；城乡社区支出安排14.43万元；农林水支出安排1912.39万元；住房保障支出193.88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1" w:firstLine="640" w:firstLineChars="200"/>
        <w:jc w:val="left"/>
        <w:textAlignment w:val="auto"/>
        <w:rPr>
          <w:rFonts w:hint="eastAsia" w:ascii="黑体" w:hAnsi="宋体" w:eastAsia="黑体" w:cs="黑体"/>
          <w:color w:val="000000"/>
          <w:sz w:val="32"/>
          <w:szCs w:val="32"/>
        </w:rPr>
      </w:pPr>
      <w:r>
        <w:rPr>
          <w:rFonts w:hint="eastAsia" w:ascii="黑体" w:hAnsi="宋体" w:eastAsia="黑体" w:cs="黑体"/>
          <w:color w:val="000000"/>
          <w:sz w:val="32"/>
          <w:szCs w:val="32"/>
        </w:rPr>
        <w:t>三、积极发挥财政的职能作用，确保完成202</w:t>
      </w:r>
      <w:r>
        <w:rPr>
          <w:rFonts w:hint="eastAsia" w:ascii="黑体" w:hAnsi="宋体" w:eastAsia="黑体" w:cs="黑体"/>
          <w:color w:val="000000"/>
          <w:sz w:val="32"/>
          <w:szCs w:val="32"/>
          <w:lang w:val="en-US" w:eastAsia="zh-CN"/>
        </w:rPr>
        <w:t>5</w:t>
      </w:r>
      <w:r>
        <w:rPr>
          <w:rFonts w:hint="eastAsia" w:ascii="黑体" w:hAnsi="宋体" w:eastAsia="黑体" w:cs="黑体"/>
          <w:color w:val="000000"/>
          <w:sz w:val="32"/>
          <w:szCs w:val="32"/>
        </w:rPr>
        <w:t>年财政收支预算任务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(一)加大招商引资宣传力度，完成全年收入目标</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严格落实我镇招商引资政策体系，对重点税源企业开展“定制式”对接服务，对小微企业实行“管家式”管理服务。按照“加强走访稳存量，拓宽渠道促增量，优化合作提质量”的原则稳住基本盘，落实“服务包”企业及走访企业制度，为全镇经济社会各项事业持续、快速、健康发展提供资金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（二）深化财政改革，确保财政收支平衡</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在努力增加财政收入的前提下，调整支出结构。减少财政的开支，积极筹措资金，加大对农业、生态环境的投入，落实民生资金，改善农村生活条件，严格控制“三公”经费，支持全镇各项事业可持续发展。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left"/>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（三）强化财政监督职能，整顿和规范财政秩序</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通过建立规范的审计制度，规范各部门财务行为，突出专项资金的监管，确保财政资金安全高效。</w:t>
      </w:r>
    </w:p>
    <w:p>
      <w:pPr>
        <w:spacing w:line="56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位代表，2025年的财政工作任务任重道远，我们一定会在镇党委、镇政府的正确领导下，坚定信心，团结协作，努力奋斗，扎扎实实做好财政工作，努力完成各项目标安排，促进我镇经济健康发展和社会全面进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80"/>
        <w:jc w:val="left"/>
        <w:textAlignment w:val="auto"/>
      </w:pPr>
      <w:r>
        <w:t> </w:t>
      </w: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DAC24"/>
    <w:rsid w:val="15987FFE"/>
    <w:rsid w:val="17FF7BE2"/>
    <w:rsid w:val="1A7EEFD1"/>
    <w:rsid w:val="1FF7B1D8"/>
    <w:rsid w:val="1FFF02BA"/>
    <w:rsid w:val="2BA9C436"/>
    <w:rsid w:val="33BF932A"/>
    <w:rsid w:val="353C72AC"/>
    <w:rsid w:val="36CB7325"/>
    <w:rsid w:val="36DB3663"/>
    <w:rsid w:val="377034C6"/>
    <w:rsid w:val="393DEF92"/>
    <w:rsid w:val="395A4D7C"/>
    <w:rsid w:val="3BBDA347"/>
    <w:rsid w:val="3DE7C29C"/>
    <w:rsid w:val="3EEA921B"/>
    <w:rsid w:val="3F79C653"/>
    <w:rsid w:val="3FBAA582"/>
    <w:rsid w:val="437F56BE"/>
    <w:rsid w:val="461B0E52"/>
    <w:rsid w:val="51EEC2B1"/>
    <w:rsid w:val="55DE0BC8"/>
    <w:rsid w:val="577DB56D"/>
    <w:rsid w:val="57FF0640"/>
    <w:rsid w:val="5DDE4A75"/>
    <w:rsid w:val="5DFBFF19"/>
    <w:rsid w:val="5EB7B3A9"/>
    <w:rsid w:val="5ED37E0B"/>
    <w:rsid w:val="5EFC6C3B"/>
    <w:rsid w:val="5F3FA167"/>
    <w:rsid w:val="5F866D01"/>
    <w:rsid w:val="5FF7350E"/>
    <w:rsid w:val="5FF7D3CB"/>
    <w:rsid w:val="5FFED7BC"/>
    <w:rsid w:val="5FFF93C3"/>
    <w:rsid w:val="66FBD342"/>
    <w:rsid w:val="69FFB04A"/>
    <w:rsid w:val="6AFF2A9A"/>
    <w:rsid w:val="6AFF7AF2"/>
    <w:rsid w:val="6BD7770D"/>
    <w:rsid w:val="6BFCD020"/>
    <w:rsid w:val="6BFFA18C"/>
    <w:rsid w:val="6DAFF18C"/>
    <w:rsid w:val="6DDBC409"/>
    <w:rsid w:val="6F7D86C3"/>
    <w:rsid w:val="6F7E644B"/>
    <w:rsid w:val="6FDBF97F"/>
    <w:rsid w:val="6FED6C3E"/>
    <w:rsid w:val="6FF4DB21"/>
    <w:rsid w:val="70C5A0A6"/>
    <w:rsid w:val="73FF227E"/>
    <w:rsid w:val="74B4BACF"/>
    <w:rsid w:val="76DEA5AC"/>
    <w:rsid w:val="77A6F0C7"/>
    <w:rsid w:val="77BBBAD4"/>
    <w:rsid w:val="79BDE018"/>
    <w:rsid w:val="79FD251E"/>
    <w:rsid w:val="7AD601A3"/>
    <w:rsid w:val="7ADF321C"/>
    <w:rsid w:val="7B4F4D7C"/>
    <w:rsid w:val="7B7A157A"/>
    <w:rsid w:val="7BFF04FE"/>
    <w:rsid w:val="7C7F3755"/>
    <w:rsid w:val="7CF50951"/>
    <w:rsid w:val="7CFEB4B3"/>
    <w:rsid w:val="7D6F5453"/>
    <w:rsid w:val="7D7620CD"/>
    <w:rsid w:val="7EBB0491"/>
    <w:rsid w:val="7EBFE3E8"/>
    <w:rsid w:val="7EFE7A5B"/>
    <w:rsid w:val="7EFE8569"/>
    <w:rsid w:val="7EFFAD46"/>
    <w:rsid w:val="7F0F1E21"/>
    <w:rsid w:val="7F570879"/>
    <w:rsid w:val="7F5EFA37"/>
    <w:rsid w:val="7F7FA244"/>
    <w:rsid w:val="7F85E246"/>
    <w:rsid w:val="7FBE28AB"/>
    <w:rsid w:val="7FBF3AC4"/>
    <w:rsid w:val="7FDD3C27"/>
    <w:rsid w:val="7FE379BA"/>
    <w:rsid w:val="7FEA08D3"/>
    <w:rsid w:val="7FEF48F9"/>
    <w:rsid w:val="7FFFC687"/>
    <w:rsid w:val="8F5A9D12"/>
    <w:rsid w:val="92DA79A4"/>
    <w:rsid w:val="93DB656A"/>
    <w:rsid w:val="A59F7CAC"/>
    <w:rsid w:val="A5EF45E4"/>
    <w:rsid w:val="AAFFE2EA"/>
    <w:rsid w:val="ABCDD183"/>
    <w:rsid w:val="ACF343C2"/>
    <w:rsid w:val="ADEB16D2"/>
    <w:rsid w:val="AFA72AA0"/>
    <w:rsid w:val="B6CF92C9"/>
    <w:rsid w:val="B8F23862"/>
    <w:rsid w:val="B9BBDE99"/>
    <w:rsid w:val="BD66AD6B"/>
    <w:rsid w:val="BD7A21C8"/>
    <w:rsid w:val="BDFDB7CD"/>
    <w:rsid w:val="BE2F6C75"/>
    <w:rsid w:val="BEE5079A"/>
    <w:rsid w:val="BEF9107C"/>
    <w:rsid w:val="BFBD7E2E"/>
    <w:rsid w:val="BFBF8E33"/>
    <w:rsid w:val="CEEF66BA"/>
    <w:rsid w:val="D5B690B2"/>
    <w:rsid w:val="DAF347DB"/>
    <w:rsid w:val="DEB7526F"/>
    <w:rsid w:val="DFBC540E"/>
    <w:rsid w:val="DFF25320"/>
    <w:rsid w:val="DFF63E55"/>
    <w:rsid w:val="DFFA513D"/>
    <w:rsid w:val="E31FC61F"/>
    <w:rsid w:val="E6FD04AB"/>
    <w:rsid w:val="E7BFEE25"/>
    <w:rsid w:val="EBBD8073"/>
    <w:rsid w:val="ECFFC583"/>
    <w:rsid w:val="ECFFFB39"/>
    <w:rsid w:val="EFB7827E"/>
    <w:rsid w:val="EFCDFA25"/>
    <w:rsid w:val="EFECBA5B"/>
    <w:rsid w:val="EFF38407"/>
    <w:rsid w:val="EFFB2AFA"/>
    <w:rsid w:val="F2AD76F5"/>
    <w:rsid w:val="F3FF8680"/>
    <w:rsid w:val="F5FF4D6D"/>
    <w:rsid w:val="F77F9A15"/>
    <w:rsid w:val="F7AFF46D"/>
    <w:rsid w:val="F7DF440C"/>
    <w:rsid w:val="F7F30B35"/>
    <w:rsid w:val="F7FFFB47"/>
    <w:rsid w:val="F83D05C0"/>
    <w:rsid w:val="F9C827BC"/>
    <w:rsid w:val="F9DA2786"/>
    <w:rsid w:val="F9FC11B5"/>
    <w:rsid w:val="FA72128A"/>
    <w:rsid w:val="FAEF5B1A"/>
    <w:rsid w:val="FB7B293C"/>
    <w:rsid w:val="FB8B2560"/>
    <w:rsid w:val="FBF55B47"/>
    <w:rsid w:val="FDDD6A41"/>
    <w:rsid w:val="FDDFB6A6"/>
    <w:rsid w:val="FDDFC65D"/>
    <w:rsid w:val="FDFF7F12"/>
    <w:rsid w:val="FE2D4DFE"/>
    <w:rsid w:val="FE7D445D"/>
    <w:rsid w:val="FEEF3CCA"/>
    <w:rsid w:val="FEFD2131"/>
    <w:rsid w:val="FF3F0317"/>
    <w:rsid w:val="FF73A845"/>
    <w:rsid w:val="FF9B56A1"/>
    <w:rsid w:val="FFEB0D6C"/>
    <w:rsid w:val="FFEF17F1"/>
    <w:rsid w:val="FFFE24B0"/>
    <w:rsid w:val="FFFF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2025-01-17T01:45:00Z</dcterms:created>
  <dc:creator>Administrator</dc:creator>
  <cp:lastModifiedBy>uos</cp:lastModifiedBy>
  <dcterms:modified xsi:type="dcterms:W3CDTF">2025-03-17T14:55:51Z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F913680B52C1BA5E68E68467241DE478</vt:lpwstr>
  </property>
</Properties>
</file>