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3"/>
      <w:bookmarkStart w:id="1" w:name="OLE_LINK4"/>
      <w:bookmarkStart w:id="2" w:name="OLE_LINK5"/>
      <w:bookmarkStart w:id="5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溪翁庄镇人民政府</w:t>
      </w:r>
    </w:p>
    <w:p>
      <w:pPr>
        <w:widowControl w:val="0"/>
        <w:wordWrap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年预算执行情况和202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widowControl w:val="0"/>
        <w:wordWrap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预算（草案）的报告</w:t>
      </w:r>
    </w:p>
    <w:p>
      <w:pPr>
        <w:widowControl w:val="0"/>
        <w:wordWrap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——</w:t>
      </w:r>
      <w:r>
        <w:rPr>
          <w:rFonts w:hint="eastAsia" w:ascii="楷体_GB2312" w:hAnsi="楷体_GB2312" w:eastAsia="楷体_GB2312" w:cs="楷体_GB2312"/>
          <w:sz w:val="28"/>
          <w:szCs w:val="28"/>
        </w:rPr>
        <w:t>202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5</w:t>
      </w:r>
      <w:r>
        <w:rPr>
          <w:rFonts w:hint="eastAsia" w:ascii="楷体_GB2312" w:hAnsi="楷体_GB2312" w:eastAsia="楷体_GB2312" w:cs="楷体_GB2312"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sz w:val="28"/>
          <w:szCs w:val="28"/>
        </w:rPr>
        <w:t>日在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溪翁庄镇</w:t>
      </w:r>
      <w:r>
        <w:rPr>
          <w:rFonts w:hint="eastAsia" w:ascii="楷体_GB2312" w:hAnsi="楷体_GB2312" w:eastAsia="楷体_GB2312" w:cs="楷体_GB2312"/>
          <w:sz w:val="28"/>
          <w:szCs w:val="28"/>
        </w:rPr>
        <w:t>第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28"/>
          <w:szCs w:val="28"/>
        </w:rPr>
        <w:t>届人民代表大会第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七</w:t>
      </w:r>
      <w:r>
        <w:rPr>
          <w:rFonts w:hint="eastAsia" w:ascii="楷体_GB2312" w:hAnsi="楷体_GB2312" w:eastAsia="楷体_GB2312" w:cs="楷体_GB2312"/>
          <w:sz w:val="28"/>
          <w:szCs w:val="28"/>
        </w:rPr>
        <w:t>次会议上</w:t>
      </w:r>
    </w:p>
    <w:p>
      <w:pPr>
        <w:spacing w:line="600" w:lineRule="exact"/>
        <w:jc w:val="center"/>
        <w:rPr>
          <w:rFonts w:hint="eastAsia" w:eastAsia="仿宋_GB2312"/>
          <w:sz w:val="32"/>
          <w:highlight w:val="none"/>
          <w:lang w:val="en-US" w:eastAsia="zh-CN"/>
        </w:rPr>
      </w:pPr>
      <w:r>
        <w:rPr>
          <w:rFonts w:hint="eastAsia" w:eastAsia="仿宋_GB2312"/>
          <w:sz w:val="32"/>
          <w:highlight w:val="none"/>
          <w:lang w:val="en-US" w:eastAsia="zh-CN"/>
        </w:rPr>
        <w:t>财政科科长  王云</w:t>
      </w:r>
    </w:p>
    <w:p>
      <w:pPr>
        <w:widowControl w:val="0"/>
        <w:wordWrap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 w:val="0"/>
        <w:wordWrap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各位代表：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溪翁庄镇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人民政府委托，现将北京市密云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区溪翁庄镇人民政府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年预算执行情况和202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年预算（草案）的报告提请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届人民代表大会第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次会议审议。</w:t>
      </w:r>
    </w:p>
    <w:p>
      <w:pPr>
        <w:widowControl w:val="0"/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一、2024年预算执行情况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镇党委、镇政府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的领导下，在镇人大的监督支持下，坚持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习近平新时代中国特色社会主义思想为指导，全面贯彻党的二十大和二十届二中、三中全会、中央经济工作会议精神，认真执行镇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届人大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次会议相关决议，坚持稳中求进工作总基调，积极履行财政各项职能，靠前发力做好资金保障，推动经济社会高质量发展，全镇财政运行平稳。</w:t>
      </w: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（一）一般公共预算预计执行情况</w:t>
      </w:r>
    </w:p>
    <w:p>
      <w:pPr>
        <w:widowControl w:val="0"/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.一般公共预算收支预计执行情况</w:t>
      </w:r>
    </w:p>
    <w:p>
      <w:pPr>
        <w:widowControl w:val="0"/>
        <w:numPr>
          <w:ilvl w:val="0"/>
          <w:numId w:val="0"/>
        </w:numPr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全镇公共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财政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预算收入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22052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比上年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增长50%，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其中：财政收入完成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7816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增长49%。区下达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专项资金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10405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财政体制补助及转移支付资金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3363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，上年专项政策性结转使用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468万元，主要用于兜牢“三保”</w:t>
      </w:r>
      <w:r>
        <w:rPr>
          <w:rStyle w:val="9"/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footnoteReference w:id="0"/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底线，提升公共服务水平，完成基层党组织服务群众工作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。</w:t>
      </w:r>
    </w:p>
    <w:p>
      <w:pPr>
        <w:widowControl w:val="0"/>
        <w:numPr>
          <w:ilvl w:val="0"/>
          <w:numId w:val="0"/>
        </w:numPr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全镇公共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财政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预算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支出22052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其中：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一般公共预算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支出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18850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</w:rPr>
        <w:t>万元，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eastAsia="zh-CN"/>
        </w:rPr>
        <w:t>比上年增长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highlight w:val="none"/>
          <w:u w:val="none" w:color="auto"/>
          <w:lang w:val="en-US" w:eastAsia="zh-CN"/>
        </w:rPr>
        <w:t>37.66%，完成调整预算的169%；上解上级支出486万元；债务还本支出519.78万元；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专项政策性结转下年使用2196万元。镇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一般公共预算收支平衡。</w:t>
      </w:r>
    </w:p>
    <w:p>
      <w:pPr>
        <w:widowControl w:val="0"/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级主要收入科目预计执行情况</w:t>
      </w:r>
    </w:p>
    <w:p>
      <w:pPr>
        <w:widowControl w:val="0"/>
        <w:numPr>
          <w:ilvl w:val="0"/>
          <w:numId w:val="0"/>
        </w:numPr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（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）全镇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税收形成财政收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入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  <w:lang w:val="en-US" w:eastAsia="zh-CN"/>
        </w:rPr>
        <w:t>5851</w:t>
      </w:r>
      <w:r>
        <w:rPr>
          <w:rFonts w:hint="eastAsia" w:ascii="仿宋_GB2312" w:eastAsia="仿宋_GB2312" w:cs="仿宋_GB2312"/>
          <w:b w:val="0"/>
          <w:i w:val="0"/>
          <w:caps w:val="0"/>
          <w:color w:val="auto"/>
          <w:spacing w:val="0"/>
          <w:w w:val="100"/>
          <w:sz w:val="32"/>
          <w:szCs w:val="32"/>
          <w:u w:val="none" w:color="auto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具体情况如下：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增值税收入完成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1422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完成预算的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56.88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，占镇财政总收入的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18.2%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企业所得税收入完成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204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完成预算的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25.42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，占镇财政总收入的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2.6%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。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房产税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966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完成预算的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96.63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，占镇财政总收入的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12.36%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土地增值税收入完成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2950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完成预算的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210.72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，占镇财政总收入的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37.75%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个人所得税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72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万元；城镇土地使用税收入完成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204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万元；环境保护税收入完成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33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万元，以上三项预计收入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309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完成预算的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41.22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，占镇财政总收入的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4%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。</w:t>
      </w:r>
    </w:p>
    <w:p>
      <w:pPr>
        <w:widowControl w:val="0"/>
        <w:numPr>
          <w:ilvl w:val="0"/>
          <w:numId w:val="1"/>
        </w:numPr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非税收入完成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1965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108.02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，占镇财政总收入的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25.14%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主要是国有资源（资产）有偿使用收入增加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。</w:t>
      </w:r>
    </w:p>
    <w:p>
      <w:pPr>
        <w:widowControl w:val="0"/>
        <w:numPr>
          <w:ilvl w:val="0"/>
          <w:numId w:val="0"/>
        </w:numPr>
        <w:pBdr>
          <w:bottom w:val="single" w:color="FFFFFF" w:sz="4" w:space="11"/>
        </w:pBdr>
        <w:wordWrap/>
        <w:adjustRightInd/>
        <w:snapToGrid w:val="0"/>
        <w:spacing w:before="0" w:beforeAutospacing="0" w:after="0" w:afterAutospacing="0" w:line="560" w:lineRule="exact"/>
        <w:ind w:firstLine="643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级主要支出科目预计执行情况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一般公共服务支出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预计完成5993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完成调整预算的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103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%，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主要用于机关运维、各类人员工资以及代扣代缴匹配部分等。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社会保障和就业支出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预计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完成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876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万元，完成调整预算的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168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%。主要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用于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完善多层次的社会保障体系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，落实城乡居民最低生活保障，安排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城乡居民基本养老保险、基础养老金等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。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卫生健康支出预计完成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323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万元，完成调整预算的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10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%。主要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用于献血补助及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加大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医疗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服务保障力度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支出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农林水支出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预计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完成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8394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万元，完成调整预算的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63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%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。主要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用于严格落实保水保生态政治责任，开展农村污染防治工作，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有效控制农业面污染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；深入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推进美丽乡村建设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及管护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，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支持农业农村绿色产业发展；扎实推进“百千工程”，助力乡村振兴。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城乡社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区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支出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预计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完成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2069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万元，完成调整预算的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10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%。主要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用于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深入推进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垃圾分类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、供水及污水前端系统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及配套基础设施建设等环境综合治理工作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，打造宜居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美丽乡镇</w:t>
      </w:r>
      <w:r>
        <w:rPr>
          <w:rFonts w:hint="eastAsia" w:ascii="仿宋_GB2312" w:hAnsi="Times New Roman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宋体" w:eastAsia="仿宋_GB2312" w:cs="宋体"/>
          <w:strike w:val="0"/>
          <w:dstrike w:val="0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节能环保支出预计完成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481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用于推进生态环境治理项目，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改善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大气、水、土壤环境质量，</w:t>
      </w:r>
      <w:r>
        <w:rPr>
          <w:rFonts w:hint="eastAsia" w:ascii="仿宋_GB2312" w:hAnsi="宋体" w:eastAsia="仿宋_GB2312" w:cs="宋体"/>
          <w:strike w:val="0"/>
          <w:dstrike w:val="0"/>
          <w:color w:val="000000"/>
          <w:kern w:val="0"/>
          <w:sz w:val="32"/>
          <w:szCs w:val="32"/>
          <w:highlight w:val="none"/>
        </w:rPr>
        <w:t>持续提升</w:t>
      </w:r>
      <w:r>
        <w:rPr>
          <w:rFonts w:hint="eastAsia" w:ascii="仿宋_GB2312" w:hAnsi="宋体" w:eastAsia="仿宋_GB2312" w:cs="宋体"/>
          <w:strike w:val="0"/>
          <w:dstrike w:val="0"/>
          <w:color w:val="000000"/>
          <w:kern w:val="0"/>
          <w:sz w:val="32"/>
          <w:szCs w:val="32"/>
          <w:highlight w:val="none"/>
          <w:lang w:val="en-US" w:eastAsia="zh-CN"/>
        </w:rPr>
        <w:t>环境治理</w:t>
      </w:r>
      <w:r>
        <w:rPr>
          <w:rFonts w:hint="eastAsia" w:ascii="仿宋_GB2312" w:hAnsi="宋体" w:eastAsia="仿宋_GB2312" w:cs="宋体"/>
          <w:strike w:val="0"/>
          <w:dstrike w:val="0"/>
          <w:color w:val="000000"/>
          <w:kern w:val="0"/>
          <w:sz w:val="32"/>
          <w:szCs w:val="32"/>
          <w:highlight w:val="none"/>
        </w:rPr>
        <w:t>的科学化</w:t>
      </w:r>
      <w:r>
        <w:rPr>
          <w:rFonts w:hint="eastAsia" w:ascii="仿宋_GB2312" w:hAnsi="宋体" w:eastAsia="仿宋_GB2312" w:cs="宋体"/>
          <w:strike w:val="0"/>
          <w:dstrike w:val="0"/>
          <w:color w:val="000000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 w:cs="宋体"/>
          <w:strike w:val="0"/>
          <w:dstrike w:val="0"/>
          <w:color w:val="000000"/>
          <w:kern w:val="0"/>
          <w:sz w:val="32"/>
          <w:szCs w:val="32"/>
          <w:highlight w:val="none"/>
        </w:rPr>
        <w:t>精细化水平</w:t>
      </w:r>
      <w:r>
        <w:rPr>
          <w:rFonts w:hint="eastAsia" w:ascii="仿宋_GB2312" w:hAnsi="宋体" w:eastAsia="仿宋_GB2312" w:cs="宋体"/>
          <w:strike w:val="0"/>
          <w:dstrike w:val="0"/>
          <w:color w:val="000000"/>
          <w:kern w:val="0"/>
          <w:sz w:val="32"/>
          <w:szCs w:val="32"/>
          <w:highlight w:val="none"/>
          <w:lang w:eastAsia="zh-CN"/>
        </w:rPr>
        <w:t>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文化旅游体育与传媒支出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。主要用于推动公共文化服务体系建设，开展“小镇有戏·戏剧节”以及溪翁庄“村晚”，持续推进文旅深度融合。</w:t>
      </w:r>
    </w:p>
    <w:p>
      <w:pPr>
        <w:widowControl w:val="0"/>
        <w:pBdr>
          <w:bottom w:val="single" w:color="FFFFFF" w:sz="4" w:space="11"/>
        </w:pBdr>
        <w:wordWrap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baseline"/>
        <w:outlineLvl w:val="9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公共安全、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灾害防治及应急管理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支出预计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。主要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用于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健全应急管理体系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做好应急设施升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级改造、安全隐患排查等，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提升安全生产和抗灾救灾能力，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eastAsia="zh-CN"/>
        </w:rPr>
        <w:t>进一步提高群众安全感。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资源勘探工业信息等支出180万元。主要用于支持企业发展壮大，进一步激发企业发展活力。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 w:val="0"/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）财政工作取得成效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1.围绕组织收入，优化营商环境和服务。</w:t>
      </w:r>
    </w:p>
    <w:p>
      <w:pPr>
        <w:widowControl w:val="0"/>
        <w:numPr>
          <w:ilvl w:val="0"/>
          <w:numId w:val="0"/>
        </w:numP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狠抓财政收入管理。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利用大数据系统加强对企业的动态监测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落实落细各项组收措施；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和税务部门的协同联动，推动有效信息共享互通，准确研判收支形势，形成工作合力。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强化企业帮扶力度。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始终秉持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“进企业、解难题、促发展”的服务理念，协调解决企业提出的问题。</w:t>
      </w:r>
      <w:bookmarkStart w:id="3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2024年全镇新增企业303户，引进京外企业4户，引进1家头部财源企业，完成全年招商任务。</w:t>
      </w:r>
    </w:p>
    <w:bookmarkEnd w:id="3"/>
    <w:p>
      <w:pPr>
        <w:widowControl w:val="0"/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围绕统筹资金，管好用活财政资金。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加强财政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资源统筹。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eastAsia="zh-CN"/>
        </w:rPr>
        <w:t>主动应对财政收支平衡压力，持续盘活存量资金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将“三保”支出放在财政支出保障的第一要位，切实兜牢三保底线。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全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镇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一般公共预算支出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预计完成18850万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元，增长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41</w:t>
      </w:r>
      <w:r>
        <w:rPr>
          <w:rFonts w:hint="default" w:ascii="仿宋_GB2312" w:hAnsi="Calibri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%，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完成调整预算的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173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民生支出</w:t>
      </w:r>
      <w:r>
        <w:rPr>
          <w:rStyle w:val="9"/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footnoteReference w:id="1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12650万元，增长70%，占一般公共预算支出的65%。</w:t>
      </w: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eastAsia="zh-CN"/>
        </w:rPr>
        <w:t>想方设法节约资金。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落实党政机关过“紧日子”要求，压减非刚性非重点一般性支出，厉行节约办一切事业，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eastAsia="zh-CN"/>
        </w:rPr>
        <w:t>通过政府采购、财政评审等多种方式节约资金，确保把每一分钱花在刀刃上。</w:t>
      </w:r>
      <w:bookmarkStart w:id="4" w:name="OLE_LINK1"/>
      <w:r>
        <w:rPr>
          <w:rFonts w:hint="eastAsia" w:ascii="仿宋_GB2312" w:hAnsi="仿宋_GB2312" w:eastAsia="仿宋_GB2312" w:cs="仿宋_GB2312"/>
          <w:spacing w:val="0"/>
          <w:sz w:val="32"/>
          <w:szCs w:val="32"/>
          <w:highlight w:val="none"/>
          <w:lang w:val="en-US" w:eastAsia="zh-CN"/>
        </w:rPr>
        <w:t>2024年运转经费预计支出2108万元，压减426万元，压减率为20%。</w:t>
      </w:r>
      <w:bookmarkEnd w:id="4"/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3.聚焦民生福祉，创建生态宜居新环境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提升社会保障水平。落实保险提标政策，足额保障养老保险和医疗保险。拨付各项就业补助资金1154万元，用于公益性就业补贴、增加公共服务供给等。投入农林水资金8394万元，持续推进美丽乡村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“百千工程”乡村振兴示范片区建设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，促进乡村振兴。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4.围绕管理效能，走深走实改革创新。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完善各项财政制度。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val="en-US" w:eastAsia="zh-CN"/>
        </w:rPr>
        <w:t>修订完善《财务管理办法》、《项目管理制度》、《内审制度》、《购买服务指导目录》等制度规定，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</w:rPr>
        <w:t>进一步加强和规范财务管理，提高资金使用效益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090000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落实“放管服”改革。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财政票据电子化改革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认真学习财政票据电子化办理流程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实现票据业务“一网通办、全程网办”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完善资产管理体系。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对固定资产进行全面盘查，做好资产入库，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提高资产管理效率。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加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强预算绩效管理。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2023年度项目绩效评价工作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对重点工程项目进行绩效监控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eastAsia="zh-CN"/>
        </w:rPr>
        <w:t>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财政运行平稳有序，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也面临着一些困难和问题。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一是财政收入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增长基础不够牢固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我镇财源基础和产业基础较为薄弱，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新增企业数量虽呈增长态势，但部分潜力企业对财政收入的贡献作用释放依然较慢，重点税源不确定性依然较大，财源转化率还需加快提速。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二是收支矛盾进一步加剧。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城乡医疗、养老保险等支出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，造成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刚性支出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需求不断攀升，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财政收支“紧平衡”矛盾持续加深。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三是资金使用效益有待提升。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我镇资金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支出进度有待进一步加强，资金管理还需更加规范。针对以上问题，我们将采取有效措施，努力加以解决。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二、2025年预算（草案）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（一）2025年财政收支形势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随着一揽子财政增量政策的推出和逆周期调节力度的加大，经济运行稳中向好的态势进一步巩固，我镇经济发展机遇与挑战并存。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财源建设稳步推进，存量财源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贡献提升，新增财源不断壮大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但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基础恢复缓慢</w:t>
      </w:r>
      <w:r>
        <w:rPr>
          <w:rFonts w:hint="eastAsia" w:ascii="仿宋_GB2312" w:hAnsi="仿宋_GB2312" w:eastAsia="仿宋_GB2312" w:cs="仿宋_GB2312"/>
          <w:sz w:val="32"/>
          <w:szCs w:val="32"/>
        </w:rPr>
        <w:t>、土地市场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低迷、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收支矛盾加剧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挑战依然存在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财政运行将继续保持紧平衡状态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（二）2025年预算编制工作的指导思想和原则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指导思想：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坚持用习近平新时代中国特色社会主义思想为指导，全面贯彻落实党的二十大和二十届二中、三中全会精神、中央经济工作会议精神，坚持稳中求进工作总基调。以财源建设为统领，科学合理编制收入预算，确保与经济社会发展水平相适应，与更加积极的财政政策相衔接。以优化支出结构为支撑，加强财政资源统筹。以促进紧平衡下财政政策和资金提质增效为保障，聚焦镇党委、镇政府决策部署和重点工作，推动经济社会高质量发展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3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编制原则：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增强保障、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兜牢底线；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优化结构、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突出重点；强化统筹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集约高效；严控风险、持续发展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0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（三）2025年预算收支安排情况</w:t>
      </w:r>
    </w:p>
    <w:p>
      <w:pPr>
        <w:widowControl w:val="0"/>
        <w:wordWrap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1.一般公共预算收支安排情况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一般公共预算收入预期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7956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万元；加上级补助收入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3819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合计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11775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一般公共预算支出安排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11775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收支平衡。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“三公”经费支出预算安排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万元，主要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用于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公务用车购置及运行维护费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认真执行中央八项规定实施细则，严格控制行政成本，继续压缩“三公”经费支出。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镇级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收支安排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年，我们将进一步优化支出结构，坚持有保有压，严格落实政府过“紧日子”要求，贯彻零基预算理念，统筹资金优先保障“三保”支出。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体情况如下：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一般公共服务支出安排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6520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万元，主要用于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eastAsia="zh-CN"/>
        </w:rPr>
        <w:t>保障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机关运行，保工资、保运转。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农林水支出安排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2007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主要用于高标准履行保水政治责任，落实河长制工作资金；支持开展造林工程、古树名木保护工作；加快美丽乡村建设，发挥“百千工程”示范引领作用，推进农业农村绿色发展。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城乡社区支出安排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1441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主要用于加强城乡精细化治理，保障环卫人员及运行经费，推动生活垃圾分类长效化，做好公共道路、绿化、太阳能路灯的日常养护，打造宜居溪翁庄。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社会保障和就业支出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安排965万元，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主要用于机关事业单位养老保险补贴，兜牢社会保障底线；落实公益性岗位补贴，推进就业技能培训，确保就业形势就业市场总体稳定。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卫生健康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支出安排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536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主要用于落实城乡居民医疗保险补助、计划生育及献血等政策性补贴。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文化旅游体育与传媒支出安排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  <w:lang w:val="en-US" w:eastAsia="zh-CN"/>
        </w:rPr>
        <w:t>31</w:t>
      </w:r>
      <w:r>
        <w:rPr>
          <w:rFonts w:hint="eastAsia" w:asci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u w:val="none" w:color="auto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主要用于保障我镇文体中心的正常开放，举办“小镇有戏·戏剧节”演出活动，支持特色文化旅游休闲发展带建设。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住房保障支出安排275万元。主要用于住房公积金支出。</w:t>
      </w:r>
    </w:p>
    <w:p>
      <w:pPr>
        <w:widowControl w:val="0"/>
        <w:numPr>
          <w:ilvl w:val="0"/>
          <w:numId w:val="2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凝心聚力，开拓进取，努力完成 2025年财政预算任务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2025年，我们将在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镇党委、镇政府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的坚强领导下，坚定信心、开拓奋进，充分发挥财政职能作用，推动经济实现质的有效提升和量的合理增长。</w:t>
      </w:r>
    </w:p>
    <w:p>
      <w:pPr>
        <w:widowControl w:val="0"/>
        <w:numPr>
          <w:ilvl w:val="0"/>
          <w:numId w:val="3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广开财源，助力财政收入提质增量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稳存量、防外迁。自上而下多方位开展企业走访服务工作，积极帮助企业解决“难点、堵点、痛点”问题，用好财政收入和财源大数据系统，加大财源风险监测服务力度。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强招商、促增量。立足我镇差异化发展，加强与税务部门沟通协作，强化招商引资工作的政策保障。</w:t>
      </w:r>
    </w:p>
    <w:p>
      <w:pPr>
        <w:widowControl w:val="0"/>
        <w:numPr>
          <w:ilvl w:val="0"/>
          <w:numId w:val="3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压减节流，助力财政成本只减不增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严格落实过紧日子要求。牢固树立艰苦奋斗、勤俭节约思想，将党政机关要习惯过紧日子作为财政工作长期指导方针，严格控制一般性支出，压减“三公”经费。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严格审核把关资金支出。规范预算执行，硬化执行刚性约束，从政府采购、预算评审方面强化管理，努力降低行政成本，规避不合理支出，审减低效资金，护航财政资金安全运行。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严控编外用工降低人工成本。原则上编外用工数量只减不增，用好政府购买服务和委托外包，力争做到事由最少的人干，钱用最合适的标准保。</w:t>
      </w:r>
    </w:p>
    <w:p>
      <w:pPr>
        <w:widowControl w:val="0"/>
        <w:numPr>
          <w:ilvl w:val="0"/>
          <w:numId w:val="3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outlineLvl w:val="0"/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多措并举，助力资金统筹有保有压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3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统筹利用各类财政资金。加强一般公共预算管理，加强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区级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、债券等各类资金的统筹，加强以前年度结转结余资金与当年财力的整合，提高财政资金综合配置效率。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增强重点财力支出保障。将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镇党委、镇政府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重点决策部署作为预算安排的首要任务，全力保障“三保”支出、“百千工程示范区”建设和“五好两宜”和美乡村等重点项目支出。</w:t>
      </w:r>
    </w:p>
    <w:p>
      <w:pPr>
        <w:widowControl w:val="0"/>
        <w:numPr>
          <w:ilvl w:val="0"/>
          <w:numId w:val="0"/>
        </w:numPr>
        <w:pBdr>
          <w:bottom w:val="single" w:color="FFFFFF" w:sz="4" w:space="31"/>
        </w:pBdr>
        <w:wordWrap/>
        <w:adjustRightInd w:val="0"/>
        <w:snapToGrid w:val="0"/>
        <w:spacing w:line="540" w:lineRule="exact"/>
        <w:ind w:firstLine="640" w:firstLineChars="200"/>
        <w:jc w:val="both"/>
        <w:textAlignment w:val="auto"/>
        <w:outlineLvl w:val="0"/>
        <w:rPr>
          <w:rFonts w:hint="eastAsia"/>
          <w:lang w:val="en-US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各位代表，做好202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年财政工作责任重大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，任务艰巨。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将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镇党委、镇政府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的坚强领导下，坚持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用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习近平新时代中国特色社会主义思想为指导，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"/>
          <w:sz w:val="32"/>
          <w:szCs w:val="32"/>
          <w:highlight w:val="none"/>
          <w:lang w:val="en-US" w:eastAsia="zh-CN" w:bidi="ar-SA"/>
        </w:rPr>
        <w:t>永葆“闯”的精神、“创”的劲头、“干”的作风，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奋力谱写新征程上中国式现代化新篇章作出新的更大贡献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bookmarkEnd w:id="0"/>
    <w:bookmarkEnd w:id="1"/>
    <w:bookmarkEnd w:id="2"/>
    <w:p>
      <w:pPr>
        <w:pStyle w:val="2"/>
        <w:rPr>
          <w:rFonts w:hint="eastAsia"/>
          <w:lang w:val="en-US" w:eastAsia="zh-CN"/>
        </w:rPr>
      </w:pPr>
    </w:p>
    <w:bookmarkEnd w:id="5"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w:pict>
        <v:rect id="文本框 1" o:spid="_x0000_s2049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5"/>
        <w:snapToGrid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ootnoteRef/>
      </w:r>
      <w:r>
        <w:rPr>
          <w:rFonts w:hint="eastAsia"/>
          <w:lang w:val="en-US" w:eastAsia="zh-CN"/>
        </w:rPr>
        <w:t xml:space="preserve"> “三保”是指保工资、保运转、保基本民生</w:t>
      </w:r>
    </w:p>
  </w:footnote>
  <w:footnote w:id="1">
    <w:p>
      <w:pPr>
        <w:pStyle w:val="5"/>
        <w:snapToGrid w:val="0"/>
        <w:rPr>
          <w:rFonts w:hint="eastAsia" w:eastAsia="宋体"/>
          <w:lang w:val="en-US" w:eastAsia="zh-CN"/>
        </w:rPr>
      </w:pPr>
      <w:r>
        <w:rPr>
          <w:rStyle w:val="9"/>
        </w:rPr>
        <w:footnoteRef/>
      </w:r>
      <w:r>
        <w:t xml:space="preserve"> </w:t>
      </w:r>
      <w:r>
        <w:rPr>
          <w:rFonts w:hint="eastAsia"/>
          <w:lang w:val="en-US" w:eastAsia="zh-CN"/>
        </w:rPr>
        <w:t>民生支出指财政支出中用于保障和改善民生方面的支出。包括教育、科学技术、文化体育与传媒、社会保障和就业、医疗卫生、节能环保、城乡社区事务、农林水事务、交通运输、商业服务业等事务、国土海洋气象等事务、住房保障支出、粮油物资储备事务等支出科目的总和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A8703A"/>
    <w:multiLevelType w:val="singleLevel"/>
    <w:tmpl w:val="EEA870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3A9E5B9"/>
    <w:multiLevelType w:val="singleLevel"/>
    <w:tmpl w:val="43A9E5B9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7A39AD6C"/>
    <w:multiLevelType w:val="singleLevel"/>
    <w:tmpl w:val="7A39AD6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12D9017E"/>
    <w:rsid w:val="02436043"/>
    <w:rsid w:val="03A17D84"/>
    <w:rsid w:val="05C9468B"/>
    <w:rsid w:val="07D31654"/>
    <w:rsid w:val="09B22094"/>
    <w:rsid w:val="0F2B6FB2"/>
    <w:rsid w:val="12D9017E"/>
    <w:rsid w:val="142720BE"/>
    <w:rsid w:val="16B951E0"/>
    <w:rsid w:val="1E4516BB"/>
    <w:rsid w:val="214A22FB"/>
    <w:rsid w:val="25252D95"/>
    <w:rsid w:val="31F6306C"/>
    <w:rsid w:val="325358B3"/>
    <w:rsid w:val="3C2E352D"/>
    <w:rsid w:val="3CDE5E60"/>
    <w:rsid w:val="3EBD4932"/>
    <w:rsid w:val="49CD4168"/>
    <w:rsid w:val="49D121F9"/>
    <w:rsid w:val="53107EB0"/>
    <w:rsid w:val="543E562A"/>
    <w:rsid w:val="547C67AB"/>
    <w:rsid w:val="54DC6AAB"/>
    <w:rsid w:val="570B6481"/>
    <w:rsid w:val="585C2EC9"/>
    <w:rsid w:val="5B34012D"/>
    <w:rsid w:val="5FE578D4"/>
    <w:rsid w:val="60AF6CE6"/>
    <w:rsid w:val="687D3CA5"/>
    <w:rsid w:val="70632E08"/>
    <w:rsid w:val="73831AE2"/>
    <w:rsid w:val="7C5A796D"/>
    <w:rsid w:val="7E8C3B39"/>
    <w:rsid w:val="7FAE57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uiPriority w:val="0"/>
    <w:rPr>
      <w:rFonts w:ascii="宋体" w:hAnsi="宋体" w:cs="Courier New"/>
      <w:sz w:val="32"/>
      <w:szCs w:val="32"/>
    </w:rPr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qFormat/>
    <w:uiPriority w:val="0"/>
    <w:pPr>
      <w:tabs>
        <w:tab w:val="right" w:leader="dot" w:pos="8874"/>
      </w:tabs>
      <w:ind w:firstLine="480" w:firstLineChars="200"/>
      <w:jc w:val="left"/>
    </w:pPr>
    <w:rPr>
      <w:rFonts w:ascii="华文中宋" w:hAnsi="华文中宋" w:eastAsia="华文中宋"/>
      <w:sz w:val="24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customStyle="1" w:styleId="8">
    <w:name w:val="Char"/>
    <w:basedOn w:val="1"/>
    <w:link w:val="7"/>
    <w:qFormat/>
    <w:uiPriority w:val="0"/>
    <w:rPr>
      <w:rFonts w:ascii="宋体" w:hAnsi="宋体" w:cs="Courier New"/>
      <w:sz w:val="32"/>
      <w:szCs w:val="32"/>
    </w:rPr>
  </w:style>
  <w:style w:type="character" w:styleId="9">
    <w:name w:val="footnote reference"/>
    <w:basedOn w:val="7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4261</Words>
  <Characters>4550</Characters>
  <Lines>0</Lines>
  <Paragraphs>0</Paragraphs>
  <TotalTime>3</TotalTime>
  <ScaleCrop>false</ScaleCrop>
  <LinksUpToDate>false</LinksUpToDate>
  <CharactersWithSpaces>4556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2025-01-14T05:22:00Z</dcterms:created>
  <dc:creator>杜何欣</dc:creator>
  <cp:lastModifiedBy>Administrator</cp:lastModifiedBy>
  <cp:lastPrinted>2025-02-14T03:22:00Z</cp:lastPrinted>
  <dcterms:modified xsi:type="dcterms:W3CDTF">2025-02-27T07:11:39Z</dcterms:modified>
  <dc:title>北京市密云区溪翁庄镇人民政府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EBFE07D38F074108B42143B83B3381B3</vt:lpwstr>
  </property>
</Properties>
</file>