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北京市密云区河南寨镇人民政府</w:t>
      </w:r>
    </w:p>
    <w:p>
      <w:pPr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年预算执行情况和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年预算</w:t>
      </w:r>
    </w:p>
    <w:p>
      <w:pPr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（草案）的报告</w:t>
      </w:r>
    </w:p>
    <w:p>
      <w:pPr>
        <w:spacing w:line="560" w:lineRule="exact"/>
        <w:jc w:val="center"/>
        <w:textAlignment w:val="baseline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微软雅黑" w:eastAsia="楷体_GB2312" w:cs="楷体_GB2312"/>
          <w:bCs/>
          <w:color w:val="000000"/>
          <w:kern w:val="0"/>
          <w:sz w:val="32"/>
          <w:szCs w:val="32"/>
          <w:shd w:val="clear" w:color="auto" w:fill="FFFFFF"/>
        </w:rPr>
        <w:t>——</w:t>
      </w:r>
      <w:r>
        <w:rPr>
          <w:rFonts w:hint="eastAsia" w:ascii="楷体_GB2312" w:hAnsi="微软雅黑" w:eastAsia="楷体_GB2312" w:cs="楷体_GB2312"/>
          <w:bCs/>
          <w:color w:val="000000"/>
          <w:kern w:val="0"/>
          <w:sz w:val="32"/>
          <w:szCs w:val="32"/>
          <w:shd w:val="clear" w:color="auto" w:fill="FFFFFF"/>
          <w:lang w:val="en-US" w:eastAsia="zh-CN"/>
        </w:rPr>
        <w:t>2025</w:t>
      </w:r>
      <w:r>
        <w:rPr>
          <w:rFonts w:hint="eastAsia" w:ascii="楷体_GB2312" w:hAnsi="华文中宋" w:eastAsia="楷体_GB2312" w:cs="楷体_GB2312"/>
          <w:sz w:val="32"/>
          <w:szCs w:val="32"/>
        </w:rPr>
        <w:t>年</w:t>
      </w:r>
      <w:r>
        <w:rPr>
          <w:rFonts w:hint="eastAsia" w:ascii="楷体_GB2312" w:hAnsi="华文中宋" w:eastAsia="楷体_GB2312" w:cs="楷体_GB2312"/>
          <w:sz w:val="32"/>
          <w:szCs w:val="32"/>
          <w:lang w:val="en-US" w:eastAsia="zh-CN"/>
        </w:rPr>
        <w:t>2</w:t>
      </w:r>
      <w:r>
        <w:rPr>
          <w:rFonts w:hint="eastAsia" w:ascii="楷体_GB2312" w:hAnsi="华文中宋" w:eastAsia="楷体_GB2312" w:cs="楷体_GB2312"/>
          <w:sz w:val="32"/>
          <w:szCs w:val="32"/>
        </w:rPr>
        <w:t>月</w:t>
      </w:r>
      <w:r>
        <w:rPr>
          <w:rFonts w:hint="eastAsia" w:ascii="楷体_GB2312" w:hAnsi="华文中宋" w:eastAsia="楷体_GB2312" w:cs="楷体_GB2312"/>
          <w:sz w:val="32"/>
          <w:szCs w:val="32"/>
          <w:lang w:val="en-US" w:eastAsia="zh-CN"/>
        </w:rPr>
        <w:t>21</w:t>
      </w:r>
      <w:r>
        <w:rPr>
          <w:rFonts w:hint="eastAsia" w:ascii="楷体_GB2312" w:hAnsi="华文中宋" w:eastAsia="楷体_GB2312" w:cs="楷体_GB2312"/>
          <w:sz w:val="32"/>
          <w:szCs w:val="32"/>
        </w:rPr>
        <w:t>日</w:t>
      </w:r>
      <w:r>
        <w:rPr>
          <w:rFonts w:hint="eastAsia" w:ascii="楷体_GB2312" w:hAnsi="楷体_GB2312" w:eastAsia="楷体_GB2312" w:cs="楷体_GB2312"/>
          <w:sz w:val="32"/>
          <w:szCs w:val="32"/>
        </w:rPr>
        <w:t>在北京市密云区河南寨镇</w:t>
      </w:r>
    </w:p>
    <w:p>
      <w:pPr>
        <w:spacing w:line="560" w:lineRule="exact"/>
        <w:jc w:val="center"/>
        <w:textAlignment w:val="baseline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第二届人民代表大会第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八</w:t>
      </w:r>
      <w:r>
        <w:rPr>
          <w:rFonts w:hint="eastAsia" w:ascii="楷体_GB2312" w:hAnsi="楷体_GB2312" w:eastAsia="楷体_GB2312" w:cs="楷体_GB2312"/>
          <w:sz w:val="32"/>
          <w:szCs w:val="32"/>
        </w:rPr>
        <w:t>次会议上</w:t>
      </w:r>
    </w:p>
    <w:p>
      <w:pPr>
        <w:tabs>
          <w:tab w:val="center" w:pos="4642"/>
          <w:tab w:val="left" w:pos="7363"/>
        </w:tabs>
        <w:spacing w:line="560" w:lineRule="exact"/>
        <w:jc w:val="center"/>
        <w:textAlignment w:val="baseline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河南寨镇人民政府经济发展办公室  </w:t>
      </w:r>
    </w:p>
    <w:p>
      <w:pPr>
        <w:spacing w:line="560" w:lineRule="exact"/>
        <w:jc w:val="center"/>
        <w:textAlignment w:val="baseline"/>
        <w:rPr>
          <w:rFonts w:ascii="仿宋_GB2312" w:eastAsia="仿宋_GB2312" w:cs="仿宋_GB2312"/>
          <w:sz w:val="32"/>
          <w:szCs w:val="32"/>
        </w:rPr>
      </w:pPr>
    </w:p>
    <w:p>
      <w:pPr>
        <w:pBdr>
          <w:bottom w:val="single" w:color="FFFFFF" w:sz="4" w:space="11"/>
        </w:pBdr>
        <w:snapToGrid w:val="0"/>
        <w:spacing w:line="560" w:lineRule="exact"/>
        <w:textAlignment w:val="baseline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各位代表：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受镇人民政府委托，现将北京市密云区河南寨镇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eastAsia="仿宋_GB2312" w:cs="仿宋_GB2312"/>
          <w:sz w:val="32"/>
          <w:szCs w:val="32"/>
        </w:rPr>
        <w:t>年预算执行情况和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 w:cs="仿宋_GB2312"/>
          <w:sz w:val="32"/>
          <w:szCs w:val="32"/>
        </w:rPr>
        <w:t>年预算(草案)的报告，提请镇第二届人民代表大会第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 w:cs="仿宋_GB2312"/>
          <w:sz w:val="32"/>
          <w:szCs w:val="32"/>
        </w:rPr>
        <w:t>次会议审议。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一、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2024</w:t>
      </w:r>
      <w:r>
        <w:rPr>
          <w:rFonts w:hint="eastAsia" w:ascii="黑体" w:hAnsi="黑体" w:eastAsia="黑体" w:cs="仿宋_GB2312"/>
          <w:sz w:val="32"/>
          <w:szCs w:val="32"/>
        </w:rPr>
        <w:t>年预算执行情况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在镇党委的正确领导下，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在镇人大的监督支持下，</w:t>
      </w:r>
      <w:r>
        <w:rPr>
          <w:rFonts w:hint="eastAsia" w:ascii="仿宋_GB2312" w:eastAsia="仿宋_GB2312" w:cs="仿宋_GB2312"/>
          <w:sz w:val="32"/>
          <w:szCs w:val="32"/>
        </w:rPr>
        <w:t>全镇</w:t>
      </w:r>
      <w:r>
        <w:rPr>
          <w:rFonts w:hint="eastAsia" w:ascii="仿宋_GB2312" w:hAnsi="仿宋_GB2312" w:eastAsia="仿宋_GB2312" w:cs="仿宋_GB2312"/>
          <w:sz w:val="32"/>
          <w:szCs w:val="32"/>
        </w:rPr>
        <w:t>上下坚持以习近平新时代中国特色社会主义思想为指导，认真学习贯彻党的二十大精神，</w:t>
      </w:r>
      <w:r>
        <w:rPr>
          <w:rFonts w:hint="eastAsia" w:ascii="仿宋_GB2312" w:eastAsia="仿宋_GB2312" w:cs="仿宋_GB2312"/>
          <w:sz w:val="32"/>
          <w:szCs w:val="32"/>
        </w:rPr>
        <w:t>坚持稳中求进工作总基调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积极履行财政各项职能，靠前发力，做好资金保障，财政预算执行总体良好。</w:t>
      </w:r>
    </w:p>
    <w:p>
      <w:pPr>
        <w:numPr>
          <w:ilvl w:val="0"/>
          <w:numId w:val="1"/>
        </w:num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一般公共预算收支情况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eastAsia="仿宋_GB2312" w:cs="仿宋_GB2312"/>
          <w:sz w:val="32"/>
          <w:szCs w:val="32"/>
        </w:rPr>
        <w:t>年，全镇一般公共预算收入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25474.83</w:t>
      </w:r>
      <w:r>
        <w:rPr>
          <w:rFonts w:hint="eastAsia" w:ascii="仿宋_GB2312" w:eastAsia="仿宋_GB2312" w:cs="仿宋_GB2312"/>
          <w:sz w:val="32"/>
          <w:szCs w:val="32"/>
        </w:rPr>
        <w:t>万元，较上年度增长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72.22</w:t>
      </w:r>
      <w:r>
        <w:rPr>
          <w:rFonts w:hint="eastAsia" w:ascii="仿宋_GB2312" w:eastAsia="仿宋_GB2312" w:cs="仿宋_GB2312"/>
          <w:sz w:val="32"/>
          <w:szCs w:val="32"/>
        </w:rPr>
        <w:t>%，其中：财政收入完成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4861.5</w:t>
      </w:r>
      <w:r>
        <w:rPr>
          <w:rFonts w:hint="eastAsia" w:ascii="仿宋_GB2312" w:eastAsia="仿宋_GB2312" w:cs="仿宋_GB2312"/>
          <w:sz w:val="32"/>
          <w:szCs w:val="32"/>
        </w:rPr>
        <w:t>万元，财政体制补助及转移支付资金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3723.19</w:t>
      </w:r>
      <w:r>
        <w:rPr>
          <w:rFonts w:hint="eastAsia" w:ascii="仿宋_GB2312" w:eastAsia="仿宋_GB2312" w:cs="仿宋_GB2312"/>
          <w:sz w:val="32"/>
          <w:szCs w:val="32"/>
        </w:rPr>
        <w:t>万元，专项资金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16859.60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上年结转488.24万元，结算事项扣减457.7万元</w:t>
      </w:r>
      <w:r>
        <w:rPr>
          <w:rFonts w:hint="eastAsia" w:ascii="仿宋_GB2312" w:eastAsia="仿宋_GB2312" w:cs="仿宋_GB2312"/>
          <w:sz w:val="32"/>
          <w:szCs w:val="32"/>
        </w:rPr>
        <w:t>。全镇一般公共预算支出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25474.83</w:t>
      </w:r>
      <w:r>
        <w:rPr>
          <w:rFonts w:hint="eastAsia" w:ascii="仿宋_GB2312" w:eastAsia="仿宋_GB2312" w:cs="仿宋_GB2312"/>
          <w:sz w:val="32"/>
          <w:szCs w:val="32"/>
        </w:rPr>
        <w:t>万元，较上年度增长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72.22</w:t>
      </w:r>
      <w:r>
        <w:rPr>
          <w:rFonts w:hint="eastAsia" w:ascii="仿宋_GB2312" w:eastAsia="仿宋_GB2312" w:cs="仿宋_GB2312"/>
          <w:sz w:val="32"/>
          <w:szCs w:val="32"/>
        </w:rPr>
        <w:t>%。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全镇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一般公共预算收支平衡。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一般公共预算收入执行情况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我镇</w:t>
      </w:r>
      <w:r>
        <w:rPr>
          <w:rFonts w:hint="eastAsia" w:ascii="仿宋_GB2312" w:eastAsia="仿宋_GB2312" w:cs="仿宋_GB2312"/>
          <w:sz w:val="32"/>
          <w:szCs w:val="32"/>
        </w:rPr>
        <w:t>财政收入为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4861.5</w:t>
      </w:r>
      <w:r>
        <w:rPr>
          <w:rFonts w:hint="eastAsia" w:ascii="仿宋_GB2312" w:eastAsia="仿宋_GB2312" w:cs="仿宋_GB2312"/>
          <w:sz w:val="32"/>
          <w:szCs w:val="32"/>
        </w:rPr>
        <w:t>万元，完成调整预算的100%，其中：税收收入完成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4110.22</w:t>
      </w:r>
      <w:r>
        <w:rPr>
          <w:rFonts w:hint="eastAsia" w:ascii="仿宋_GB2312" w:eastAsia="仿宋_GB2312" w:cs="仿宋_GB2312"/>
          <w:sz w:val="32"/>
          <w:szCs w:val="32"/>
        </w:rPr>
        <w:t>万元，占比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84.55</w:t>
      </w:r>
      <w:r>
        <w:rPr>
          <w:rFonts w:hint="eastAsia" w:ascii="仿宋_GB2312" w:eastAsia="仿宋_GB2312" w:cs="仿宋_GB2312"/>
          <w:sz w:val="32"/>
          <w:szCs w:val="32"/>
        </w:rPr>
        <w:t>%；非税收入完成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751.28</w:t>
      </w:r>
      <w:r>
        <w:rPr>
          <w:rFonts w:hint="eastAsia" w:ascii="仿宋_GB2312" w:eastAsia="仿宋_GB2312" w:cs="仿宋_GB2312"/>
          <w:sz w:val="32"/>
          <w:szCs w:val="32"/>
        </w:rPr>
        <w:t>万元，占比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15.45</w:t>
      </w:r>
      <w:r>
        <w:rPr>
          <w:rFonts w:hint="eastAsia" w:ascii="仿宋_GB2312" w:eastAsia="仿宋_GB2312" w:cs="仿宋_GB2312"/>
          <w:sz w:val="32"/>
          <w:szCs w:val="32"/>
        </w:rPr>
        <w:t>%。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2.主要收入科目执行情况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</w:rPr>
        <w:t>全镇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税收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收入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4110.22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其中：增值税形成财政收入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3062.86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万元，企业所得税形成财政收入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549.26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城镇土地使用税形成财政收入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59.48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万元，土地增值税形成财政收入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142.72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万元，房产税形成财政收入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173.33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万元，个人所得税形成财政收入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121.84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环境保护税形成财政收入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0.73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全镇非税收入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751.28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3.一般公共预算支出执行情况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eastAsia="仿宋_GB2312" w:cs="仿宋_GB2312"/>
          <w:sz w:val="32"/>
          <w:szCs w:val="32"/>
        </w:rPr>
        <w:t>年按照“量入为出、收支平衡、适度从紧”的财政政策，围绕全镇重点工作，合理安排预算支出，促进全镇环境大幅改善、城市功能更加完善、经济良性发展、社会稳定有序。全年财政总支出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25474.83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</w:rPr>
        <w:t>其中：当年决算支出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22525.12</w:t>
      </w:r>
      <w:r>
        <w:rPr>
          <w:rFonts w:hint="eastAsia" w:ascii="仿宋_GB2312" w:eastAsia="仿宋_GB2312" w:cs="仿宋_GB2312"/>
          <w:sz w:val="32"/>
          <w:szCs w:val="32"/>
        </w:rPr>
        <w:t>万元，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债券还本支出2472.7万元，</w:t>
      </w:r>
      <w:r>
        <w:rPr>
          <w:rFonts w:hint="eastAsia" w:ascii="仿宋_GB2312" w:eastAsia="仿宋_GB2312" w:cs="仿宋_GB2312"/>
          <w:sz w:val="32"/>
          <w:szCs w:val="32"/>
        </w:rPr>
        <w:t>上解支出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467.01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</w:rPr>
        <w:t>结转下年使用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 w:cs="仿宋_GB2312"/>
          <w:sz w:val="32"/>
          <w:szCs w:val="32"/>
        </w:rPr>
        <w:t>万元，重点支持美丽乡村建设、垃圾分类、环境治理、疏整促专项提升、基层政权建设等方面工作。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4.主要决算支出科目执行情况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一般公共服务支出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4778.54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，包含体制资金和追加专项资金，</w:t>
      </w:r>
      <w:r>
        <w:rPr>
          <w:rFonts w:hint="eastAsia" w:ascii="仿宋_GB2312" w:eastAsia="仿宋_GB2312" w:cs="仿宋_GB2312"/>
          <w:sz w:val="32"/>
          <w:szCs w:val="32"/>
        </w:rPr>
        <w:t>占镇当年财政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决算</w:t>
      </w:r>
      <w:r>
        <w:rPr>
          <w:rFonts w:hint="eastAsia" w:ascii="仿宋_GB2312" w:eastAsia="仿宋_GB2312" w:cs="仿宋_GB2312"/>
          <w:sz w:val="32"/>
          <w:szCs w:val="32"/>
        </w:rPr>
        <w:t>支出的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21.21</w:t>
      </w:r>
      <w:r>
        <w:rPr>
          <w:rFonts w:hint="eastAsia" w:ascii="仿宋_GB2312" w:eastAsia="仿宋_GB2312" w:cs="仿宋_GB2312"/>
          <w:sz w:val="32"/>
          <w:szCs w:val="32"/>
        </w:rPr>
        <w:t>%，主要用于统发人员及临时工工资、公用经费、保障运转追加、社会保障缴费、人大、组织事务支出、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经济普查</w:t>
      </w:r>
      <w:r>
        <w:rPr>
          <w:rFonts w:hint="eastAsia" w:ascii="仿宋_GB2312" w:eastAsia="仿宋_GB2312" w:cs="仿宋_GB2312"/>
          <w:sz w:val="32"/>
          <w:szCs w:val="32"/>
        </w:rPr>
        <w:t>等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公共安全支出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3.91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万元，均为追加专项资金，占镇当年财政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决算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支出的</w:t>
      </w:r>
      <w:r>
        <w:rPr>
          <w:rFonts w:ascii="仿宋_GB2312" w:hAnsi="宋体" w:eastAsia="仿宋_GB2312" w:cs="仿宋_GB2312"/>
          <w:sz w:val="31"/>
          <w:szCs w:val="31"/>
        </w:rPr>
        <w:t>0.2‰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</w:rPr>
        <w:t>淘汰违规三四轮车等支出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文化旅游体育与传媒支出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359.87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，包含体制资金和追加专项资金，占镇当年财政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决算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1.6</w:t>
      </w:r>
      <w:r>
        <w:rPr>
          <w:rFonts w:hint="eastAsia" w:ascii="仿宋_GB2312" w:eastAsia="仿宋_GB2312" w:cs="仿宋_GB2312"/>
          <w:sz w:val="32"/>
          <w:szCs w:val="32"/>
        </w:rPr>
        <w:t>%，主要用于基层文化活动经费、文化大院维修改造项目、三馆免费开放等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社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会</w:t>
      </w:r>
      <w:r>
        <w:rPr>
          <w:rFonts w:hint="eastAsia" w:ascii="仿宋_GB2312" w:eastAsia="仿宋_GB2312" w:cs="仿宋_GB2312"/>
          <w:sz w:val="32"/>
          <w:szCs w:val="32"/>
        </w:rPr>
        <w:t>保障和就业支出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589.79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，包含体制资金和追加专项资金，占镇当年财政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决算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2.62</w:t>
      </w:r>
      <w:r>
        <w:rPr>
          <w:rFonts w:hint="eastAsia" w:ascii="仿宋_GB2312" w:eastAsia="仿宋_GB2312" w:cs="仿宋_GB2312"/>
          <w:sz w:val="32"/>
          <w:szCs w:val="32"/>
        </w:rPr>
        <w:t>%，主要用于离退休人员补助、就业中心补助、温馨家园运转经费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、高校毕业生“三支一扶”计划人员经费</w:t>
      </w:r>
      <w:r>
        <w:rPr>
          <w:rFonts w:hint="eastAsia" w:ascii="仿宋_GB2312" w:eastAsia="仿宋_GB2312" w:cs="仿宋_GB2312"/>
          <w:sz w:val="32"/>
          <w:szCs w:val="32"/>
        </w:rPr>
        <w:t>等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城乡社区支出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2844.33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，包含体制资金和追加专项资金，占镇当年财政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决算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12.63</w:t>
      </w:r>
      <w:r>
        <w:rPr>
          <w:rFonts w:hint="eastAsia" w:ascii="仿宋_GB2312" w:eastAsia="仿宋_GB2312" w:cs="仿宋_GB2312"/>
          <w:sz w:val="32"/>
          <w:szCs w:val="32"/>
        </w:rPr>
        <w:t>%，主要用于社区公益事业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、对口帮扶、特殊疑难信访问题化解、流管员补助、治违工作经费、圣水泉路南延、生活垃圾分类项目</w:t>
      </w:r>
      <w:r>
        <w:rPr>
          <w:rFonts w:hint="eastAsia" w:ascii="仿宋_GB2312" w:eastAsia="仿宋_GB2312" w:cs="仿宋_GB2312"/>
          <w:sz w:val="32"/>
          <w:szCs w:val="32"/>
        </w:rPr>
        <w:t>等支出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农林水支出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13739.7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，包含体制资金和追加专项资金，占镇当年财政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决算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61</w:t>
      </w:r>
      <w:r>
        <w:rPr>
          <w:rFonts w:hint="eastAsia" w:ascii="仿宋_GB2312" w:eastAsia="仿宋_GB2312" w:cs="仿宋_GB2312"/>
          <w:sz w:val="32"/>
          <w:szCs w:val="32"/>
        </w:rPr>
        <w:t>%，主要用于美丽乡村项目、“五好两宜”和美乡村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项目、</w:t>
      </w:r>
      <w:r>
        <w:rPr>
          <w:rFonts w:hint="eastAsia" w:ascii="仿宋_GB2312" w:eastAsia="仿宋_GB2312" w:cs="仿宋_GB2312"/>
          <w:sz w:val="32"/>
          <w:szCs w:val="32"/>
        </w:rPr>
        <w:t>农村基础设施管护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 w:cs="仿宋_GB2312"/>
          <w:sz w:val="32"/>
          <w:szCs w:val="32"/>
        </w:rPr>
        <w:t>各类保洁员补助、林木养护项目、村级公益事业、村级电力、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疏整促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eastAsia="仿宋_GB2312" w:cs="仿宋_GB2312"/>
          <w:sz w:val="32"/>
          <w:szCs w:val="32"/>
        </w:rPr>
        <w:t>等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资源勘探工业信息等支出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200</w:t>
      </w:r>
      <w:r>
        <w:rPr>
          <w:rFonts w:hint="eastAsia" w:ascii="仿宋_GB2312" w:eastAsia="仿宋_GB2312" w:cs="仿宋_GB2312"/>
          <w:sz w:val="32"/>
          <w:szCs w:val="32"/>
        </w:rPr>
        <w:t>万元，均为体制资金，</w:t>
      </w:r>
      <w:r>
        <w:rPr>
          <w:rFonts w:hint="eastAsia" w:ascii="仿宋_GB2312" w:hAnsi="仿宋_GB2312" w:eastAsia="仿宋_GB2312" w:cs="仿宋_GB2312"/>
          <w:sz w:val="32"/>
          <w:szCs w:val="32"/>
        </w:rPr>
        <w:t>占镇当年财政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决算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支出的</w:t>
      </w:r>
      <w:r>
        <w:rPr>
          <w:rFonts w:ascii="仿宋_GB2312" w:hAnsi="宋体" w:eastAsia="仿宋_GB2312" w:cs="仿宋_GB2312"/>
          <w:sz w:val="31"/>
          <w:szCs w:val="31"/>
        </w:rPr>
        <w:t>8.9‰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主要用于支持企业发展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灾害防治及应急管理支出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8.98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，均为追加专项资金，占镇当年财政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决算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支出的</w:t>
      </w:r>
      <w:r>
        <w:rPr>
          <w:rFonts w:ascii="仿宋_GB2312" w:hAnsi="宋体" w:eastAsia="仿宋_GB2312" w:cs="仿宋_GB2312"/>
          <w:sz w:val="31"/>
          <w:szCs w:val="31"/>
        </w:rPr>
        <w:t>0.4‰</w:t>
      </w:r>
      <w:r>
        <w:rPr>
          <w:rFonts w:hint="eastAsia" w:ascii="仿宋_GB2312" w:eastAsia="仿宋_GB2312" w:cs="仿宋_GB2312"/>
          <w:sz w:val="32"/>
          <w:szCs w:val="32"/>
        </w:rPr>
        <w:t>，主要用于兼职安全员津贴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5.债券还本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支出科目执行情况</w:t>
      </w:r>
    </w:p>
    <w:p>
      <w:pPr>
        <w:numPr>
          <w:ilvl w:val="0"/>
          <w:numId w:val="0"/>
        </w:num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地方政府其他一般债务还本支出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2472.7万元，均为追加专项资金，</w:t>
      </w:r>
      <w:r>
        <w:rPr>
          <w:rFonts w:hint="eastAsia" w:ascii="仿宋_GB2312" w:hAnsi="仿宋_GB2312" w:eastAsia="仿宋_GB2312" w:cs="仿宋_GB2312"/>
          <w:sz w:val="32"/>
          <w:szCs w:val="32"/>
        </w:rPr>
        <w:t>占镇当年财政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债券还本支出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 w:cs="仿宋_GB2312"/>
          <w:sz w:val="32"/>
          <w:szCs w:val="32"/>
        </w:rPr>
        <w:t>%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主要用于新建村级医疗机构补助、耕地保护空间复耕工程、河南寨镇新兴等9村土地整治项目、美丽乡村建设污水及供水等支出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1"/>
        </w:num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政府性基金</w:t>
      </w:r>
      <w:r>
        <w:rPr>
          <w:rFonts w:hint="eastAsia" w:ascii="楷体_GB2312" w:hAnsi="楷体_GB2312" w:eastAsia="楷体_GB2312" w:cs="楷体_GB2312"/>
          <w:sz w:val="32"/>
          <w:szCs w:val="32"/>
        </w:rPr>
        <w:t>预算收支情况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2024年，全镇政府性基金</w:t>
      </w:r>
      <w:r>
        <w:rPr>
          <w:rFonts w:hint="eastAsia" w:ascii="仿宋_GB2312" w:eastAsia="仿宋_GB2312" w:cs="仿宋_GB2312"/>
          <w:sz w:val="32"/>
          <w:szCs w:val="32"/>
        </w:rPr>
        <w:t>预算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收入3783.96万元，政府性基金</w:t>
      </w:r>
      <w:r>
        <w:rPr>
          <w:rFonts w:hint="eastAsia" w:ascii="仿宋_GB2312" w:eastAsia="仿宋_GB2312" w:cs="仿宋_GB2312"/>
          <w:sz w:val="32"/>
          <w:szCs w:val="32"/>
        </w:rPr>
        <w:t>预算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支出3783.96万元，收支平衡。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政府性基金</w:t>
      </w:r>
      <w:r>
        <w:rPr>
          <w:rFonts w:hint="eastAsia" w:ascii="仿宋_GB2312" w:eastAsia="仿宋_GB2312" w:cs="仿宋_GB2312"/>
          <w:sz w:val="32"/>
          <w:szCs w:val="32"/>
        </w:rPr>
        <w:t>预算收入执行情况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2024年，政府性基金预算收入3783.96万元，均为专项补助资金。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2.政府性基金</w:t>
      </w:r>
      <w:r>
        <w:rPr>
          <w:rFonts w:hint="eastAsia" w:ascii="仿宋_GB2312" w:eastAsia="仿宋_GB2312" w:cs="仿宋_GB2312"/>
          <w:sz w:val="32"/>
          <w:szCs w:val="32"/>
        </w:rPr>
        <w:t>预算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eastAsia="仿宋_GB2312" w:cs="仿宋_GB2312"/>
          <w:sz w:val="32"/>
          <w:szCs w:val="32"/>
        </w:rPr>
        <w:t>执行情况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2024年，政府性基金预算支出3783.96万元，主要支出科目如下：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城乡社区支出3454.16万元，占政府性基金支出的91.28%，主要用于美丽乡村污水管网配套设施、圣水泉路南延、土地整治、复耕等支出；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农林水支出283.72万元，占政府性基金支出的7.50%，主要用于村庄基础设施提升改造、村庄雨排水等支出；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default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其他支出46.08万元，占政府性基金支出的1.22%，主要用于试点探索农村邻里互助养老服务点等支出。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sz w:val="32"/>
          <w:szCs w:val="32"/>
        </w:rPr>
        <w:t>）财政重点工作情况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年，河南寨镇结合本镇工作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抓收入、保运转、稳民心、全面落实预算一体化系统核算，保障重点项目支出。财政工作难中求进、进中求稳，不断优化财政支出结构，积极防范各类风险，财政收支运行基本平稳。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聚力财政增收，稳健经济保运行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</w:rPr>
        <w:t>面对税收压力大的现状，通过大力培育税源，开源节流，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落实落细各项组收措施，全力以赴稳税收，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深化财税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部门协同联动、信息共享，防范企业流失的风险，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秉持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“进企业、解难题、促发展”的服务理念，加大企业帮扶力度，</w:t>
      </w:r>
      <w:r>
        <w:rPr>
          <w:rFonts w:hint="eastAsia" w:ascii="仿宋_GB2312" w:hAnsi="仿宋_GB2312" w:eastAsia="仿宋_GB2312" w:cs="仿宋_GB2312"/>
          <w:sz w:val="32"/>
          <w:szCs w:val="32"/>
        </w:rPr>
        <w:t>努力挖掘增收潜力，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集中力量推动招商引资工作不断向前，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稳步推进财源建设，</w:t>
      </w:r>
      <w:r>
        <w:rPr>
          <w:rFonts w:hint="eastAsia" w:ascii="仿宋_GB2312" w:hAnsi="仿宋_GB2312" w:eastAsia="仿宋_GB2312" w:cs="仿宋_GB2312"/>
          <w:sz w:val="32"/>
          <w:szCs w:val="32"/>
        </w:rPr>
        <w:t>保持经济平稳运行。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优化支出结构，稳定民生促和谐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微软雅黑" w:hAnsi="微软雅黑" w:eastAsia="仿宋_GB2312" w:cs="微软雅黑"/>
          <w:i w:val="0"/>
          <w:caps w:val="0"/>
          <w:color w:val="000000"/>
          <w:spacing w:val="0"/>
          <w:sz w:val="27"/>
          <w:szCs w:val="27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严控一般支出，坚决兜住“三保”底线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牢固树立党政机关过紧日子的思想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优先落实重大民生政策，提高资金使用效益，确保民生支出足额保障到位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我镇切实控制和降低行政运行成本，将有限财政资金用在刀刃上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严格管控工程立项，筑牢债务风险防线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确保</w:t>
      </w:r>
      <w:r>
        <w:rPr>
          <w:rFonts w:hint="eastAsia" w:ascii="仿宋_GB2312" w:hAnsi="仿宋_GB2312" w:eastAsia="仿宋_GB2312" w:cs="仿宋_GB2312"/>
          <w:sz w:val="32"/>
          <w:szCs w:val="32"/>
        </w:rPr>
        <w:t>全镇社会健康稳步发展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全面深化财政改革，持续发力提升效能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深化零基预算改革，加大财政资金统筹力度，提高财政资源配置使用效率，进一步深化国库集中支付改革，加强预算执行动态监控，全面落实预算一体化系统核算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确保财政资金合理安全规范使用，</w:t>
      </w:r>
      <w:r>
        <w:rPr>
          <w:rFonts w:hint="eastAsia" w:ascii="仿宋_GB2312" w:hAnsi="仿宋_GB2312" w:eastAsia="仿宋_GB2312" w:cs="仿宋_GB2312"/>
          <w:sz w:val="32"/>
          <w:szCs w:val="32"/>
        </w:rPr>
        <w:t>细化政府预决算公开内容，推进预算绩效管理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提升管理水平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财政运行平稳有序，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也面临着一些困难和问题。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财源基础较为薄弱。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新增企业数量虽呈增长态势，但部分潜力企业对财政收入的贡献作用释放依然较慢，财源转化率还需加快提速。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二是收支矛盾进一步加剧。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刚性支出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需求不断攀升，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财政收支“紧平衡”矛盾持续加深。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三是资金使用效益有待提升。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支出进度有待进一步加强，资金管理还需更加规范。针对以上问题，我们将采取有效措施，努力加以解决。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2025</w:t>
      </w:r>
      <w:r>
        <w:rPr>
          <w:rFonts w:hint="eastAsia" w:ascii="黑体" w:hAnsi="黑体" w:eastAsia="黑体" w:cs="仿宋_GB2312"/>
          <w:sz w:val="32"/>
          <w:szCs w:val="32"/>
        </w:rPr>
        <w:t>年预算（草案）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坚持以习近平新时代中国特色社会主义思想为指导，坚持稳中求进工作总基调，科学合理编制预算，优化支出结构，筑牢兜实“三保”底线，</w:t>
      </w:r>
      <w:r>
        <w:rPr>
          <w:rFonts w:hint="eastAsia" w:ascii="仿宋_GB2312" w:eastAsia="仿宋_GB2312" w:cs="仿宋_GB2312"/>
          <w:sz w:val="32"/>
          <w:szCs w:val="32"/>
        </w:rPr>
        <w:t>保障全镇经济社会稳定发展。</w:t>
      </w:r>
    </w:p>
    <w:p>
      <w:pPr>
        <w:numPr>
          <w:ilvl w:val="0"/>
          <w:numId w:val="0"/>
        </w:num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一般公共预算收支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预算安排</w:t>
      </w:r>
      <w:r>
        <w:rPr>
          <w:rFonts w:hint="eastAsia" w:ascii="楷体_GB2312" w:hAnsi="楷体_GB2312" w:eastAsia="楷体_GB2312" w:cs="楷体_GB2312"/>
          <w:sz w:val="32"/>
          <w:szCs w:val="32"/>
        </w:rPr>
        <w:t>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/>
          <w:sz w:val="32"/>
          <w:szCs w:val="32"/>
        </w:rPr>
        <w:t>年，全镇</w:t>
      </w:r>
      <w:r>
        <w:rPr>
          <w:rFonts w:hint="eastAsia" w:ascii="仿宋_GB2312" w:eastAsia="仿宋_GB2312" w:cs="仿宋_GB2312"/>
          <w:sz w:val="32"/>
          <w:szCs w:val="32"/>
        </w:rPr>
        <w:t>一般公共预算总财力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10549.25</w:t>
      </w:r>
      <w:r>
        <w:rPr>
          <w:rFonts w:hint="eastAsia" w:ascii="仿宋_GB2312" w:hAnsi="宋体" w:eastAsia="仿宋_GB2312"/>
          <w:sz w:val="32"/>
          <w:szCs w:val="32"/>
        </w:rPr>
        <w:t>万元，全镇</w:t>
      </w:r>
      <w:r>
        <w:rPr>
          <w:rFonts w:hint="eastAsia" w:ascii="仿宋_GB2312" w:eastAsia="仿宋_GB2312" w:cs="仿宋_GB2312"/>
          <w:sz w:val="32"/>
          <w:szCs w:val="32"/>
        </w:rPr>
        <w:t>一般公共预算支出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10549.25</w:t>
      </w:r>
      <w:r>
        <w:rPr>
          <w:rFonts w:hint="eastAsia" w:ascii="仿宋_GB2312" w:hAnsi="宋体" w:eastAsia="仿宋_GB2312"/>
          <w:sz w:val="32"/>
          <w:szCs w:val="32"/>
        </w:rPr>
        <w:t>万元，收支平衡。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1.2025年一般公共预算收入预算安排情况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黑体" w:hAnsi="Courier New" w:eastAsia="仿宋_GB2312"/>
          <w:bCs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镇级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财政收入预期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6120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其中：增值税收入预算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3920</w:t>
      </w:r>
      <w:r>
        <w:rPr>
          <w:rFonts w:hint="eastAsia" w:ascii="仿宋_GB2312" w:eastAsia="仿宋_GB2312"/>
          <w:sz w:val="32"/>
          <w:szCs w:val="32"/>
          <w:highlight w:val="none"/>
        </w:rPr>
        <w:t>万元，企业所得税收入预算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800</w:t>
      </w:r>
      <w:r>
        <w:rPr>
          <w:rFonts w:hint="eastAsia" w:ascii="仿宋_GB2312" w:eastAsia="仿宋_GB2312"/>
          <w:sz w:val="32"/>
          <w:szCs w:val="32"/>
          <w:highlight w:val="none"/>
        </w:rPr>
        <w:t>万元，个人所得税收入预算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200</w:t>
      </w:r>
      <w:r>
        <w:rPr>
          <w:rFonts w:hint="eastAsia" w:ascii="仿宋_GB2312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房产税</w:t>
      </w:r>
      <w:r>
        <w:rPr>
          <w:rFonts w:hint="eastAsia" w:ascii="仿宋_GB2312" w:eastAsia="仿宋_GB2312"/>
          <w:sz w:val="32"/>
          <w:szCs w:val="32"/>
          <w:highlight w:val="none"/>
        </w:rPr>
        <w:t>收入预算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200</w:t>
      </w:r>
      <w:r>
        <w:rPr>
          <w:rFonts w:hint="eastAsia" w:ascii="仿宋_GB2312" w:eastAsia="仿宋_GB2312"/>
          <w:sz w:val="32"/>
          <w:szCs w:val="32"/>
          <w:highlight w:val="none"/>
        </w:rPr>
        <w:t>万元，城镇土地使用税收入预算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仿宋_GB2312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土地增值税</w:t>
      </w:r>
      <w:r>
        <w:rPr>
          <w:rFonts w:hint="eastAsia" w:ascii="仿宋_GB2312" w:eastAsia="仿宋_GB2312"/>
          <w:sz w:val="32"/>
          <w:szCs w:val="32"/>
          <w:highlight w:val="none"/>
        </w:rPr>
        <w:t>收入预算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eastAsia="仿宋_GB2312"/>
          <w:sz w:val="32"/>
          <w:szCs w:val="32"/>
          <w:highlight w:val="none"/>
        </w:rPr>
        <w:t>万元，非税收入预算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800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；</w:t>
      </w:r>
      <w:r>
        <w:rPr>
          <w:rFonts w:hint="eastAsia" w:ascii="仿宋_GB2312" w:eastAsia="仿宋_GB2312"/>
          <w:sz w:val="32"/>
          <w:szCs w:val="32"/>
          <w:highlight w:val="none"/>
        </w:rPr>
        <w:t>财政提前下达转移支付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资金</w:t>
      </w:r>
      <w:r>
        <w:rPr>
          <w:rFonts w:hint="eastAsia" w:ascii="仿宋_GB2312" w:eastAsia="仿宋_GB2312"/>
          <w:sz w:val="32"/>
          <w:szCs w:val="32"/>
          <w:highlight w:val="none"/>
        </w:rPr>
        <w:t>为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4401.36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财政追加预算专项资金27.89万元，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  <w:highlight w:val="none"/>
        </w:rPr>
        <w:t>年我镇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一般公共预算</w:t>
      </w:r>
      <w:r>
        <w:rPr>
          <w:rFonts w:hint="eastAsia" w:ascii="仿宋_GB2312" w:eastAsia="仿宋_GB2312"/>
          <w:sz w:val="32"/>
          <w:szCs w:val="32"/>
          <w:highlight w:val="none"/>
        </w:rPr>
        <w:t>总财力为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10549.25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2.2025年一般公共预算支出预算安排情况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在镇级财力紧张的情况下，进一步优化支出结构，坚持有保有压，严格落实政府过“紧日子”要求，贯彻“零基预算”理念，统筹资金优先保障“三保”支出。</w:t>
      </w:r>
      <w:r>
        <w:rPr>
          <w:rFonts w:hint="eastAsia" w:ascii="仿宋_GB2312" w:eastAsia="仿宋_GB2312"/>
          <w:sz w:val="32"/>
          <w:szCs w:val="32"/>
        </w:rPr>
        <w:t>全镇</w:t>
      </w:r>
      <w:r>
        <w:rPr>
          <w:rFonts w:hint="eastAsia" w:ascii="仿宋_GB2312" w:eastAsia="仿宋_GB2312" w:cs="仿宋_GB2312"/>
          <w:sz w:val="32"/>
          <w:szCs w:val="32"/>
        </w:rPr>
        <w:t>一般公共预算支出安排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10549.25</w:t>
      </w:r>
      <w:r>
        <w:rPr>
          <w:rFonts w:hint="eastAsia" w:ascii="仿宋_GB2312" w:eastAsia="仿宋_GB2312" w:cs="仿宋_GB2312"/>
          <w:sz w:val="32"/>
          <w:szCs w:val="32"/>
        </w:rPr>
        <w:t>万元，主要支出科目安排情况如下：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一般公共服务支出安排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4640.13</w:t>
      </w:r>
      <w:r>
        <w:rPr>
          <w:rFonts w:hint="eastAsia" w:ascii="仿宋_GB2312" w:eastAsia="仿宋_GB2312" w:cs="仿宋_GB2312"/>
          <w:sz w:val="32"/>
          <w:szCs w:val="32"/>
        </w:rPr>
        <w:t>万元，主要用于保障机关运行，保工资、保运转、人大、纪检、组织事务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、社区公益事业</w:t>
      </w:r>
      <w:r>
        <w:rPr>
          <w:rFonts w:hint="eastAsia" w:ascii="仿宋_GB2312" w:eastAsia="仿宋_GB2312" w:cs="仿宋_GB2312"/>
          <w:sz w:val="32"/>
          <w:szCs w:val="32"/>
        </w:rPr>
        <w:t>等支出；文化旅游体育与传媒支出安排27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.4</w:t>
      </w:r>
      <w:r>
        <w:rPr>
          <w:rFonts w:hint="eastAsia" w:ascii="仿宋_GB2312" w:eastAsia="仿宋_GB2312" w:cs="仿宋_GB2312"/>
          <w:sz w:val="32"/>
          <w:szCs w:val="32"/>
        </w:rPr>
        <w:t>万元，主要用于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基层文化活动、文化设备及资源更新运维等支出</w:t>
      </w:r>
      <w:r>
        <w:rPr>
          <w:rFonts w:hint="eastAsia" w:ascii="仿宋_GB2312" w:eastAsia="仿宋_GB2312" w:cs="仿宋_GB2312"/>
          <w:sz w:val="32"/>
          <w:szCs w:val="32"/>
        </w:rPr>
        <w:t>；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社会</w:t>
      </w:r>
      <w:r>
        <w:rPr>
          <w:rFonts w:hint="eastAsia" w:ascii="仿宋_GB2312" w:eastAsia="仿宋_GB2312" w:cs="仿宋_GB2312"/>
          <w:sz w:val="32"/>
          <w:szCs w:val="32"/>
        </w:rPr>
        <w:t>保障和就业支出安排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879.95</w:t>
      </w:r>
      <w:r>
        <w:rPr>
          <w:rFonts w:hint="eastAsia" w:ascii="仿宋_GB2312" w:eastAsia="仿宋_GB2312" w:cs="仿宋_GB2312"/>
          <w:sz w:val="32"/>
          <w:szCs w:val="32"/>
        </w:rPr>
        <w:t>万元，主要用于离退休人员支出、就业中心补助、社会保障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养老</w:t>
      </w:r>
      <w:r>
        <w:rPr>
          <w:rFonts w:hint="eastAsia" w:ascii="仿宋_GB2312" w:eastAsia="仿宋_GB2312" w:cs="仿宋_GB2312"/>
          <w:sz w:val="32"/>
          <w:szCs w:val="32"/>
        </w:rPr>
        <w:t>等支出；卫生健康支出安排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380</w:t>
      </w:r>
      <w:r>
        <w:rPr>
          <w:rFonts w:hint="eastAsia" w:ascii="仿宋_GB2312" w:eastAsia="仿宋_GB2312" w:cs="仿宋_GB2312"/>
          <w:sz w:val="32"/>
          <w:szCs w:val="32"/>
        </w:rPr>
        <w:t>万元，主要用于社会保障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医疗等支出</w:t>
      </w:r>
      <w:r>
        <w:rPr>
          <w:rFonts w:hint="eastAsia" w:ascii="仿宋_GB2312" w:eastAsia="仿宋_GB2312" w:cs="仿宋_GB2312"/>
          <w:sz w:val="32"/>
          <w:szCs w:val="32"/>
        </w:rPr>
        <w:t>；城乡社区支出安排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132.89</w:t>
      </w:r>
      <w:r>
        <w:rPr>
          <w:rFonts w:hint="eastAsia" w:ascii="仿宋_GB2312" w:eastAsia="仿宋_GB2312" w:cs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主要用于流管员补助、对口帮扶、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平安建设、生活垃圾分类等支出</w:t>
      </w:r>
      <w:r>
        <w:rPr>
          <w:rFonts w:hint="eastAsia" w:ascii="仿宋_GB2312" w:eastAsia="仿宋_GB2312"/>
          <w:sz w:val="32"/>
          <w:szCs w:val="32"/>
        </w:rPr>
        <w:t>；</w:t>
      </w:r>
      <w:r>
        <w:rPr>
          <w:rFonts w:hint="eastAsia" w:ascii="仿宋_GB2312" w:eastAsia="仿宋_GB2312" w:cs="仿宋_GB2312"/>
          <w:sz w:val="32"/>
          <w:szCs w:val="32"/>
        </w:rPr>
        <w:t>农林水支出安排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4199.05</w:t>
      </w:r>
      <w:r>
        <w:rPr>
          <w:rFonts w:hint="eastAsia" w:ascii="仿宋_GB2312" w:eastAsia="仿宋_GB2312" w:cs="仿宋_GB2312"/>
          <w:sz w:val="32"/>
          <w:szCs w:val="32"/>
        </w:rPr>
        <w:t>万元，主要用于村级电力维护、林业防火防汛防治、生态环境、动监所补助、基层党组织服务群众经费、两委基本报酬保险、离任村书记等支出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；住房保障支出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289.83万元，主要用于住房公积金等支出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政府性基金</w:t>
      </w:r>
      <w:r>
        <w:rPr>
          <w:rFonts w:hint="eastAsia" w:ascii="楷体_GB2312" w:hAnsi="楷体_GB2312" w:eastAsia="楷体_GB2312" w:cs="楷体_GB2312"/>
          <w:sz w:val="32"/>
          <w:szCs w:val="32"/>
        </w:rPr>
        <w:t>预算收支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安排</w:t>
      </w:r>
      <w:r>
        <w:rPr>
          <w:rFonts w:hint="eastAsia" w:ascii="楷体_GB2312" w:hAnsi="楷体_GB2312" w:eastAsia="楷体_GB2312" w:cs="楷体_GB2312"/>
          <w:sz w:val="32"/>
          <w:szCs w:val="32"/>
        </w:rPr>
        <w:t>情况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 w:cs="仿宋_GB2312"/>
          <w:sz w:val="32"/>
          <w:szCs w:val="32"/>
        </w:rPr>
        <w:t>年，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全镇政府性基金</w:t>
      </w:r>
      <w:r>
        <w:rPr>
          <w:rFonts w:hint="eastAsia" w:ascii="仿宋_GB2312" w:eastAsia="仿宋_GB2312" w:cs="仿宋_GB2312"/>
          <w:sz w:val="32"/>
          <w:szCs w:val="32"/>
        </w:rPr>
        <w:t>预算总财力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340.9</w:t>
      </w:r>
      <w:r>
        <w:rPr>
          <w:rFonts w:hint="eastAsia" w:ascii="仿宋_GB2312" w:eastAsia="仿宋_GB2312" w:cs="仿宋_GB2312"/>
          <w:sz w:val="32"/>
          <w:szCs w:val="32"/>
        </w:rPr>
        <w:t>万元，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均为财政追加预算专项资金；全镇政府性基金</w:t>
      </w:r>
      <w:r>
        <w:rPr>
          <w:rFonts w:hint="eastAsia" w:ascii="仿宋_GB2312" w:eastAsia="仿宋_GB2312" w:cs="仿宋_GB2312"/>
          <w:sz w:val="32"/>
          <w:szCs w:val="32"/>
        </w:rPr>
        <w:t>预算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支出340.9</w:t>
      </w:r>
      <w:r>
        <w:rPr>
          <w:rFonts w:hint="eastAsia" w:ascii="仿宋_GB2312" w:eastAsia="仿宋_GB2312" w:cs="仿宋_GB2312"/>
          <w:sz w:val="32"/>
          <w:szCs w:val="32"/>
        </w:rPr>
        <w:t>万元，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均为其他支出，主要用于河南寨镇平头村老年驿站改造工程。</w:t>
      </w:r>
      <w:r>
        <w:rPr>
          <w:rFonts w:hint="eastAsia" w:ascii="仿宋_GB2312" w:eastAsia="仿宋_GB2312" w:cs="仿宋_GB2312"/>
          <w:sz w:val="32"/>
          <w:szCs w:val="32"/>
        </w:rPr>
        <w:t>收支平衡。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三、切实做好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2025</w:t>
      </w:r>
      <w:r>
        <w:rPr>
          <w:rFonts w:hint="eastAsia" w:ascii="黑体" w:hAnsi="黑体" w:eastAsia="黑体" w:cs="仿宋_GB2312"/>
          <w:sz w:val="32"/>
          <w:szCs w:val="32"/>
        </w:rPr>
        <w:t>年财政管理和预算执行工作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（一）优化财政资源，夯实财源基础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坚持稳中求进保增长，积极培育壮大税源经济。充分发挥财政资金的杠杆和引导作用，促进经济稳步增长。积极对上争取资金，保障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民生支出。加强与重点企业的联系沟通，提供政策指导和扶持，进一步夯实财源基础。继续做好招商引资工作，巩固和扩大招商成果，促进企业做大做强和增值增效。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（二）努力开拓税源，保障民生重点</w:t>
      </w:r>
    </w:p>
    <w:p>
      <w:pPr>
        <w:numPr>
          <w:ilvl w:val="0"/>
          <w:numId w:val="0"/>
        </w:num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努力增加税收来源，进一步开拓税源，以增加税收的超收分成税额；进一步挖掘非税收入的来源，增强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</w:t>
      </w:r>
      <w:r>
        <w:rPr>
          <w:rFonts w:hint="eastAsia" w:ascii="仿宋_GB2312" w:hAnsi="仿宋_GB2312" w:eastAsia="仿宋_GB2312" w:cs="仿宋_GB2312"/>
          <w:sz w:val="32"/>
          <w:szCs w:val="32"/>
        </w:rPr>
        <w:t>的财力；坚持量入为出的原则，进一步压缩财政支出，节约开支，将财政支出额度降低到最低限度，使财政资金真正用到刀刃上，做到有保有压，确保必要项目的资金发放，重点保障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</w:rPr>
        <w:t>供养人员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（三）提升财政管理，增强监督效能</w:t>
      </w:r>
    </w:p>
    <w:p>
      <w:pPr>
        <w:numPr>
          <w:ilvl w:val="0"/>
          <w:numId w:val="0"/>
        </w:num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真贯彻落实《监督法》和《中华人民共和国预算法》，牢固树立依法理财、依法行政的理念，强化财政各项管理和监督。加强项目支出预算编制，推进预算绩效管理，提高预算透明度。全面落实《党政机关厉行节约反对浪费条例》等各项规定，严格管控“三公”经费等公务支出。继续加强国库集中支付管理，提高财政资金使用的规范性、安全性和有效性。</w:t>
      </w:r>
    </w:p>
    <w:p>
      <w:pPr>
        <w:numPr>
          <w:ilvl w:val="0"/>
          <w:numId w:val="0"/>
        </w:numPr>
        <w:pBdr>
          <w:bottom w:val="single" w:color="FFFFFF" w:sz="4" w:space="11"/>
        </w:pBdr>
        <w:snapToGrid w:val="0"/>
        <w:spacing w:line="560" w:lineRule="exact"/>
        <w:ind w:firstLine="640" w:firstLineChars="200"/>
        <w:textAlignment w:val="baseline"/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各位代表，做好202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年财政工作责任重大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，任务艰巨。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我们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将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镇党委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的坚强领导下，在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人大的监督指导下，坚持以习近平新时代中国特色社会主义思想为指导，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kern w:val="2"/>
          <w:sz w:val="32"/>
          <w:szCs w:val="32"/>
          <w:highlight w:val="none"/>
          <w:lang w:val="en-US" w:eastAsia="zh-CN" w:bidi="ar-SA"/>
        </w:rPr>
        <w:t>永葆“闯”的精神、“创”的劲头、“干”的作风，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河南寨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经济社会高质量发展做出新的贡献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！</w:t>
      </w:r>
    </w:p>
    <w:sectPr>
      <w:footerReference r:id="rId3" w:type="default"/>
      <w:pgSz w:w="11906" w:h="16838"/>
      <w:pgMar w:top="1417" w:right="1417" w:bottom="1417" w:left="1417" w:header="851" w:footer="907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roid 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zql5uc8AAAAF&#10;AQAADwAAAAAAAAABACAAAAAiAAAAZHJzL2Rvd25yZXYueG1sUEsBAhQAFAAAAAgAh07iQPBAlRrs&#10;AQAA1QMAAA4AAAAAAAAAAQAgAAAAHgEAAGRycy9lMm9Eb2MueG1sUEsFBgAAAAAGAAYAWQEAAHwF&#10;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ajorEastAsia" w:hAnsiTheme="majorEastAsia" w:eastAsiaTheme="majorEastAsia" w:cstheme="majorEastAsia"/>
                    <w:sz w:val="28"/>
                    <w:szCs w:val="28"/>
                  </w:rPr>
                  <w:t>- 44 -</w: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039E7"/>
    <w:multiLevelType w:val="singleLevel"/>
    <w:tmpl w:val="414039E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ZjMTI5OWMxMjY0ZDU4NWFhMWNjZTZkYmRmY2E2MTEifQ=="/>
  </w:docVars>
  <w:rsids>
    <w:rsidRoot w:val="00965705"/>
    <w:rsid w:val="000116C7"/>
    <w:rsid w:val="00013B2D"/>
    <w:rsid w:val="00015D1D"/>
    <w:rsid w:val="00024711"/>
    <w:rsid w:val="00032786"/>
    <w:rsid w:val="00034B08"/>
    <w:rsid w:val="000360FF"/>
    <w:rsid w:val="00053634"/>
    <w:rsid w:val="00057C6B"/>
    <w:rsid w:val="0007443C"/>
    <w:rsid w:val="00075A16"/>
    <w:rsid w:val="00075E7B"/>
    <w:rsid w:val="000B0ACC"/>
    <w:rsid w:val="000B7A7F"/>
    <w:rsid w:val="000D03CA"/>
    <w:rsid w:val="000D2499"/>
    <w:rsid w:val="000E7DF8"/>
    <w:rsid w:val="00100C43"/>
    <w:rsid w:val="00112395"/>
    <w:rsid w:val="00134BB8"/>
    <w:rsid w:val="00140740"/>
    <w:rsid w:val="001465C5"/>
    <w:rsid w:val="00156096"/>
    <w:rsid w:val="001700C8"/>
    <w:rsid w:val="00170868"/>
    <w:rsid w:val="00194303"/>
    <w:rsid w:val="00194B26"/>
    <w:rsid w:val="001A4EAB"/>
    <w:rsid w:val="001A7BD8"/>
    <w:rsid w:val="00220268"/>
    <w:rsid w:val="002328FA"/>
    <w:rsid w:val="002435AE"/>
    <w:rsid w:val="00264C62"/>
    <w:rsid w:val="00266C73"/>
    <w:rsid w:val="002749F3"/>
    <w:rsid w:val="00280A54"/>
    <w:rsid w:val="00293969"/>
    <w:rsid w:val="002A5985"/>
    <w:rsid w:val="002B1C02"/>
    <w:rsid w:val="002B2F4B"/>
    <w:rsid w:val="002B4450"/>
    <w:rsid w:val="002C0D4F"/>
    <w:rsid w:val="002C3221"/>
    <w:rsid w:val="00303BB7"/>
    <w:rsid w:val="00304663"/>
    <w:rsid w:val="00307C69"/>
    <w:rsid w:val="00315326"/>
    <w:rsid w:val="00324CFC"/>
    <w:rsid w:val="0037353C"/>
    <w:rsid w:val="0037660A"/>
    <w:rsid w:val="003834C0"/>
    <w:rsid w:val="003A0505"/>
    <w:rsid w:val="003C05EA"/>
    <w:rsid w:val="003C3D73"/>
    <w:rsid w:val="003D132C"/>
    <w:rsid w:val="003D3C8F"/>
    <w:rsid w:val="00416A01"/>
    <w:rsid w:val="004358DA"/>
    <w:rsid w:val="004400FF"/>
    <w:rsid w:val="00461039"/>
    <w:rsid w:val="00484717"/>
    <w:rsid w:val="00486D86"/>
    <w:rsid w:val="004B2998"/>
    <w:rsid w:val="004B6E48"/>
    <w:rsid w:val="004C3505"/>
    <w:rsid w:val="004C4F7A"/>
    <w:rsid w:val="004D4946"/>
    <w:rsid w:val="004E5503"/>
    <w:rsid w:val="004E7EA5"/>
    <w:rsid w:val="004F4705"/>
    <w:rsid w:val="00524141"/>
    <w:rsid w:val="00541C96"/>
    <w:rsid w:val="0055417B"/>
    <w:rsid w:val="00577DCE"/>
    <w:rsid w:val="005B35C0"/>
    <w:rsid w:val="005D1B32"/>
    <w:rsid w:val="005E14FA"/>
    <w:rsid w:val="00637B16"/>
    <w:rsid w:val="00656E75"/>
    <w:rsid w:val="00692EAA"/>
    <w:rsid w:val="006A3A27"/>
    <w:rsid w:val="006B5B3B"/>
    <w:rsid w:val="006D195B"/>
    <w:rsid w:val="00735997"/>
    <w:rsid w:val="007423FC"/>
    <w:rsid w:val="007576E4"/>
    <w:rsid w:val="00763576"/>
    <w:rsid w:val="00763F2D"/>
    <w:rsid w:val="007902E2"/>
    <w:rsid w:val="007B0C8E"/>
    <w:rsid w:val="007B4DE9"/>
    <w:rsid w:val="007E4EA2"/>
    <w:rsid w:val="007F5982"/>
    <w:rsid w:val="0080657B"/>
    <w:rsid w:val="00814DE5"/>
    <w:rsid w:val="008157D8"/>
    <w:rsid w:val="00816CD6"/>
    <w:rsid w:val="0083676C"/>
    <w:rsid w:val="00856736"/>
    <w:rsid w:val="00863857"/>
    <w:rsid w:val="00865CDC"/>
    <w:rsid w:val="00872C25"/>
    <w:rsid w:val="00876945"/>
    <w:rsid w:val="00876D09"/>
    <w:rsid w:val="008929ED"/>
    <w:rsid w:val="008F0378"/>
    <w:rsid w:val="009131B3"/>
    <w:rsid w:val="0092045F"/>
    <w:rsid w:val="00951683"/>
    <w:rsid w:val="00961ABD"/>
    <w:rsid w:val="00965705"/>
    <w:rsid w:val="009830C0"/>
    <w:rsid w:val="009C582C"/>
    <w:rsid w:val="009D38C6"/>
    <w:rsid w:val="009E00C2"/>
    <w:rsid w:val="009E2E34"/>
    <w:rsid w:val="009E6F31"/>
    <w:rsid w:val="009F456F"/>
    <w:rsid w:val="00A052E2"/>
    <w:rsid w:val="00A10B2F"/>
    <w:rsid w:val="00A12319"/>
    <w:rsid w:val="00A1436F"/>
    <w:rsid w:val="00A850A0"/>
    <w:rsid w:val="00A9529B"/>
    <w:rsid w:val="00AB3F95"/>
    <w:rsid w:val="00AC5458"/>
    <w:rsid w:val="00AE1DCF"/>
    <w:rsid w:val="00AE221E"/>
    <w:rsid w:val="00AE2E8E"/>
    <w:rsid w:val="00AE5123"/>
    <w:rsid w:val="00B07B73"/>
    <w:rsid w:val="00B14115"/>
    <w:rsid w:val="00B30863"/>
    <w:rsid w:val="00B41E1F"/>
    <w:rsid w:val="00B44757"/>
    <w:rsid w:val="00B45816"/>
    <w:rsid w:val="00B465D8"/>
    <w:rsid w:val="00B51AB0"/>
    <w:rsid w:val="00B53527"/>
    <w:rsid w:val="00B55DE7"/>
    <w:rsid w:val="00BA5596"/>
    <w:rsid w:val="00BE23D9"/>
    <w:rsid w:val="00BE2FD2"/>
    <w:rsid w:val="00BE6A4B"/>
    <w:rsid w:val="00BF0811"/>
    <w:rsid w:val="00BF202A"/>
    <w:rsid w:val="00C0031A"/>
    <w:rsid w:val="00C11261"/>
    <w:rsid w:val="00CA5B91"/>
    <w:rsid w:val="00D155CF"/>
    <w:rsid w:val="00D16698"/>
    <w:rsid w:val="00D42461"/>
    <w:rsid w:val="00D4268E"/>
    <w:rsid w:val="00D96640"/>
    <w:rsid w:val="00D97B9E"/>
    <w:rsid w:val="00DB2E71"/>
    <w:rsid w:val="00DB5AD4"/>
    <w:rsid w:val="00DC310E"/>
    <w:rsid w:val="00DF352B"/>
    <w:rsid w:val="00DF5B57"/>
    <w:rsid w:val="00E14DD0"/>
    <w:rsid w:val="00E22FC3"/>
    <w:rsid w:val="00E409F0"/>
    <w:rsid w:val="00E4487D"/>
    <w:rsid w:val="00E66763"/>
    <w:rsid w:val="00E81B51"/>
    <w:rsid w:val="00EC12CD"/>
    <w:rsid w:val="00F4024F"/>
    <w:rsid w:val="00F43728"/>
    <w:rsid w:val="00F655BE"/>
    <w:rsid w:val="00FC73EA"/>
    <w:rsid w:val="00FD5A8E"/>
    <w:rsid w:val="00FD60F9"/>
    <w:rsid w:val="00FD7894"/>
    <w:rsid w:val="02C62C42"/>
    <w:rsid w:val="03BB0D8E"/>
    <w:rsid w:val="04C4757D"/>
    <w:rsid w:val="058712CD"/>
    <w:rsid w:val="065211E9"/>
    <w:rsid w:val="077D34DF"/>
    <w:rsid w:val="080D0929"/>
    <w:rsid w:val="08654D5B"/>
    <w:rsid w:val="09193079"/>
    <w:rsid w:val="09276A5C"/>
    <w:rsid w:val="0B894EFC"/>
    <w:rsid w:val="0BFE2DF9"/>
    <w:rsid w:val="0CF17032"/>
    <w:rsid w:val="0D2C7836"/>
    <w:rsid w:val="0DA62D69"/>
    <w:rsid w:val="0FFD6E1E"/>
    <w:rsid w:val="104404AF"/>
    <w:rsid w:val="11EB0EF2"/>
    <w:rsid w:val="127A2486"/>
    <w:rsid w:val="13713E47"/>
    <w:rsid w:val="138E7538"/>
    <w:rsid w:val="13D86A8B"/>
    <w:rsid w:val="16AE750E"/>
    <w:rsid w:val="177D6007"/>
    <w:rsid w:val="182C0F13"/>
    <w:rsid w:val="1980600D"/>
    <w:rsid w:val="19BD16DF"/>
    <w:rsid w:val="1AB048AE"/>
    <w:rsid w:val="1AB8362F"/>
    <w:rsid w:val="1B7E4F81"/>
    <w:rsid w:val="1BBA7FA5"/>
    <w:rsid w:val="1BE85270"/>
    <w:rsid w:val="1EEF7219"/>
    <w:rsid w:val="1EF25AF5"/>
    <w:rsid w:val="1F353504"/>
    <w:rsid w:val="1F4B5580"/>
    <w:rsid w:val="1F9715F3"/>
    <w:rsid w:val="1FEB0A2F"/>
    <w:rsid w:val="1FF958C6"/>
    <w:rsid w:val="20896F02"/>
    <w:rsid w:val="21DF0EC4"/>
    <w:rsid w:val="229528E9"/>
    <w:rsid w:val="249F7E9E"/>
    <w:rsid w:val="252A0BBD"/>
    <w:rsid w:val="276019E4"/>
    <w:rsid w:val="27E05E96"/>
    <w:rsid w:val="295774F2"/>
    <w:rsid w:val="2A5F0DF4"/>
    <w:rsid w:val="2BAE78C7"/>
    <w:rsid w:val="2C8E59C0"/>
    <w:rsid w:val="2C9E029E"/>
    <w:rsid w:val="2E523E80"/>
    <w:rsid w:val="2E964693"/>
    <w:rsid w:val="2EAB4B67"/>
    <w:rsid w:val="2F0F27BB"/>
    <w:rsid w:val="301F3197"/>
    <w:rsid w:val="30EC4708"/>
    <w:rsid w:val="31035DBF"/>
    <w:rsid w:val="318474A3"/>
    <w:rsid w:val="32456407"/>
    <w:rsid w:val="339C5F9C"/>
    <w:rsid w:val="34074F5E"/>
    <w:rsid w:val="34E77A45"/>
    <w:rsid w:val="35495746"/>
    <w:rsid w:val="367F2EF7"/>
    <w:rsid w:val="397A3122"/>
    <w:rsid w:val="39F464AC"/>
    <w:rsid w:val="3A4F49E1"/>
    <w:rsid w:val="3AF2346A"/>
    <w:rsid w:val="3B222D3B"/>
    <w:rsid w:val="3B2E4042"/>
    <w:rsid w:val="3B414E49"/>
    <w:rsid w:val="3BC82016"/>
    <w:rsid w:val="3FEE0DCC"/>
    <w:rsid w:val="41305A6D"/>
    <w:rsid w:val="42397CB3"/>
    <w:rsid w:val="42D3262D"/>
    <w:rsid w:val="439065F4"/>
    <w:rsid w:val="446D20F8"/>
    <w:rsid w:val="457D1565"/>
    <w:rsid w:val="476338D9"/>
    <w:rsid w:val="4767173C"/>
    <w:rsid w:val="4AC62548"/>
    <w:rsid w:val="4B0849AB"/>
    <w:rsid w:val="4B0B11DC"/>
    <w:rsid w:val="4BA54262"/>
    <w:rsid w:val="4DF21A19"/>
    <w:rsid w:val="4F921A8C"/>
    <w:rsid w:val="507E59B0"/>
    <w:rsid w:val="514249B6"/>
    <w:rsid w:val="5198767D"/>
    <w:rsid w:val="5214237D"/>
    <w:rsid w:val="526C7624"/>
    <w:rsid w:val="5337776C"/>
    <w:rsid w:val="53D847D4"/>
    <w:rsid w:val="53E26B2B"/>
    <w:rsid w:val="54010F5F"/>
    <w:rsid w:val="55172ED9"/>
    <w:rsid w:val="55517EA5"/>
    <w:rsid w:val="5730631E"/>
    <w:rsid w:val="583710B1"/>
    <w:rsid w:val="58A2321F"/>
    <w:rsid w:val="590F1F34"/>
    <w:rsid w:val="592875B7"/>
    <w:rsid w:val="5984098A"/>
    <w:rsid w:val="599C2B47"/>
    <w:rsid w:val="5B760917"/>
    <w:rsid w:val="5C125020"/>
    <w:rsid w:val="5D6A07CA"/>
    <w:rsid w:val="5D9C7622"/>
    <w:rsid w:val="5DE11028"/>
    <w:rsid w:val="5E2B4FB5"/>
    <w:rsid w:val="6087655E"/>
    <w:rsid w:val="62603C21"/>
    <w:rsid w:val="6287430B"/>
    <w:rsid w:val="636C4E08"/>
    <w:rsid w:val="63D17CE2"/>
    <w:rsid w:val="65295E8B"/>
    <w:rsid w:val="67703058"/>
    <w:rsid w:val="685C6397"/>
    <w:rsid w:val="68624F55"/>
    <w:rsid w:val="6A575E70"/>
    <w:rsid w:val="6D117B83"/>
    <w:rsid w:val="6E676892"/>
    <w:rsid w:val="6EFD03E4"/>
    <w:rsid w:val="6F9D5C29"/>
    <w:rsid w:val="6FE6261D"/>
    <w:rsid w:val="705679C0"/>
    <w:rsid w:val="71C37405"/>
    <w:rsid w:val="73616298"/>
    <w:rsid w:val="75D15E3A"/>
    <w:rsid w:val="772207AC"/>
    <w:rsid w:val="777F6D86"/>
    <w:rsid w:val="79743378"/>
    <w:rsid w:val="7A1B3A84"/>
    <w:rsid w:val="7BBA7205"/>
    <w:rsid w:val="7CBF43AA"/>
    <w:rsid w:val="7D096DC4"/>
    <w:rsid w:val="7D976A7C"/>
    <w:rsid w:val="7F4E2F32"/>
    <w:rsid w:val="7FA97A2F"/>
    <w:rsid w:val="9EEF8D98"/>
    <w:rsid w:val="FFBC73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qFormat="1" w:uiPriority="99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99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link w:val="20"/>
    <w:qFormat/>
    <w:uiPriority w:val="99"/>
    <w:pPr>
      <w:spacing w:line="560" w:lineRule="exact"/>
      <w:ind w:firstLine="643" w:firstLineChars="200"/>
      <w:outlineLvl w:val="2"/>
    </w:pPr>
    <w:rPr>
      <w:rFonts w:ascii="楷体_GB2312" w:hAnsi="Calibri" w:eastAsia="楷体_GB2312" w:cs="宋体"/>
      <w:b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99"/>
    <w:pPr>
      <w:ind w:left="1600" w:leftChars="1600"/>
    </w:pPr>
  </w:style>
  <w:style w:type="paragraph" w:styleId="4">
    <w:name w:val="Body Text"/>
    <w:basedOn w:val="1"/>
    <w:next w:val="5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customStyle="1" w:styleId="5">
    <w:name w:val="toc 1_b958cacf-7e5f-454f-8c5b-6e15b77831f9"/>
    <w:next w:val="1"/>
    <w:qFormat/>
    <w:uiPriority w:val="0"/>
    <w:pPr>
      <w:wordWrap w:val="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paragraph" w:styleId="6">
    <w:name w:val="Block Text"/>
    <w:basedOn w:val="1"/>
    <w:qFormat/>
    <w:uiPriority w:val="99"/>
    <w:pPr>
      <w:spacing w:after="120"/>
      <w:ind w:left="1440" w:leftChars="700" w:right="1440" w:rightChars="700"/>
    </w:pPr>
  </w:style>
  <w:style w:type="paragraph" w:styleId="7">
    <w:name w:val="Balloon Text"/>
    <w:basedOn w:val="1"/>
    <w:link w:val="21"/>
    <w:qFormat/>
    <w:uiPriority w:val="99"/>
    <w:rPr>
      <w:sz w:val="18"/>
      <w:szCs w:val="18"/>
    </w:rPr>
  </w:style>
  <w:style w:type="paragraph" w:styleId="8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9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0"/>
    <w:rPr>
      <w:b/>
    </w:rPr>
  </w:style>
  <w:style w:type="paragraph" w:customStyle="1" w:styleId="15">
    <w:name w:val="List Paragraph1"/>
    <w:basedOn w:val="1"/>
    <w:qFormat/>
    <w:uiPriority w:val="99"/>
    <w:pPr>
      <w:ind w:firstLine="420" w:firstLineChars="200"/>
    </w:pPr>
  </w:style>
  <w:style w:type="paragraph" w:customStyle="1" w:styleId="16">
    <w:name w:val="UserStyle_0"/>
    <w:basedOn w:val="1"/>
    <w:link w:val="24"/>
    <w:qFormat/>
    <w:uiPriority w:val="99"/>
    <w:pPr>
      <w:widowControl/>
      <w:spacing w:after="160" w:line="240" w:lineRule="exact"/>
      <w:jc w:val="left"/>
    </w:pPr>
    <w:rPr>
      <w:rFonts w:ascii="Calibri" w:hAnsi="Calibri" w:cs="黑体"/>
      <w:szCs w:val="22"/>
    </w:rPr>
  </w:style>
  <w:style w:type="paragraph" w:customStyle="1" w:styleId="17">
    <w:name w:val="汇报正文"/>
    <w:basedOn w:val="1"/>
    <w:link w:val="25"/>
    <w:qFormat/>
    <w:uiPriority w:val="99"/>
    <w:pPr>
      <w:spacing w:line="560" w:lineRule="exact"/>
      <w:ind w:firstLine="640" w:firstLineChars="200"/>
    </w:pPr>
    <w:rPr>
      <w:rFonts w:ascii="仿宋_GB2312" w:hAnsi="Calibri" w:eastAsia="仿宋_GB2312" w:cs="黑体"/>
      <w:sz w:val="32"/>
      <w:szCs w:val="32"/>
    </w:rPr>
  </w:style>
  <w:style w:type="paragraph" w:customStyle="1" w:styleId="18">
    <w:name w:val="标题3（三）"/>
    <w:basedOn w:val="1"/>
    <w:qFormat/>
    <w:uiPriority w:val="99"/>
    <w:pPr>
      <w:spacing w:beforeLines="50" w:afterLines="50" w:line="432" w:lineRule="exact"/>
      <w:ind w:firstLine="200" w:firstLineChars="200"/>
    </w:pPr>
    <w:rPr>
      <w:rFonts w:ascii="方正黑体简体" w:eastAsia="方正黑体简体" w:cs="Droid Sans"/>
      <w:color w:val="000000"/>
      <w:sz w:val="27"/>
      <w:szCs w:val="27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character" w:customStyle="1" w:styleId="20">
    <w:name w:val="标题 3 Char"/>
    <w:basedOn w:val="13"/>
    <w:link w:val="3"/>
    <w:qFormat/>
    <w:uiPriority w:val="99"/>
    <w:rPr>
      <w:rFonts w:ascii="楷体_GB2312" w:hAnsi="Calibri" w:eastAsia="楷体_GB2312" w:cs="宋体"/>
      <w:b/>
      <w:sz w:val="32"/>
      <w:szCs w:val="32"/>
    </w:rPr>
  </w:style>
  <w:style w:type="character" w:customStyle="1" w:styleId="21">
    <w:name w:val="批注框文本 Char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脚 Char"/>
    <w:basedOn w:val="13"/>
    <w:link w:val="8"/>
    <w:qFormat/>
    <w:uiPriority w:val="99"/>
    <w:rPr>
      <w:rFonts w:cs="Times New Roman"/>
      <w:sz w:val="18"/>
      <w:szCs w:val="18"/>
    </w:rPr>
  </w:style>
  <w:style w:type="character" w:customStyle="1" w:styleId="23">
    <w:name w:val="页眉 Char"/>
    <w:basedOn w:val="13"/>
    <w:link w:val="9"/>
    <w:qFormat/>
    <w:uiPriority w:val="99"/>
    <w:rPr>
      <w:rFonts w:cs="Times New Roman"/>
      <w:sz w:val="18"/>
      <w:szCs w:val="18"/>
    </w:rPr>
  </w:style>
  <w:style w:type="character" w:customStyle="1" w:styleId="24">
    <w:name w:val="NormalCharacter"/>
    <w:link w:val="16"/>
    <w:qFormat/>
    <w:uiPriority w:val="99"/>
  </w:style>
  <w:style w:type="character" w:customStyle="1" w:styleId="25">
    <w:name w:val="汇报正文 Char"/>
    <w:basedOn w:val="13"/>
    <w:link w:val="17"/>
    <w:qFormat/>
    <w:uiPriority w:val="99"/>
    <w:rPr>
      <w:rFonts w:ascii="仿宋_GB2312" w:eastAsia="仿宋_GB2312" w:cs="Times New Roman"/>
      <w:sz w:val="32"/>
      <w:szCs w:val="32"/>
    </w:rPr>
  </w:style>
  <w:style w:type="character" w:customStyle="1" w:styleId="26">
    <w:name w:val="font101"/>
    <w:basedOn w:val="13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27">
    <w:name w:val="font41"/>
    <w:basedOn w:val="13"/>
    <w:qFormat/>
    <w:uiPriority w:val="0"/>
    <w:rPr>
      <w:rFonts w:hint="default"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28">
    <w:name w:val="font81"/>
    <w:basedOn w:val="13"/>
    <w:qFormat/>
    <w:uiPriority w:val="0"/>
    <w:rPr>
      <w:rFonts w:hint="default"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29">
    <w:name w:val="font61"/>
    <w:basedOn w:val="1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30">
    <w:name w:val="font21"/>
    <w:basedOn w:val="13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31">
    <w:name w:val="font71"/>
    <w:basedOn w:val="13"/>
    <w:qFormat/>
    <w:uiPriority w:val="0"/>
    <w:rPr>
      <w:rFonts w:hint="default"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32">
    <w:name w:val="font51"/>
    <w:basedOn w:val="13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33">
    <w:name w:val="font112"/>
    <w:basedOn w:val="1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34">
    <w:name w:val="font91"/>
    <w:basedOn w:val="13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1BD024-2157-4714-AE22-36FEA5BB47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44</Pages>
  <Words>3725</Words>
  <Characters>21237</Characters>
  <Lines>176</Lines>
  <Paragraphs>49</Paragraphs>
  <TotalTime>12</TotalTime>
  <ScaleCrop>false</ScaleCrop>
  <LinksUpToDate>false</LinksUpToDate>
  <CharactersWithSpaces>24913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2023-01-12T09:48:00Z</dcterms:created>
  <dc:creator>常程</dc:creator>
  <cp:lastModifiedBy>lenovo</cp:lastModifiedBy>
  <cp:lastPrinted>2025-02-19T01:19:00Z</cp:lastPrinted>
  <dcterms:modified xsi:type="dcterms:W3CDTF">2025-03-07T01:25:24Z</dcterms:modified>
  <dc:title>关于北京市2020年预算执行情况和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44409639F6444257AA502976C44B2146_13</vt:lpwstr>
  </property>
</Properties>
</file>