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北京市密云区溪翁庄镇人民政府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年预算执行情况和202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年预算（草案）的报告</w:t>
      </w:r>
    </w:p>
    <w:p>
      <w:pPr>
        <w:widowControl w:val="0"/>
        <w:wordWrap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——</w:t>
      </w:r>
      <w:r>
        <w:rPr>
          <w:rFonts w:hint="eastAsia"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26</w:t>
      </w:r>
      <w:r>
        <w:rPr>
          <w:rFonts w:hint="eastAsia" w:ascii="楷体_GB2312" w:hAnsi="楷体_GB2312" w:eastAsia="楷体_GB2312" w:cs="楷体_GB2312"/>
          <w:sz w:val="32"/>
          <w:szCs w:val="32"/>
        </w:rPr>
        <w:t>日在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u w:val="none" w:color="auto"/>
          <w:lang w:val="en-US" w:eastAsia="zh-CN"/>
        </w:rPr>
        <w:t>密云区溪翁庄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u w:val="none" w:color="auto"/>
          <w:lang w:eastAsia="zh-CN"/>
        </w:rPr>
        <w:t>镇</w:t>
      </w:r>
      <w:r>
        <w:rPr>
          <w:rFonts w:hint="eastAsia" w:ascii="楷体_GB2312" w:hAnsi="楷体_GB2312" w:eastAsia="楷体_GB2312" w:cs="楷体_GB2312"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届人民代表大会</w:t>
      </w:r>
    </w:p>
    <w:p>
      <w:pPr>
        <w:widowControl w:val="0"/>
        <w:wordWrap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次会议上</w:t>
      </w:r>
    </w:p>
    <w:p>
      <w:pPr>
        <w:widowControl w:val="0"/>
        <w:wordWrap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各位代表：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受溪翁庄镇人民政府委托，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现将北京市密云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区溪翁庄镇人民政府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年预算执行情况和202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年预算（草案）的报告提请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届人民代表大会第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会议审议。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年预算执行情况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是全面贯彻落实党的二十大的开局之年。今年以来，面对各项艰巨繁重的改革发展稳定任务，全镇上下在以习近平同志为核心的党中央坚强领导下，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直接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领导下，在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监督支持下，坚持以习近平新时代中国特色社会主义思想为指导，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贯彻党的二十大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和二十届二中全会精神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、中央经济工作会议、全国及全市财政工作会议精神，坚持稳中求进工作总基调，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统筹发展和安全，努力克服各种不利因素的影响，充分发挥财政职能作用，民生保障有力有效，全镇财政运行平稳，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届人大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次会议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确定的目标任务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（一）一般公共预算预计执行情况</w:t>
      </w:r>
    </w:p>
    <w:p>
      <w:pPr>
        <w:widowControl w:val="0"/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.一般公共预算收支预计执行情况</w:t>
      </w:r>
    </w:p>
    <w:p>
      <w:pPr>
        <w:widowControl w:val="0"/>
        <w:numPr>
          <w:ilvl w:val="0"/>
          <w:numId w:val="0"/>
        </w:numPr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全镇公共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财政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预算收入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14671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比上年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减少6.8%，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其中：财政收入完成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5248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区下达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专项资金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4902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财政体制补助及转移支付资金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4521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主要用于兜牢“三保”</w:t>
      </w:r>
      <w:r>
        <w:rPr>
          <w:rStyle w:val="10"/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footnoteReference w:id="0"/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底线，提升公共服务水平，完成基层党组织服务群众工作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。</w:t>
      </w:r>
    </w:p>
    <w:p>
      <w:pPr>
        <w:widowControl w:val="0"/>
        <w:numPr>
          <w:ilvl w:val="0"/>
          <w:numId w:val="0"/>
        </w:numPr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全镇公共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财政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预算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支出14671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其中：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一般公共预算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支出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13693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比上年增长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13.8%。完成调整预算的154%。上解上级支出510万元，专项政策性结转下年使用468万元，镇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一般公共预算收支平衡。</w:t>
      </w:r>
    </w:p>
    <w:p>
      <w:pPr>
        <w:widowControl w:val="0"/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级主要收入科目预计执行情况</w:t>
      </w:r>
    </w:p>
    <w:p>
      <w:pPr>
        <w:widowControl w:val="0"/>
        <w:numPr>
          <w:ilvl w:val="0"/>
          <w:numId w:val="0"/>
        </w:numPr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（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）全镇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税收形成财政收</w:t>
      </w:r>
      <w:r>
        <w:rPr>
          <w:rFonts w:hint="eastAsia" w:asci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  <w:t>入</w:t>
      </w:r>
      <w:r>
        <w:rPr>
          <w:rFonts w:hint="eastAsia" w:asci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/>
        </w:rPr>
        <w:t>3571</w:t>
      </w:r>
      <w:r>
        <w:rPr>
          <w:rFonts w:hint="eastAsia" w:asci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具体情况如下：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增值税收入完成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1324.7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完成预算的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，占镇财政总收入的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25%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。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企业所得税收入完成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277.5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完成预算的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，占镇财政总收入的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5.3%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。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 xml:space="preserve"> 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房产税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收入完成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894.9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完成预算的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，占镇财政总收入的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17%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。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土地增值税收入完成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666.5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完成预算的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，占镇财政总收入的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12.7%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。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个人所得税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收入完成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95.7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万元；城镇土地使用税收入完成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211.05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万元；环境保护税收入完成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100.5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万元，以上三项预计收入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407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完成预算的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，占镇财政总收入的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7.8%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。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（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2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）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非税收入完成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1677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，占镇财政总收入的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32%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。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主要是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国有资源有偿使用和罚没收入的增加。</w:t>
      </w:r>
    </w:p>
    <w:p>
      <w:pPr>
        <w:widowControl w:val="0"/>
        <w:numPr>
          <w:ilvl w:val="0"/>
          <w:numId w:val="0"/>
        </w:numPr>
        <w:pBdr>
          <w:bottom w:val="single" w:color="FFFFFF" w:sz="4" w:space="11"/>
        </w:pBdr>
        <w:wordWrap/>
        <w:adjustRightInd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级主要支出科目预计执行情况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一般公共服务支出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预计完成6225.3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，完成调整预算的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113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主要用于机关运维、各类人员工资以及代扣代缴匹配部分等。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869.5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%。主要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落实基本养老、基本医疗保险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等政策，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保障群众社保待遇水平稳步提高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城乡劳动力和残疾人就业，提高社会保障救助能力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卫生健康支出预计完成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309.6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%。主要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用于献血补助及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服务保障力度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农林水支出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3646.8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万元，完成调整预算的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。主要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用于高标准履行保水政治任务，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加快推进美丽乡村建设，持续壮大村级集体经济，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加快农业农村现代化建设步伐，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促进农业高质高效、乡村宜居宜业、农民富裕富足。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城乡社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1761.8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%。主要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深入推进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垃圾分类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等环境综合治理工作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，打造宜居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美丽乡镇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节能环保支出预计完成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295.5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改善大气、水、土壤环境质量，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实施煤改电和生态环境治理项目，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打好污染防治攻坚战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570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。主要用于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深入推动旅游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保障“三馆”免费开放，不断丰富群众文化生活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公共安全、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灾害防治及应急管理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支出预计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健全应急管理体系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做好应急设施升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级改造、安全隐患排查等，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提升安全生产和抗灾救灾能力，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eastAsia="zh-CN"/>
        </w:rPr>
        <w:t>进一步提高群众安全感。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）财政工作取得成效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坚持稳中求进的一个总基调，把握财政收支的两条基本线，通过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“制度+技术+服务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+管理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四维发力，打造“发展财政、民生财政、阳光财政、创新财政、效益财政”的五好财政，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推动经济社会高质量发展取得新进展新成效。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聚焦财源建设，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优化营商环境和服务。</w:t>
      </w:r>
    </w:p>
    <w:p>
      <w:pPr>
        <w:widowControl w:val="0"/>
        <w:numPr>
          <w:ilvl w:val="0"/>
          <w:numId w:val="0"/>
        </w:numPr>
        <w:pBdr>
          <w:bottom w:val="single" w:color="FFFFFF" w:sz="4" w:space="11"/>
        </w:pBdr>
        <w:wordWrap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强化财政收入组织。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利用大数据系统加强对企业的动态监测，强化税源基本面的分析研究，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为企业组收提供依据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开拓跨区税源登记、缴纳房产税等新的组收方式，初见成效。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积极组织非税收入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依法合规组织国有资源（资产）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有偿使用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收入。</w:t>
      </w:r>
    </w:p>
    <w:p>
      <w:pPr>
        <w:widowControl w:val="0"/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聚焦提质增效，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强化财政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资源统筹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“知方向”强化财政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资源统筹。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将“三保”支出放在财政支出保障的第一要位，切实兜牢三保底线。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全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镇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一般公共预算支出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预计完成13693万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元，增长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14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%，完成调整预算的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154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民生支出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ootnoteReference w:id="1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7453万元，增长2.9%，占一般公共预算支出的54%。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“知艰辛”始终坚持勤俭持家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将过“紧日子”作为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管理长期坚持的基本原则，大力压减非重点、非刚性支出，严控一般性支出，将有限的资金用在刀刃上。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3.聚焦民生福祉，创建生态宜居新环境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提升社会保障水平。落实保险提标政策，足额保障养老保险和医疗保险。拨付各项就业补助资金1526万元，用于公益性就业补贴、增加公共服务供给等。投入农林水资金3647万元，持续推进美丽乡村及“十百千万”工程建设；改善人居环境，助力全国文明城区创建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，积极作为、主动应变，强化财政资金资源统筹，在“紧平衡”下实现了财政收支平稳运行，有力保障了全镇大事要事。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但是依然面临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一些困难和问题：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一是财政收入增长不确定性较大。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房地产企业支撑作用减弱，财源贡献稳定性较差，财政可持续增收的压力较大。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是财政收支“紧平衡”矛盾持续加剧。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各领域对财政资金的需求大幅增加，特别是民生等重点领域支出压力持续加大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是资金使用效益需进一步提升。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较慢、资金使用效率不高等问题。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针对这些问题，我们将积极采取有力措施逐步予以解决。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二、202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年预算（草案）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2024年是深入实施“十四五”规划的攻坚之年，要坚持稳中求进、以进促稳、先立后破，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认真做好财政预算编制工作，为经济社会发展提供坚实财力保障。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（一）202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年财政收支形势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总体来看，我镇发展面临的有利条件强于不利因素，经济回升向好。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引进企业数量、财源储备项目等逐步增多，招商引资成果不断巩固。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但同时，实体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企业发展质量不高、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房地产清算项目减少、企业有税率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低等因素，不利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财政收入持续稳定增长；“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等刚性支出需求逐年增加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，进一步加大财政保障压力。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（二）202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年预算编制工作的指导思想和原则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指导思想：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以习近平新时代中国特色社会主义思想为指导，全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贯彻落实党的二十大、经济工作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及财政工作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会议精神，坚持稳中求进工作总基调,完整、准确、全面贯彻新发展理念，牢记习近平总书记重要回信嘱托，坚决落实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委、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镇党委、镇政府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各项决策部署，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加强财政资金统筹，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立足成本绩效管理，提高财政资源配置效率,推动经济实现质的有效提升和量的合理增长。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编制原则：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</w:rPr>
        <w:t>实事求是，科学编制；突出重点，优化结构；厉行节约，注重统筹；严控风险，持续发展；规范透明，严肃纪律。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（三）202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年预算收支安排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1.一般公共预算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收支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安排情况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镇级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收支安排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一般公共预算收入预期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8269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%；加上级补助收入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3353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合计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11622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一般公共预算支出安排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11622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收支平衡。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“三公”经费支出预算安排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36.77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万元，主要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公务用车购置及运行维护费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认真执行中央八项规定实施细则，严格控制行政成本，继续压缩“三公”经费支出。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级支出政策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及保障重点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年，我们将进一步优化支出结构，坚持有保有压，严格落实政府过“紧日子”要求，贯彻零基预算理念，统筹资金优先保障“三保”支出。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体情况如下：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一般公共服务支出安排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7098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万元，主要用于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保障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机关运行，保工资、保运转。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农林水支出安排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1595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万元，主要用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高标准履行保水政治责任；平原造林、山区生态公益林等项目，提升林业资源保护质量；支持农业农村绿色产业发展，加快美丽乡村建设，推进乡村振兴事业发展。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城乡社区支出安排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1147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主要用于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公益事业、基础设施建设维护、防火、防汛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等城乡事务支出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资源勘探工业信息等支出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800万元，主要用于支持企业发展，进一步释放企业发展活力。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社会保障和就业支出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安排556万元，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落实基本养老、基本医疗保险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等政策。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卫生健康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支出安排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410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万元，主要用于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医疗保险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其他卫生健康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支出。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文化旅游体育与传媒支出安排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16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万元，主要是繁荣发展文化事业和文化产业，支持开展主题宣传、举办文化活动。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三、强化财政运行管理，确保实现 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 xml:space="preserve"> 年预算目标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）坚持挖潜增收，高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质量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推进收入稳步增长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一是不断强化财源建设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加大招商引资力度，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落实全员招商工作机制，充分调动组收积极性。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持续挖掘新的收入增长点，实现财源存量和增量质的有效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和量的稳步增长。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二是积极做好收入研判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定期对全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重点税源进行梳理，找准收入支撑点，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动态跟踪重点税源企业、重点税种、重点产业情况，做好分析预测。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）坚持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有保有压</w:t>
      </w:r>
      <w:r>
        <w:rPr>
          <w:rFonts w:hint="eastAsia" w:ascii="楷体_GB2312" w:hAnsi="楷体_GB2312" w:eastAsia="楷体_GB2312" w:cs="楷体_GB2312"/>
          <w:sz w:val="32"/>
          <w:szCs w:val="32"/>
        </w:rPr>
        <w:t>，高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水平</w:t>
      </w:r>
      <w:r>
        <w:rPr>
          <w:rFonts w:hint="eastAsia" w:ascii="楷体_GB2312" w:hAnsi="楷体_GB2312" w:eastAsia="楷体_GB2312" w:cs="楷体_GB2312"/>
          <w:sz w:val="32"/>
          <w:szCs w:val="32"/>
        </w:rPr>
        <w:t>落实重点民生保障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hint="default"/>
          <w:color w:val="auto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不断优化支出结构。</w:t>
      </w:r>
      <w:r>
        <w:rPr>
          <w:rFonts w:hint="eastAsia" w:ascii="仿宋_GB2312" w:hAnsi="仿宋_GB2312" w:eastAsia="仿宋_GB2312" w:cs="仿宋_GB2312"/>
          <w:sz w:val="32"/>
          <w:szCs w:val="32"/>
        </w:rPr>
        <w:t>牢固树立过“紧日子”思想，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坚持“三保”支出在财政支出的优先顺序，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兜牢“三保”底线，持续增进民生福祉，支持全镇各项事业发展，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做到尽力而为、量力而行。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加强资金资源统筹。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强化增量与存量资源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，增强对重大项目、中心任务的财力保障能力。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三是积极争取上级资金。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认真研究上级资金扶持方向，找准与我镇发展的结合点，积极争取上级资金支持。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四是提高财政资金使用绩效。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加快资金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支出进度，强化存量资金盘活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切实提高资金使用绩效。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）坚持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底线思维</w:t>
      </w:r>
      <w:r>
        <w:rPr>
          <w:rFonts w:hint="eastAsia" w:ascii="楷体_GB2312" w:hAnsi="楷体_GB2312" w:eastAsia="楷体_GB2312" w:cs="楷体_GB2312"/>
          <w:sz w:val="32"/>
          <w:szCs w:val="32"/>
        </w:rPr>
        <w:t>，高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标准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防范化解财政风险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一是加强源头管控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。统筹财政发展和安全，坚持“资金跟着项目走”原则，突出支持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重点领域项目。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是加强财政监督管理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自觉接受人大、审计监督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严格执行镇人大审查批准的预算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严肃财经纪律，全面规范收支行为，保障财政资金安全规范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栉风沐雨秉初心，砥砺奋进续华章。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各位代表，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2024年任务更加艰巨而繁重，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意义重大</w:t>
      </w:r>
      <w:r>
        <w:rPr>
          <w:rFonts w:hint="eastAsia" w:ascii="仿宋_GB2312" w:hAnsi="仿宋_GB2312" w:eastAsia="仿宋_GB2312" w:cs="仿宋_GB2312"/>
          <w:sz w:val="32"/>
          <w:szCs w:val="32"/>
        </w:rPr>
        <w:t>、责任重大！我们要在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镇党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的坚强领导下，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人大的监督指导下，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坚持以习近平新时代中国特色社会主义思想为指导，对标“无我”情怀，展现“有我”担当，拿出“忘我”干劲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奋力</w:t>
      </w:r>
      <w:r>
        <w:rPr>
          <w:rFonts w:hint="eastAsia" w:ascii="仿宋_GB2312" w:hAnsi="仿宋_GB2312" w:eastAsia="仿宋_GB2312" w:cs="仿宋_GB2312"/>
          <w:sz w:val="32"/>
          <w:szCs w:val="32"/>
        </w:rPr>
        <w:t>谱写中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国式现代化新篇章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为建设美丽北京作出更大更新贡献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！</w:t>
      </w:r>
    </w:p>
    <w:p/>
    <w:sectPr>
      <w:headerReference r:id="rId4" w:type="default"/>
      <w:footerReference r:id="rId5" w:type="default"/>
      <w:pgSz w:w="11906" w:h="16838"/>
      <w:pgMar w:top="2098" w:right="1587" w:bottom="1984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Gr/N9u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  <w:snapToGrid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ootnoteRef/>
      </w:r>
      <w:r>
        <w:rPr>
          <w:rFonts w:hint="eastAsia"/>
          <w:lang w:val="en-US" w:eastAsia="zh-CN"/>
        </w:rPr>
        <w:t xml:space="preserve"> “三保”是指保工资、保运转、保基本民生</w:t>
      </w:r>
    </w:p>
  </w:footnote>
  <w:footnote w:id="1">
    <w:p>
      <w:pPr>
        <w:pStyle w:val="6"/>
        <w:snapToGrid w:val="0"/>
        <w:rPr>
          <w:rFonts w:hint="eastAsia" w:eastAsia="宋体"/>
          <w:lang w:val="en-US" w:eastAsia="zh-CN"/>
        </w:rPr>
      </w:pPr>
      <w:r>
        <w:rPr>
          <w:rStyle w:val="10"/>
        </w:rPr>
        <w:footnoteRef/>
      </w:r>
      <w:r>
        <w:t xml:space="preserve"> </w:t>
      </w:r>
      <w:r>
        <w:rPr>
          <w:rFonts w:hint="eastAsia"/>
          <w:lang w:val="en-US" w:eastAsia="zh-CN"/>
        </w:rPr>
        <w:t>民生支出指财政支出中用于保障和改善民生方面的支出。包括教育、科学技术、文化体育与传媒、社会保障和就业、医疗卫生、节能环保、城乡社区事务、农林水事务、交通运输、商业服务业等事务、国土海洋气象等事务、住房保障支出、粮油物资储备事务等支出科目的总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E07EA"/>
    <w:rsid w:val="014E1319"/>
    <w:rsid w:val="044D404D"/>
    <w:rsid w:val="057C32A8"/>
    <w:rsid w:val="06AA2146"/>
    <w:rsid w:val="0759508E"/>
    <w:rsid w:val="082129A2"/>
    <w:rsid w:val="083C18D5"/>
    <w:rsid w:val="0C48407E"/>
    <w:rsid w:val="0C5164CC"/>
    <w:rsid w:val="0E3E1B4A"/>
    <w:rsid w:val="0FCA5015"/>
    <w:rsid w:val="104F1C12"/>
    <w:rsid w:val="165E68DB"/>
    <w:rsid w:val="1E947B53"/>
    <w:rsid w:val="201E7A2D"/>
    <w:rsid w:val="215465E0"/>
    <w:rsid w:val="235E05CE"/>
    <w:rsid w:val="23F25EC0"/>
    <w:rsid w:val="29B51981"/>
    <w:rsid w:val="2A272E7E"/>
    <w:rsid w:val="2CCA7668"/>
    <w:rsid w:val="2E925CBA"/>
    <w:rsid w:val="300D7018"/>
    <w:rsid w:val="3300797C"/>
    <w:rsid w:val="34D65D1A"/>
    <w:rsid w:val="3A474BBE"/>
    <w:rsid w:val="3F7211C0"/>
    <w:rsid w:val="44A129C1"/>
    <w:rsid w:val="4514799C"/>
    <w:rsid w:val="47966A38"/>
    <w:rsid w:val="49B36307"/>
    <w:rsid w:val="4C011649"/>
    <w:rsid w:val="4DDE0667"/>
    <w:rsid w:val="4FAE07EA"/>
    <w:rsid w:val="537375CB"/>
    <w:rsid w:val="64444DC7"/>
    <w:rsid w:val="65F338EB"/>
    <w:rsid w:val="69C8317A"/>
    <w:rsid w:val="6D7235A8"/>
    <w:rsid w:val="709410EC"/>
    <w:rsid w:val="72D50957"/>
    <w:rsid w:val="73C50535"/>
    <w:rsid w:val="73FC7114"/>
    <w:rsid w:val="763B4F92"/>
    <w:rsid w:val="7DC45843"/>
    <w:rsid w:val="7F210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rFonts w:ascii="宋体" w:hAnsi="宋体" w:cs="Courier New"/>
      <w:sz w:val="32"/>
      <w:szCs w:val="32"/>
    </w:rPr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firstLine="0" w:firstLineChars="0"/>
      <w:jc w:val="left"/>
    </w:p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8">
    <w:name w:val="Char"/>
    <w:basedOn w:val="1"/>
    <w:link w:val="7"/>
    <w:qFormat/>
    <w:uiPriority w:val="0"/>
    <w:rPr>
      <w:rFonts w:ascii="宋体" w:hAnsi="宋体" w:cs="Courier New"/>
      <w:sz w:val="32"/>
      <w:szCs w:val="32"/>
    </w:rPr>
  </w:style>
  <w:style w:type="character" w:styleId="9">
    <w:name w:val="page number"/>
    <w:basedOn w:val="7"/>
    <w:qFormat/>
    <w:uiPriority w:val="0"/>
  </w:style>
  <w:style w:type="character" w:styleId="10">
    <w:name w:val="footnote reference"/>
    <w:basedOn w:val="7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2024-01-10T07:29:00Z</dcterms:created>
  <dc:creator>杜何欣</dc:creator>
  <cp:lastModifiedBy>杜何欣</cp:lastModifiedBy>
  <dcterms:modified xsi:type="dcterms:W3CDTF">2024-01-23T04:17:57Z</dcterms:modified>
  <dc:title>北京市密云区溪翁庄镇人民政府关于2023年预算执行情况和2024年预算（草案）的报告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