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北京市密云区太师屯镇人民政府</w:t>
      </w:r>
    </w:p>
    <w:p>
      <w:pPr>
        <w:spacing w:line="560" w:lineRule="exact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关于</w:t>
      </w:r>
      <w:r>
        <w:rPr>
          <w:rFonts w:ascii="黑体" w:hAnsi="黑体" w:eastAsia="黑体" w:cs="黑体"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年预算执行情况和</w:t>
      </w:r>
      <w:r>
        <w:rPr>
          <w:rFonts w:ascii="黑体" w:hAnsi="黑体" w:eastAsia="黑体" w:cs="黑体"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年预算</w:t>
      </w:r>
    </w:p>
    <w:p>
      <w:pPr>
        <w:spacing w:line="560" w:lineRule="exact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（草案）的报告</w:t>
      </w:r>
    </w:p>
    <w:p>
      <w:pPr>
        <w:spacing w:line="560" w:lineRule="exact"/>
        <w:jc w:val="center"/>
        <w:textAlignment w:val="baseline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ascii="楷体_GB2312" w:hAnsi="华文中宋" w:eastAsia="楷体_GB2312" w:cs="楷体_GB2312"/>
          <w:color w:val="000000"/>
          <w:sz w:val="32"/>
          <w:szCs w:val="32"/>
        </w:rPr>
        <w:t>--202</w:t>
      </w:r>
      <w:r>
        <w:rPr>
          <w:rFonts w:hint="eastAsia" w:ascii="楷体_GB2312" w:hAnsi="华文中宋" w:eastAsia="楷体_GB2312" w:cs="楷体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华文中宋" w:eastAsia="楷体_GB2312" w:cs="楷体_GB2312"/>
          <w:color w:val="000000"/>
          <w:sz w:val="32"/>
          <w:szCs w:val="32"/>
        </w:rPr>
        <w:t>年1月</w:t>
      </w:r>
      <w:r>
        <w:rPr>
          <w:rFonts w:hint="eastAsia" w:ascii="楷体_GB2312" w:hAnsi="华文中宋" w:eastAsia="楷体_GB2312" w:cs="楷体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楷体_GB2312" w:hAnsi="华文中宋" w:eastAsia="楷体_GB2312" w:cs="楷体_GB2312"/>
          <w:color w:val="000000"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在太师屯镇第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届人民代表大会</w:t>
      </w:r>
    </w:p>
    <w:p>
      <w:pPr>
        <w:spacing w:line="560" w:lineRule="exact"/>
        <w:jc w:val="center"/>
        <w:textAlignment w:val="baseline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次会议上</w:t>
      </w:r>
    </w:p>
    <w:p>
      <w:pPr>
        <w:spacing w:line="560" w:lineRule="exact"/>
        <w:jc w:val="center"/>
        <w:textAlignment w:val="baseline"/>
        <w:rPr>
          <w:rFonts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财政科科长   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刁兴凯</w:t>
      </w:r>
    </w:p>
    <w:p>
      <w:pPr>
        <w:spacing w:line="560" w:lineRule="exact"/>
        <w:jc w:val="center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Bdr>
          <w:bottom w:val="single" w:color="FFFFFF" w:sz="4" w:space="11"/>
        </w:pBdr>
        <w:snapToGrid w:val="0"/>
        <w:spacing w:line="560" w:lineRule="exact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各位代表：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受镇人民政府委托，现将北京市密云区太师屯镇202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年预算执行情况和202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年预算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草案的报告提请镇第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届人民代表大会第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次会议审议。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</w:t>
      </w:r>
      <w:r>
        <w:rPr>
          <w:rFonts w:ascii="黑体" w:hAnsi="黑体" w:eastAsia="黑体" w:cs="仿宋_GB2312"/>
          <w:color w:val="000000"/>
          <w:sz w:val="32"/>
          <w:szCs w:val="32"/>
        </w:rPr>
        <w:t>202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年预算执行情况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是全面贯彻落实党的二十大的开局之年。今年以来，面对各项艰巨繁重的改革发展稳定任务，全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上下在以习近平同志为核心的党中央坚强领导下，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监督支持下，坚持以习近平新时代中国特色社会主义思想为指导，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贯彻党的二十大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和二十届二中全会精神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，坚持稳中求进工作总基调，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坚持统筹发展和安全，努力克服各种不利因素的影响，充分发挥财政职能作用，民生保障有力有效，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全镇财政收支稳定增长，财政预算执行情况总体良好。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（一）一般公共预算收支情况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全镇一般公共预算收入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25479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.8%，其中：财政收入完成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3929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万元，财政体制补助及转移支付资金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8209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万元，专项资金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13341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万元。全镇一般公共预算支出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25479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.8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，完成预算的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272.4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。镇</w:t>
      </w:r>
      <w:r>
        <w:rPr>
          <w:rFonts w:hint="eastAsia" w:ascii="仿宋_GB2312" w:hAnsi="仿宋_GB2312" w:eastAsia="仿宋_GB2312" w:cs="仿宋_GB2312"/>
          <w:sz w:val="32"/>
          <w:szCs w:val="32"/>
        </w:rPr>
        <w:t>级一般公共预算收支平衡。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3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一般公共预算收入执行情况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回顾过去一年,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镇克服重重困难，奋力完成财政收入任务，一般公共预算支出规模发生变化。根据《预算法》和《北京市预算审查监督条例》的规定，我们报请镇人大审查批准了镇级一般公共预算支出调整方案。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全镇调整预算后，202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年财政收入为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3929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完成调整预算的100%，比上年3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764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元增加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万元，增幅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4.4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%。其中：税收收入完成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2647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万元，占比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67.4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%；非税收收入完成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1282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万元，占比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32.6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3" w:firstLineChars="200"/>
        <w:textAlignment w:val="baseline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2、一般公共预算支出执行情况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在202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年的财政工作中，我们全面贯彻执行“量入为出、收支平衡、适度从紧”的财政政策，推进财政工作有序进行。202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年财政支出完成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22960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。重点支持了创建“基本无违建区”、垃圾分类、环境治理、疏整促专项提升、机关政权建设等方面的工作。紧紧围绕重点工作保证支出，促进全镇环境大幅改善、城市功能更加完善、经济良性发展、社会有序稳定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3、主要支出科目执行情况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一般公共服务支出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7763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33.8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%，主要用于机关工作人员的工资福利支出、机关运转经费支出及村两委干部报酬支出等。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文化旅游和传媒支出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1024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%，主要用于我镇文化活动、三馆免费支出、旅游文化设施提升等方面的支出。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社保和就业保障支出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467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%，主要用于我单位机关工作人员养老保险、职业年金的缴纳、离退休人员的离退休费以及低保五保人员的匹配资金。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卫生健康支出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%，主要用于我单位机关人员的医疗保险的缴纳、我镇镇域内独生子女奖扶款、计生专干补贴等计生专项支出。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节能环保支出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512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%，主要用于煤改电线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杆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补贴支出。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hint="default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公共安全支出20万元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，占镇财政总支出的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0.09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违规电动三四轮淘汰处置奖励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支出。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城乡社区事务支出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1142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%，主要用于机关政权建设支出、公益岗就业人员匹配资金以及其他临时性人员的工资福利支出。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农林水支出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11356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49.5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%，主要用于美丽乡村建设支出、村级公益事业金支出、村级电力设施维护资金支出、污水管网方面的支出等。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灾害防治及应急管理支出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559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万元，占镇财政总支出的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%，主要用于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地质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灾害救助支出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玉米良种更换、农产品质量安全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及兼职安全员岗位补贴。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FF"/>
          <w:sz w:val="32"/>
          <w:szCs w:val="32"/>
        </w:rPr>
      </w:pPr>
    </w:p>
    <w:p>
      <w:pPr>
        <w:pBdr>
          <w:bottom w:val="single" w:color="FFFFFF" w:sz="4" w:space="11"/>
        </w:pBdr>
        <w:snapToGrid w:val="0"/>
        <w:spacing w:line="560" w:lineRule="exact"/>
        <w:ind w:firstLine="643" w:firstLineChars="200"/>
        <w:textAlignment w:val="baseline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（二）202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年落实财税政策和财政重点工作情况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年，财政部门全面贯彻《预算法》和《预算法实施条例》，充分发挥财政职能作用，坚持过“紧日子”，积极培育财源，优化支出结构，强化绩效管理，不断提高资金使用效益。</w:t>
      </w:r>
    </w:p>
    <w:p>
      <w:pPr>
        <w:pBdr>
          <w:bottom w:val="single" w:color="FFFFFF" w:sz="4" w:space="11"/>
        </w:pBdr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需要说明的是，上述数据是根据预算执行情况初步汇总的，在财政决算编成后，还会有所变化。因部分项目据实列支、预备费按照具体支出事项分别列支到相应科目等因素影响，各科目执行数据与预算存在一定差异。</w:t>
      </w:r>
    </w:p>
    <w:p>
      <w:pPr>
        <w:spacing w:line="560" w:lineRule="exact"/>
        <w:ind w:firstLine="640"/>
        <w:rPr>
          <w:rFonts w:asci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各位代表，面对经济下行和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税收政策不完善等影响</w:t>
      </w:r>
      <w:r>
        <w:rPr>
          <w:rFonts w:hint="eastAsia" w:ascii="仿宋_GB2312" w:hAnsi="宋体" w:eastAsia="仿宋_GB2312"/>
          <w:sz w:val="32"/>
          <w:szCs w:val="32"/>
        </w:rPr>
        <w:t>，在镇党委政府的坚强领导下，在镇人大的监督和指导下，财政工作取得了一定成绩，但也必须清醒地认识到，当前财政工作依然面临着困难与挑战：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</w:rPr>
        <w:t>财源基础相对薄弱，受经济波动、政策调整等因素影响较大，财政收入持续平稳增长的难度进一步加大；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政策刚性增支需求不断增加，财政支出压力较大，财政收支平衡难度进一步加大；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宋体" w:eastAsia="仿宋_GB2312"/>
          <w:sz w:val="32"/>
          <w:szCs w:val="32"/>
        </w:rPr>
        <w:t>财政收支处于紧平衡状态，我单位“过紧日子”的思想还需进一步加强。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hAnsi="等线" w:eastAsia="仿宋_GB2312" w:cs="仿宋_GB2312"/>
          <w:bCs/>
          <w:color w:val="auto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</w:t>
      </w:r>
      <w:r>
        <w:rPr>
          <w:rFonts w:ascii="黑体" w:hAnsi="黑体" w:eastAsia="黑体" w:cs="仿宋_GB2312"/>
          <w:color w:val="auto"/>
          <w:sz w:val="32"/>
          <w:szCs w:val="32"/>
        </w:rPr>
        <w:t>202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年预算（草案）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3" w:firstLineChars="200"/>
        <w:textAlignment w:val="baseline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年收支预算总体安排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年，全镇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一般公共预算总财力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8782</w:t>
      </w:r>
      <w:r>
        <w:rPr>
          <w:rFonts w:hint="eastAsia" w:ascii="仿宋_GB2312" w:hAnsi="宋体" w:eastAsia="仿宋_GB2312"/>
          <w:sz w:val="32"/>
          <w:szCs w:val="32"/>
        </w:rPr>
        <w:t>万元，全镇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一般公共预算支出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8782</w:t>
      </w:r>
      <w:r>
        <w:rPr>
          <w:rFonts w:hint="eastAsia" w:ascii="仿宋_GB2312" w:hAnsi="宋体" w:eastAsia="仿宋_GB2312"/>
          <w:sz w:val="32"/>
          <w:szCs w:val="32"/>
        </w:rPr>
        <w:t>万元，收支平衡。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3" w:firstLineChars="200"/>
        <w:textAlignment w:val="baseline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1、202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年一般公共预算收入预算安排情况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黑体" w:hAnsi="Courier New" w:eastAsia="黑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全镇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财政收入预期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4121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比上年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增长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具体为：</w:t>
      </w:r>
      <w:r>
        <w:rPr>
          <w:rFonts w:hint="eastAsia" w:ascii="仿宋_GB2312" w:eastAsia="仿宋_GB2312"/>
          <w:sz w:val="32"/>
          <w:szCs w:val="32"/>
          <w:highlight w:val="none"/>
        </w:rPr>
        <w:t>增值税收入预算为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仿宋_GB2312" w:eastAsia="仿宋_GB2312"/>
          <w:sz w:val="32"/>
          <w:szCs w:val="32"/>
          <w:highlight w:val="none"/>
        </w:rPr>
        <w:t>万元，企业所得税收入预算为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万元，其他税收入预算为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2361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黑体" w:hAnsi="Courier New" w:eastAsia="黑体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年全镇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</w:rPr>
        <w:t>总财力为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8782</w:t>
      </w:r>
      <w:r>
        <w:rPr>
          <w:rFonts w:hint="eastAsia" w:ascii="仿宋_GB2312" w:eastAsia="仿宋_GB2312"/>
          <w:sz w:val="32"/>
          <w:szCs w:val="32"/>
        </w:rPr>
        <w:t>万元，其中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</w:rPr>
        <w:t>收入为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4121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比上年增长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.9%;</w:t>
      </w:r>
      <w:r>
        <w:rPr>
          <w:rFonts w:hint="eastAsia" w:ascii="仿宋_GB2312" w:eastAsia="仿宋_GB2312"/>
          <w:sz w:val="32"/>
          <w:szCs w:val="32"/>
        </w:rPr>
        <w:t>财政体制补助及提前下达转移支付为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4661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</w:rPr>
        <w:t>,比上年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减少13.5</w:t>
      </w:r>
      <w:r>
        <w:rPr>
          <w:rFonts w:hint="eastAsia" w:ascii="仿宋_GB2312" w:hAnsi="宋体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3" w:firstLineChars="200"/>
        <w:textAlignment w:val="baseline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2、202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年一般公共预算支出预算安排情况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在镇级财力紧张的情况下，进一步优化支出结构，坚持有保有压，严格落实政府过“紧日子”要求，贯彻“零基预算”理念，统筹资金优先保障“三保”支出。</w:t>
      </w:r>
      <w:r>
        <w:rPr>
          <w:rFonts w:hint="eastAsia" w:ascii="仿宋_GB2312" w:eastAsia="仿宋_GB2312"/>
          <w:sz w:val="32"/>
          <w:szCs w:val="32"/>
        </w:rPr>
        <w:t>全镇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一般公共预算支出安排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8782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减少6.1</w:t>
      </w:r>
      <w:r>
        <w:rPr>
          <w:rFonts w:asci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。主要支出科目安排情况如下：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一般公共服务支出安排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3963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主要用于保障机关运行，保工资、保运转以及村干部工资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组织事务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支出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文化旅游体育与传媒支出安排32万元，主要是用于开展主题宣传、举办文化活动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以及文化设备运维等支出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社保和就业保障支出安排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1430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万元，主要用于离退休人员支出和社会保障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支出。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城乡社区支出安排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547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主要用于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开展社区公益事业、</w:t>
      </w:r>
      <w:r>
        <w:rPr>
          <w:rFonts w:hint="eastAsia" w:ascii="仿宋_GB2312" w:eastAsia="仿宋_GB2312"/>
          <w:color w:val="auto"/>
          <w:sz w:val="32"/>
          <w:szCs w:val="32"/>
        </w:rPr>
        <w:t>低保五保人员匹配资金、公益岗就业人员匹配资金等支出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农林水支出安排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2730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万元，主要用于村级电力设施维护、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正常离任村党组织书记补贴、基层党组织服务群众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等支出。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卫生健康支出安排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万元，主要用于需镇级资金承担的计生事务支出等。</w:t>
      </w: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FFFFFF" w:sz="4" w:space="11"/>
        </w:pBd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三、切实做好</w:t>
      </w:r>
      <w:r>
        <w:rPr>
          <w:rFonts w:ascii="黑体" w:hAnsi="黑体" w:eastAsia="黑体" w:cs="仿宋_GB2312"/>
          <w:color w:val="000000"/>
          <w:sz w:val="32"/>
          <w:szCs w:val="32"/>
        </w:rPr>
        <w:t>20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2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年财政管理和预算执行工作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（一）抓好“开源”，在筑牢增收基础上积极作为，提高经济发展质量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稳存量。做好企业核查和清退挽留，精准送上“服务包”，提高企业纳税贡献。引增量。用好“五新”政策，瞄准高精尖方向，聚焦“头部经济”，开展靶向招商，培育新兴增长点。盯变量。加强大数据分析比对，关注重点区域、重点企业、重点行业税源变动情况，及时发现并处理可疑风险点。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（二）抓好“节流”，在加强财政调控上积极作为，优化财政支出结构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对严峻的收支形势，牢固树立“过紧日子”思想，强化成本控制理念，坚持以收定支、量入为出，优化财政资金使用结构和方向。继续从严管控非紧要开支，压减一般性支出和非重点项目支出，预算安排“三公”经费只减不增。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（三）抓好“保障”，在加强资金统筹上积极作为，增强财政综合实力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强化财政资源统筹，提高财政资源配置效率和使用效益。保障好重要民生实事、重点产业发展、重大活动任务顺利实施。</w:t>
      </w:r>
    </w:p>
    <w:p>
      <w:pPr>
        <w:pBdr>
          <w:bottom w:val="single" w:color="FFFFFF" w:sz="4" w:space="31"/>
        </w:pBdr>
        <w:adjustRightInd w:val="0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年财政工作，责任重大、任务艰巨、使命光荣！我们要在镇党委政府的坚强领导下，在镇人大监督和指导下，牢记嘱托、接续奋斗，变压力为动力，扎扎实实做好财政预算各项工作，确保明年财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政工作顺利完成。</w:t>
      </w:r>
    </w:p>
    <w:sectPr>
      <w:footerReference r:id="rId3" w:type="default"/>
      <w:pgSz w:w="11906" w:h="16838"/>
      <w:pgMar w:top="1984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5705"/>
    <w:rsid w:val="00001BBD"/>
    <w:rsid w:val="000116C7"/>
    <w:rsid w:val="0001219D"/>
    <w:rsid w:val="00013B2D"/>
    <w:rsid w:val="00015D1D"/>
    <w:rsid w:val="00024711"/>
    <w:rsid w:val="000360FF"/>
    <w:rsid w:val="00040B6C"/>
    <w:rsid w:val="00053634"/>
    <w:rsid w:val="00057C6B"/>
    <w:rsid w:val="00072770"/>
    <w:rsid w:val="0007443C"/>
    <w:rsid w:val="00075A16"/>
    <w:rsid w:val="00075E7B"/>
    <w:rsid w:val="000A0072"/>
    <w:rsid w:val="000B7A7F"/>
    <w:rsid w:val="000D2499"/>
    <w:rsid w:val="000D26E6"/>
    <w:rsid w:val="000E7DF8"/>
    <w:rsid w:val="000F2544"/>
    <w:rsid w:val="00100C43"/>
    <w:rsid w:val="00112395"/>
    <w:rsid w:val="0011302A"/>
    <w:rsid w:val="001270B2"/>
    <w:rsid w:val="00136C7F"/>
    <w:rsid w:val="00143ED5"/>
    <w:rsid w:val="00160DC8"/>
    <w:rsid w:val="00170419"/>
    <w:rsid w:val="00194303"/>
    <w:rsid w:val="00194B26"/>
    <w:rsid w:val="001973BF"/>
    <w:rsid w:val="001A4EAB"/>
    <w:rsid w:val="001E0BC2"/>
    <w:rsid w:val="001F10CA"/>
    <w:rsid w:val="00215DE7"/>
    <w:rsid w:val="002328FA"/>
    <w:rsid w:val="002435AE"/>
    <w:rsid w:val="002458A0"/>
    <w:rsid w:val="00266C73"/>
    <w:rsid w:val="0027049D"/>
    <w:rsid w:val="002749F3"/>
    <w:rsid w:val="00282ADA"/>
    <w:rsid w:val="00287186"/>
    <w:rsid w:val="00293969"/>
    <w:rsid w:val="002A5985"/>
    <w:rsid w:val="002B2F4B"/>
    <w:rsid w:val="002B4450"/>
    <w:rsid w:val="002C3221"/>
    <w:rsid w:val="002F632A"/>
    <w:rsid w:val="00315326"/>
    <w:rsid w:val="003217DE"/>
    <w:rsid w:val="003555AE"/>
    <w:rsid w:val="0036289C"/>
    <w:rsid w:val="0037660A"/>
    <w:rsid w:val="003834C0"/>
    <w:rsid w:val="003A0505"/>
    <w:rsid w:val="003B0D46"/>
    <w:rsid w:val="003C05EA"/>
    <w:rsid w:val="003C3D73"/>
    <w:rsid w:val="003D132C"/>
    <w:rsid w:val="00416A01"/>
    <w:rsid w:val="00420FB8"/>
    <w:rsid w:val="004358DA"/>
    <w:rsid w:val="004400FF"/>
    <w:rsid w:val="00461039"/>
    <w:rsid w:val="00464D15"/>
    <w:rsid w:val="004B212B"/>
    <w:rsid w:val="004B2998"/>
    <w:rsid w:val="004B6E48"/>
    <w:rsid w:val="004C3505"/>
    <w:rsid w:val="004C4F7A"/>
    <w:rsid w:val="004E5503"/>
    <w:rsid w:val="004E7EA5"/>
    <w:rsid w:val="004F4705"/>
    <w:rsid w:val="00516AB0"/>
    <w:rsid w:val="005345C6"/>
    <w:rsid w:val="005365B1"/>
    <w:rsid w:val="00541C96"/>
    <w:rsid w:val="0055417B"/>
    <w:rsid w:val="00577DCE"/>
    <w:rsid w:val="00596A11"/>
    <w:rsid w:val="005A1F75"/>
    <w:rsid w:val="005B1E44"/>
    <w:rsid w:val="005C23C7"/>
    <w:rsid w:val="005C509C"/>
    <w:rsid w:val="005D01A3"/>
    <w:rsid w:val="005D1B32"/>
    <w:rsid w:val="005E14FA"/>
    <w:rsid w:val="00602184"/>
    <w:rsid w:val="00621071"/>
    <w:rsid w:val="00637B16"/>
    <w:rsid w:val="00652750"/>
    <w:rsid w:val="00692EAA"/>
    <w:rsid w:val="006A3A27"/>
    <w:rsid w:val="006A6244"/>
    <w:rsid w:val="006E23D5"/>
    <w:rsid w:val="00735997"/>
    <w:rsid w:val="007423FC"/>
    <w:rsid w:val="00747610"/>
    <w:rsid w:val="00750EB2"/>
    <w:rsid w:val="007576E4"/>
    <w:rsid w:val="00763F2D"/>
    <w:rsid w:val="007966F4"/>
    <w:rsid w:val="007B0C8E"/>
    <w:rsid w:val="007B4DE9"/>
    <w:rsid w:val="007E4EA2"/>
    <w:rsid w:val="007F5982"/>
    <w:rsid w:val="0080496B"/>
    <w:rsid w:val="0080657B"/>
    <w:rsid w:val="00810A5A"/>
    <w:rsid w:val="00817BA1"/>
    <w:rsid w:val="00833D52"/>
    <w:rsid w:val="00844836"/>
    <w:rsid w:val="00856736"/>
    <w:rsid w:val="00863857"/>
    <w:rsid w:val="00865CDC"/>
    <w:rsid w:val="00872C25"/>
    <w:rsid w:val="00876945"/>
    <w:rsid w:val="00892D27"/>
    <w:rsid w:val="00895D05"/>
    <w:rsid w:val="008B7A16"/>
    <w:rsid w:val="008E1A01"/>
    <w:rsid w:val="008F3E61"/>
    <w:rsid w:val="009131B3"/>
    <w:rsid w:val="00951683"/>
    <w:rsid w:val="00965705"/>
    <w:rsid w:val="009830C0"/>
    <w:rsid w:val="0099415E"/>
    <w:rsid w:val="009C582C"/>
    <w:rsid w:val="009D3BFF"/>
    <w:rsid w:val="009E00C2"/>
    <w:rsid w:val="009E2E34"/>
    <w:rsid w:val="009E6F31"/>
    <w:rsid w:val="00A052E2"/>
    <w:rsid w:val="00A10B2F"/>
    <w:rsid w:val="00A12319"/>
    <w:rsid w:val="00A1436F"/>
    <w:rsid w:val="00A9529B"/>
    <w:rsid w:val="00AB3F95"/>
    <w:rsid w:val="00AB500D"/>
    <w:rsid w:val="00AE1DCF"/>
    <w:rsid w:val="00AE221E"/>
    <w:rsid w:val="00AE2E8E"/>
    <w:rsid w:val="00B03C89"/>
    <w:rsid w:val="00B07B73"/>
    <w:rsid w:val="00B2043C"/>
    <w:rsid w:val="00B44757"/>
    <w:rsid w:val="00B465D8"/>
    <w:rsid w:val="00B51AB0"/>
    <w:rsid w:val="00B53527"/>
    <w:rsid w:val="00B55DE7"/>
    <w:rsid w:val="00B675D1"/>
    <w:rsid w:val="00B87BEC"/>
    <w:rsid w:val="00BA4630"/>
    <w:rsid w:val="00BC08A6"/>
    <w:rsid w:val="00BE23D9"/>
    <w:rsid w:val="00BE2FD2"/>
    <w:rsid w:val="00BE47CE"/>
    <w:rsid w:val="00BE6A4B"/>
    <w:rsid w:val="00BF0811"/>
    <w:rsid w:val="00BF202A"/>
    <w:rsid w:val="00BF5820"/>
    <w:rsid w:val="00C0031A"/>
    <w:rsid w:val="00C11261"/>
    <w:rsid w:val="00C22C3F"/>
    <w:rsid w:val="00C71875"/>
    <w:rsid w:val="00C73974"/>
    <w:rsid w:val="00C94DE2"/>
    <w:rsid w:val="00D155CF"/>
    <w:rsid w:val="00D1650F"/>
    <w:rsid w:val="00D16698"/>
    <w:rsid w:val="00D51E37"/>
    <w:rsid w:val="00D54513"/>
    <w:rsid w:val="00D70311"/>
    <w:rsid w:val="00D96640"/>
    <w:rsid w:val="00D97B9E"/>
    <w:rsid w:val="00DB5AD4"/>
    <w:rsid w:val="00DC310E"/>
    <w:rsid w:val="00DD0FD4"/>
    <w:rsid w:val="00DE56E6"/>
    <w:rsid w:val="00DF352B"/>
    <w:rsid w:val="00DF5B57"/>
    <w:rsid w:val="00E14DD0"/>
    <w:rsid w:val="00E225DF"/>
    <w:rsid w:val="00E409F0"/>
    <w:rsid w:val="00E4487D"/>
    <w:rsid w:val="00E730B9"/>
    <w:rsid w:val="00E81B51"/>
    <w:rsid w:val="00EA45F5"/>
    <w:rsid w:val="00EC12CD"/>
    <w:rsid w:val="00EC765E"/>
    <w:rsid w:val="00F248CB"/>
    <w:rsid w:val="00F26CF4"/>
    <w:rsid w:val="00F317CD"/>
    <w:rsid w:val="00F655BE"/>
    <w:rsid w:val="00F9049F"/>
    <w:rsid w:val="00FC73EA"/>
    <w:rsid w:val="00FD5A8E"/>
    <w:rsid w:val="00FD60F9"/>
    <w:rsid w:val="00FD7894"/>
    <w:rsid w:val="011A2EDD"/>
    <w:rsid w:val="014266B2"/>
    <w:rsid w:val="051E7C2F"/>
    <w:rsid w:val="06CC1E93"/>
    <w:rsid w:val="09193079"/>
    <w:rsid w:val="0B894EFC"/>
    <w:rsid w:val="0BEB096D"/>
    <w:rsid w:val="1980600D"/>
    <w:rsid w:val="19BD16DF"/>
    <w:rsid w:val="1E570027"/>
    <w:rsid w:val="1F9715F3"/>
    <w:rsid w:val="1FF958C6"/>
    <w:rsid w:val="252A0BBD"/>
    <w:rsid w:val="26F01D15"/>
    <w:rsid w:val="276019E4"/>
    <w:rsid w:val="2BA74A20"/>
    <w:rsid w:val="2BAE78C7"/>
    <w:rsid w:val="2D3C6776"/>
    <w:rsid w:val="31035DBF"/>
    <w:rsid w:val="34D64A6B"/>
    <w:rsid w:val="384C75E1"/>
    <w:rsid w:val="39F464AC"/>
    <w:rsid w:val="439065F4"/>
    <w:rsid w:val="45B576A3"/>
    <w:rsid w:val="4767173C"/>
    <w:rsid w:val="4B0B11DC"/>
    <w:rsid w:val="526C7624"/>
    <w:rsid w:val="529E5EAB"/>
    <w:rsid w:val="53E26B2B"/>
    <w:rsid w:val="54AF3152"/>
    <w:rsid w:val="55172ED9"/>
    <w:rsid w:val="55600BD2"/>
    <w:rsid w:val="5DE11028"/>
    <w:rsid w:val="622A7B3E"/>
    <w:rsid w:val="62603C21"/>
    <w:rsid w:val="636C4E08"/>
    <w:rsid w:val="64BF1384"/>
    <w:rsid w:val="65295E8B"/>
    <w:rsid w:val="6CE20210"/>
    <w:rsid w:val="6EFD03E4"/>
    <w:rsid w:val="6FE6261D"/>
    <w:rsid w:val="70DD16D4"/>
    <w:rsid w:val="723C2810"/>
    <w:rsid w:val="73102EBE"/>
    <w:rsid w:val="79CD6A88"/>
    <w:rsid w:val="7A1B3A84"/>
    <w:rsid w:val="7D9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9"/>
    <w:pPr>
      <w:spacing w:line="560" w:lineRule="exact"/>
      <w:ind w:firstLine="643" w:firstLineChars="200"/>
      <w:outlineLvl w:val="2"/>
    </w:pPr>
    <w:rPr>
      <w:rFonts w:ascii="楷体_GB2312" w:hAnsi="Calibri" w:eastAsia="楷体_GB2312" w:cs="宋体"/>
      <w:b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  <w:style w:type="paragraph" w:customStyle="1" w:styleId="11">
    <w:name w:val="UserStyle_0"/>
    <w:basedOn w:val="1"/>
    <w:link w:val="19"/>
    <w:qFormat/>
    <w:uiPriority w:val="99"/>
    <w:pPr>
      <w:widowControl/>
      <w:spacing w:after="160" w:line="240" w:lineRule="exact"/>
      <w:jc w:val="left"/>
    </w:pPr>
    <w:rPr>
      <w:rFonts w:ascii="Calibri" w:hAnsi="Calibri" w:cs="黑体"/>
      <w:szCs w:val="22"/>
    </w:rPr>
  </w:style>
  <w:style w:type="paragraph" w:customStyle="1" w:styleId="12">
    <w:name w:val="汇报正文"/>
    <w:basedOn w:val="1"/>
    <w:link w:val="20"/>
    <w:qFormat/>
    <w:uiPriority w:val="99"/>
    <w:pPr>
      <w:spacing w:line="560" w:lineRule="exact"/>
      <w:ind w:firstLine="640" w:firstLineChars="200"/>
    </w:pPr>
    <w:rPr>
      <w:rFonts w:ascii="仿宋_GB2312" w:hAnsi="Calibri" w:eastAsia="仿宋_GB2312" w:cs="黑体"/>
      <w:sz w:val="32"/>
      <w:szCs w:val="32"/>
    </w:rPr>
  </w:style>
  <w:style w:type="paragraph" w:customStyle="1" w:styleId="13">
    <w:name w:val="标题3（三）"/>
    <w:basedOn w:val="1"/>
    <w:qFormat/>
    <w:uiPriority w:val="99"/>
    <w:pPr>
      <w:spacing w:beforeLines="50" w:afterLines="50" w:line="432" w:lineRule="exact"/>
      <w:ind w:firstLine="200" w:firstLineChars="200"/>
    </w:pPr>
    <w:rPr>
      <w:rFonts w:ascii="方正黑体简体" w:eastAsia="方正黑体简体" w:cs="Droid Sans"/>
      <w:color w:val="000000"/>
      <w:sz w:val="27"/>
      <w:szCs w:val="27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标题 3 Char"/>
    <w:basedOn w:val="9"/>
    <w:link w:val="2"/>
    <w:qFormat/>
    <w:uiPriority w:val="99"/>
    <w:rPr>
      <w:rFonts w:ascii="楷体_GB2312" w:hAnsi="Calibri" w:eastAsia="楷体_GB2312" w:cs="宋体"/>
      <w:b/>
      <w:sz w:val="32"/>
      <w:szCs w:val="32"/>
    </w:rPr>
  </w:style>
  <w:style w:type="character" w:customStyle="1" w:styleId="16">
    <w:name w:val="批注框文本 Char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5"/>
    <w:qFormat/>
    <w:uiPriority w:val="99"/>
    <w:rPr>
      <w:rFonts w:cs="Times New Roman"/>
      <w:sz w:val="18"/>
      <w:szCs w:val="18"/>
    </w:rPr>
  </w:style>
  <w:style w:type="character" w:customStyle="1" w:styleId="19">
    <w:name w:val="NormalCharacter"/>
    <w:link w:val="11"/>
    <w:qFormat/>
    <w:uiPriority w:val="99"/>
  </w:style>
  <w:style w:type="character" w:customStyle="1" w:styleId="20">
    <w:name w:val="汇报正文 Char"/>
    <w:basedOn w:val="9"/>
    <w:link w:val="12"/>
    <w:qFormat/>
    <w:uiPriority w:val="99"/>
    <w:rPr>
      <w:rFonts w:asci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465</Words>
  <Characters>2657</Characters>
  <Lines>22</Lines>
  <Paragraphs>6</Paragraphs>
  <TotalTime>5</TotalTime>
  <ScaleCrop>false</ScaleCrop>
  <LinksUpToDate>false</LinksUpToDate>
  <CharactersWithSpaces>3116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2021-02-23T01:48:00Z</dcterms:created>
  <dc:creator>财政-221</dc:creator>
  <cp:lastModifiedBy>财政-221</cp:lastModifiedBy>
  <cp:lastPrinted>2021-11-24T07:29:00Z</cp:lastPrinted>
  <dcterms:modified xsi:type="dcterms:W3CDTF">2024-01-13T13:35:39Z</dcterms:modified>
  <dc:title>关于北京市2020年预算执行情况和</dc:title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5D61E0B7AEC34DE2B1A7AC6329FAC534</vt:lpwstr>
  </property>
</Properties>
</file>