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hint="eastAsia" w:ascii="黑体" w:eastAsia="黑体"/>
          <w:sz w:val="72"/>
          <w:szCs w:val="72"/>
          <w:lang w:eastAsia="zh-CN"/>
        </w:rPr>
      </w:pPr>
      <w:r>
        <w:rPr>
          <w:rFonts w:hint="eastAsia" w:ascii="黑体" w:eastAsia="黑体"/>
          <w:color w:val="auto"/>
          <w:sz w:val="72"/>
          <w:szCs w:val="72"/>
          <w:lang w:val="en-US" w:eastAsia="zh-CN"/>
        </w:rPr>
        <w:t>北京市密云区太师屯镇</w:t>
      </w:r>
    </w:p>
    <w:p>
      <w:pPr>
        <w:jc w:val="center"/>
        <w:rPr>
          <w:rFonts w:hint="eastAsia" w:ascii="黑体" w:eastAsia="黑体"/>
          <w:sz w:val="72"/>
          <w:szCs w:val="72"/>
          <w:lang w:eastAsia="zh-CN"/>
        </w:rPr>
      </w:pPr>
      <w:r>
        <w:rPr>
          <w:rFonts w:hint="eastAsia" w:ascii="黑体" w:eastAsia="黑体"/>
          <w:sz w:val="72"/>
          <w:szCs w:val="72"/>
          <w:lang w:eastAsia="zh-CN"/>
        </w:rPr>
        <w:t>2025</w:t>
      </w:r>
      <w:r>
        <w:rPr>
          <w:rFonts w:hint="eastAsia" w:ascii="黑体" w:eastAsia="黑体"/>
          <w:sz w:val="72"/>
          <w:szCs w:val="72"/>
        </w:rPr>
        <w:t>年度部门决算</w:t>
      </w:r>
      <w:r>
        <w:rPr>
          <w:rFonts w:hint="eastAsia" w:ascii="黑体" w:eastAsia="黑体"/>
          <w:sz w:val="72"/>
          <w:szCs w:val="72"/>
          <w:lang w:eastAsia="zh-CN"/>
        </w:rPr>
        <w:t>报表及说明</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hint="eastAsia" w:ascii="宋体" w:hAnsi="宋体" w:cs="宋体"/>
          <w:b/>
          <w:bCs/>
          <w:kern w:val="0"/>
          <w:sz w:val="36"/>
          <w:szCs w:val="36"/>
        </w:rPr>
      </w:pPr>
    </w:p>
    <w:p>
      <w:pPr>
        <w:tabs>
          <w:tab w:val="center" w:pos="6979"/>
        </w:tabs>
        <w:spacing w:line="500" w:lineRule="exact"/>
        <w:ind w:firstLine="1600" w:firstLineChars="400"/>
        <w:jc w:val="left"/>
        <w:rPr>
          <w:rFonts w:hint="eastAsia" w:ascii="宋体" w:hAnsi="宋体" w:cs="宋体"/>
          <w:bCs/>
          <w:spacing w:val="40"/>
          <w:kern w:val="0"/>
          <w:sz w:val="32"/>
          <w:szCs w:val="32"/>
        </w:rPr>
      </w:pPr>
      <w:r>
        <w:rPr>
          <w:rFonts w:hint="eastAsia" w:ascii="宋体" w:hAnsi="宋体" w:cs="宋体"/>
          <w:bCs/>
          <w:spacing w:val="40"/>
          <w:kern w:val="0"/>
          <w:sz w:val="32"/>
          <w:szCs w:val="32"/>
        </w:rPr>
        <w:t>第一部分 202</w:t>
      </w:r>
      <w:r>
        <w:rPr>
          <w:rFonts w:hint="eastAsia" w:ascii="宋体" w:hAnsi="宋体" w:cs="宋体"/>
          <w:bCs/>
          <w:spacing w:val="40"/>
          <w:kern w:val="0"/>
          <w:sz w:val="32"/>
          <w:szCs w:val="32"/>
          <w:lang w:val="en-US" w:eastAsia="zh-CN"/>
        </w:rPr>
        <w:t>5</w:t>
      </w:r>
      <w:r>
        <w:rPr>
          <w:rFonts w:hint="eastAsia" w:ascii="宋体" w:hAnsi="宋体" w:cs="宋体"/>
          <w:bCs/>
          <w:spacing w:val="40"/>
          <w:kern w:val="0"/>
          <w:sz w:val="32"/>
          <w:szCs w:val="32"/>
        </w:rPr>
        <w:t>年度部门决算报表</w:t>
      </w:r>
    </w:p>
    <w:p>
      <w:pPr>
        <w:tabs>
          <w:tab w:val="center" w:pos="6979"/>
        </w:tabs>
        <w:spacing w:line="500" w:lineRule="exact"/>
        <w:ind w:firstLine="2400" w:firstLineChars="600"/>
        <w:jc w:val="left"/>
        <w:rPr>
          <w:rFonts w:hint="eastAsia"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lang w:eastAsia="zh-CN"/>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lang w:eastAsia="zh-CN"/>
        </w:rPr>
        <w:t>八</w:t>
      </w:r>
      <w:r>
        <w:rPr>
          <w:rFonts w:hint="eastAsia" w:ascii="仿宋_GB2312" w:hAnsi="仿宋" w:eastAsia="仿宋_GB2312" w:cs="宋体"/>
          <w:bCs/>
          <w:spacing w:val="40"/>
          <w:kern w:val="0"/>
          <w:sz w:val="32"/>
          <w:szCs w:val="32"/>
        </w:rPr>
        <w:t>、</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lang w:eastAsia="zh-CN"/>
        </w:rPr>
        <w:t>九</w:t>
      </w:r>
      <w:r>
        <w:rPr>
          <w:rFonts w:hint="eastAsia" w:ascii="仿宋_GB2312" w:hAnsi="仿宋" w:eastAsia="仿宋_GB2312" w:cs="宋体"/>
          <w:bCs/>
          <w:spacing w:val="40"/>
          <w:kern w:val="0"/>
          <w:sz w:val="32"/>
          <w:szCs w:val="32"/>
        </w:rPr>
        <w:t>、国有资本经营预算财政拨款支出决算表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hint="eastAsia"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w:t>
      </w:r>
      <w:r>
        <w:rPr>
          <w:rFonts w:hint="eastAsia" w:ascii="宋体" w:hAnsi="宋体"/>
          <w:spacing w:val="40"/>
          <w:sz w:val="32"/>
          <w:szCs w:val="32"/>
          <w:lang w:val="en-US" w:eastAsia="zh-CN"/>
        </w:rPr>
        <w:t>5</w:t>
      </w:r>
      <w:r>
        <w:rPr>
          <w:rFonts w:hint="eastAsia" w:ascii="宋体" w:hAnsi="宋体"/>
          <w:spacing w:val="40"/>
          <w:sz w:val="32"/>
          <w:szCs w:val="32"/>
        </w:rPr>
        <w:t>年度部门决算说明</w:t>
      </w:r>
    </w:p>
    <w:p>
      <w:pPr>
        <w:tabs>
          <w:tab w:val="center" w:pos="6979"/>
        </w:tabs>
        <w:spacing w:line="500" w:lineRule="exact"/>
        <w:ind w:firstLine="1600" w:firstLineChars="400"/>
        <w:jc w:val="left"/>
        <w:rPr>
          <w:rFonts w:hint="eastAsia"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w:t>
      </w:r>
      <w:r>
        <w:rPr>
          <w:rFonts w:hint="eastAsia" w:ascii="宋体" w:hAnsi="宋体"/>
          <w:spacing w:val="40"/>
          <w:sz w:val="32"/>
          <w:szCs w:val="32"/>
          <w:lang w:val="en-US" w:eastAsia="zh-CN"/>
        </w:rPr>
        <w:t>5</w:t>
      </w:r>
      <w:r>
        <w:rPr>
          <w:rFonts w:hint="eastAsia" w:ascii="宋体" w:hAnsi="宋体"/>
          <w:spacing w:val="40"/>
          <w:sz w:val="32"/>
          <w:szCs w:val="32"/>
        </w:rPr>
        <w:t>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hint="eastAsia" w:ascii="宋体" w:hAnsi="宋体" w:cs="宋体"/>
          <w:spacing w:val="40"/>
          <w:kern w:val="0"/>
          <w:sz w:val="36"/>
          <w:szCs w:val="32"/>
        </w:rPr>
      </w:pPr>
      <w:r>
        <w:rPr>
          <w:rFonts w:hint="eastAsia" w:ascii="宋体" w:hAnsi="宋体" w:cs="宋体"/>
          <w:spacing w:val="40"/>
          <w:kern w:val="0"/>
          <w:sz w:val="32"/>
          <w:szCs w:val="32"/>
        </w:rPr>
        <w:t>第四部分 202</w:t>
      </w:r>
      <w:r>
        <w:rPr>
          <w:rFonts w:hint="eastAsia" w:ascii="宋体" w:hAnsi="宋体" w:cs="宋体"/>
          <w:spacing w:val="40"/>
          <w:kern w:val="0"/>
          <w:sz w:val="32"/>
          <w:szCs w:val="32"/>
          <w:lang w:val="en-US" w:eastAsia="zh-CN"/>
        </w:rPr>
        <w:t>5</w:t>
      </w:r>
      <w:r>
        <w:rPr>
          <w:rFonts w:hint="eastAsia" w:ascii="宋体" w:hAnsi="宋体" w:cs="宋体"/>
          <w:spacing w:val="40"/>
          <w:kern w:val="0"/>
          <w:sz w:val="32"/>
          <w:szCs w:val="32"/>
        </w:rPr>
        <w:t>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 xml:space="preserve">第一部分 </w:t>
      </w:r>
      <w:r>
        <w:rPr>
          <w:rFonts w:hint="eastAsia" w:ascii="宋体" w:hAnsi="宋体" w:cs="宋体"/>
          <w:b/>
          <w:bCs/>
          <w:spacing w:val="40"/>
          <w:kern w:val="0"/>
          <w:sz w:val="44"/>
          <w:szCs w:val="44"/>
          <w:lang w:eastAsia="zh-CN"/>
        </w:rPr>
        <w:t>2025</w:t>
      </w:r>
      <w:r>
        <w:rPr>
          <w:rFonts w:hint="eastAsia" w:ascii="宋体" w:hAnsi="宋体" w:cs="宋体"/>
          <w:b/>
          <w:bCs/>
          <w:spacing w:val="40"/>
          <w:kern w:val="0"/>
          <w:sz w:val="44"/>
          <w:szCs w:val="44"/>
        </w:rPr>
        <w:t>年度部门决算报表</w:t>
      </w:r>
    </w:p>
    <w:p>
      <w:pPr>
        <w:pStyle w:val="3"/>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25" o:spt="75" type="#_x0000_t75" style="height:478.25pt;width:553.5pt;" o:ole="t" filled="f" o:preferrelative="t" stroked="f" coordsize="21600,21600">
            <v:path/>
            <v:fill on="f" focussize="0,0"/>
            <v:stroke on="f"/>
            <v:imagedata r:id="rId8" o:title=""/>
            <o:lock v:ext="edit" aspectratio="f"/>
            <w10:wrap type="none"/>
            <w10:anchorlock/>
          </v:shape>
          <o:OLEObject Type="Embed" ProgID="Excel.Sheet.12" ShapeID="_x0000_i1025" DrawAspect="Content" ObjectID="_1468075725" r:id="rId7">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26" o:spt="75" type="#_x0000_t75" style="height:453.8pt;width:728.45pt;" o:ole="t" filled="f" o:preferrelative="t" stroked="f" coordsize="21600,21600">
            <v:path/>
            <v:fill on="f" focussize="0,0"/>
            <v:stroke on="f"/>
            <v:imagedata r:id="rId10" o:title=""/>
            <o:lock v:ext="edit" aspectratio="f"/>
            <w10:wrap type="none"/>
            <w10:anchorlock/>
          </v:shape>
          <o:OLEObject Type="Embed" ProgID="Excel.Sheet.12" ShapeID="_x0000_i1026" DrawAspect="Content" ObjectID="_1468075726" r:id="rId9">
            <o:LockedField>false</o:LockedField>
          </o:OLEObject>
        </w:object>
      </w:r>
      <w:r>
        <w:rPr>
          <w:rFonts w:hint="eastAsia" w:ascii="宋体" w:hAnsi="宋体" w:cs="宋体"/>
          <w:b/>
          <w:bCs/>
          <w:spacing w:val="40"/>
          <w:kern w:val="0"/>
          <w:sz w:val="32"/>
          <w:szCs w:val="32"/>
        </w:rPr>
        <w:object>
          <v:shape id="_x0000_i1027" o:spt="75" type="#_x0000_t75" style="height:465.5pt;width:728.45pt;" o:ole="t" filled="f" o:preferrelative="t" stroked="f" coordsize="21600,21600">
            <v:path/>
            <v:fill on="f" focussize="0,0"/>
            <v:stroke on="f"/>
            <v:imagedata r:id="rId12" o:title=""/>
            <o:lock v:ext="edit" aspectratio="f"/>
            <w10:wrap type="none"/>
            <w10:anchorlock/>
          </v:shape>
          <o:OLEObject Type="Embed" ProgID="Excel.Sheet.12" ShapeID="_x0000_i1027" DrawAspect="Content" ObjectID="_1468075727" r:id="rId11">
            <o:LockedField>false</o:LockedField>
          </o:OLEObject>
        </w:object>
      </w:r>
      <w:r>
        <w:rPr>
          <w:rFonts w:hint="eastAsia" w:ascii="宋体" w:hAnsi="宋体" w:cs="宋体"/>
          <w:b/>
          <w:bCs/>
          <w:spacing w:val="40"/>
          <w:kern w:val="0"/>
          <w:sz w:val="32"/>
          <w:szCs w:val="32"/>
        </w:rPr>
        <w:object>
          <v:shape id="_x0000_i1028" o:spt="75" type="#_x0000_t75" style="height:433.5pt;width:728.45pt;" o:ole="t" filled="f" o:preferrelative="t" stroked="f" coordsize="21600,21600">
            <v:path/>
            <v:fill on="f" focussize="0,0"/>
            <v:stroke on="f"/>
            <v:imagedata r:id="rId14" o:title=""/>
            <o:lock v:ext="edit" aspectratio="f"/>
            <w10:wrap type="none"/>
            <w10:anchorlock/>
          </v:shape>
          <o:OLEObject Type="Embed" ProgID="Excel.Sheet.12" ShapeID="_x0000_i1028" DrawAspect="Content" ObjectID="_1468075728" r:id="rId13">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29" o:spt="75" type="#_x0000_t75" style="height:433.5pt;width:728.45pt;" o:ole="t" filled="f" o:preferrelative="t" stroked="f" coordsize="21600,21600">
            <v:path/>
            <v:fill on="f" focussize="0,0"/>
            <v:stroke on="f"/>
            <v:imagedata r:id="rId16" o:title=""/>
            <o:lock v:ext="edit" aspectratio="f"/>
            <w10:wrap type="none"/>
            <w10:anchorlock/>
          </v:shape>
          <o:OLEObject Type="Embed" ProgID="Excel.Sheet.12" ShapeID="_x0000_i1029" DrawAspect="Content" ObjectID="_1468075729" r:id="rId15">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30" o:spt="75" type="#_x0000_t75" style="height:65.25pt;width:728.45pt;" o:ole="t" filled="f" o:preferrelative="t" stroked="f" coordsize="21600,21600">
            <v:path/>
            <v:fill on="f" focussize="0,0"/>
            <v:stroke on="f"/>
            <v:imagedata r:id="rId18" o:title=""/>
            <o:lock v:ext="edit" aspectratio="f"/>
            <w10:wrap type="none"/>
            <w10:anchorlock/>
          </v:shape>
          <o:OLEObject Type="Embed" ProgID="Excel.Sheet.12" ShapeID="_x0000_i1030" DrawAspect="Content" ObjectID="_1468075730" r:id="rId17">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31" o:spt="75" type="#_x0000_t75" style="height:468.2pt;width:728pt;" o:ole="t" filled="f" o:preferrelative="t" stroked="f" coordsize="21600,21600">
            <v:path/>
            <v:fill on="f" focussize="0,0"/>
            <v:stroke on="f"/>
            <v:imagedata r:id="rId20" o:title=""/>
            <o:lock v:ext="edit" aspectratio="f"/>
            <w10:wrap type="none"/>
            <w10:anchorlock/>
          </v:shape>
          <o:OLEObject Type="Embed" ProgID="Excel.Sheet.12" ShapeID="_x0000_i1031" DrawAspect="Content" ObjectID="_1468075731" r:id="rId19">
            <o:LockedField>false</o:LockedField>
          </o:OLEObject>
        </w:object>
      </w:r>
      <w:r>
        <w:rPr>
          <w:rFonts w:hint="eastAsia" w:ascii="宋体" w:hAnsi="宋体" w:cs="宋体"/>
          <w:b/>
          <w:bCs/>
          <w:spacing w:val="40"/>
          <w:kern w:val="0"/>
          <w:sz w:val="32"/>
          <w:szCs w:val="32"/>
        </w:rPr>
        <w:object>
          <v:shape id="_x0000_i1032" o:spt="75" type="#_x0000_t75" style="height:480.25pt;width:728pt;" o:ole="t" filled="f" o:preferrelative="t" stroked="f" coordsize="21600,21600">
            <v:path/>
            <v:fill on="f" focussize="0,0"/>
            <v:stroke on="f"/>
            <v:imagedata r:id="rId22" o:title=""/>
            <o:lock v:ext="edit" aspectratio="f"/>
            <w10:wrap type="none"/>
            <w10:anchorlock/>
          </v:shape>
          <o:OLEObject Type="Embed" ProgID="Excel.Sheet.12" ShapeID="_x0000_i1032" DrawAspect="Content" ObjectID="_1468075732" r:id="rId21">
            <o:LockedField>false</o:LockedField>
          </o:OLEObject>
        </w:object>
      </w:r>
      <w:r>
        <w:rPr>
          <w:rFonts w:hint="eastAsia" w:ascii="宋体" w:hAnsi="宋体" w:cs="宋体"/>
          <w:b/>
          <w:bCs/>
          <w:spacing w:val="40"/>
          <w:kern w:val="0"/>
          <w:sz w:val="32"/>
          <w:szCs w:val="32"/>
        </w:rPr>
        <w:object>
          <v:shape id="_x0000_i1033" o:spt="75" type="#_x0000_t75" style="height:430.7pt;width:728pt;" o:ole="t" filled="f" o:preferrelative="t" stroked="f" coordsize="21600,21600">
            <v:path/>
            <v:fill on="f" focussize="0,0"/>
            <v:stroke on="f"/>
            <v:imagedata r:id="rId24" o:title=""/>
            <o:lock v:ext="edit" aspectratio="f"/>
            <w10:wrap type="none"/>
            <w10:anchorlock/>
          </v:shape>
          <o:OLEObject Type="Embed" ProgID="Excel.Sheet.12" ShapeID="_x0000_i1033" DrawAspect="Content" ObjectID="_1468075733" r:id="rId23">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34" o:spt="75" type="#_x0000_t75" style="height:463.75pt;width:728pt;" o:ole="t" filled="f" o:preferrelative="t" stroked="f" coordsize="21600,21600">
            <v:path/>
            <v:fill on="f" focussize="0,0"/>
            <v:stroke on="f"/>
            <v:imagedata r:id="rId26" o:title=""/>
            <o:lock v:ext="edit" aspectratio="f"/>
            <w10:wrap type="none"/>
            <w10:anchorlock/>
          </v:shape>
          <o:OLEObject Type="Embed" ProgID="Excel.Sheet.12" ShapeID="_x0000_i1034" DrawAspect="Content" ObjectID="_1468075734" r:id="rId25">
            <o:LockedField>false</o:LockedField>
          </o:OLEObject>
        </w:object>
      </w:r>
      <w:r>
        <w:rPr>
          <w:rFonts w:hint="eastAsia" w:ascii="宋体" w:hAnsi="宋体" w:cs="宋体"/>
          <w:b/>
          <w:bCs/>
          <w:spacing w:val="40"/>
          <w:kern w:val="0"/>
          <w:sz w:val="32"/>
          <w:szCs w:val="32"/>
        </w:rPr>
        <w:object>
          <v:shape id="_x0000_i1035" o:spt="75" type="#_x0000_t75" style="height:116.25pt;width:728pt;" o:ole="t" filled="f" o:preferrelative="t" stroked="f" coordsize="21600,21600">
            <v:path/>
            <v:fill on="f" focussize="0,0"/>
            <v:stroke on="f"/>
            <v:imagedata r:id="rId28" o:title=""/>
            <o:lock v:ext="edit" aspectratio="f"/>
            <w10:wrap type="none"/>
            <w10:anchorlock/>
          </v:shape>
          <o:OLEObject Type="Embed" ProgID="Excel.Sheet.12" ShapeID="_x0000_i1035" DrawAspect="Content" ObjectID="_1468075735" r:id="rId27">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36" o:spt="75" type="#_x0000_t75" style="height:469.4pt;width:629.3pt;" o:ole="t" filled="f" o:preferrelative="t" stroked="f" coordsize="21600,21600">
            <v:path/>
            <v:fill on="f" focussize="0,0"/>
            <v:stroke on="f"/>
            <v:imagedata r:id="rId30" o:title=""/>
            <o:lock v:ext="edit" aspectratio="f"/>
            <w10:wrap type="none"/>
            <w10:anchorlock/>
          </v:shape>
          <o:OLEObject Type="Embed" ProgID="Excel.Sheet.12" ShapeID="_x0000_i1036" DrawAspect="Content" ObjectID="_1468075736" r:id="rId29">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37" o:spt="75" type="#_x0000_t75" style="height:450.75pt;width:613.5pt;" o:ole="t" filled="f" o:preferrelative="t" stroked="f" coordsize="21600,21600">
            <v:path/>
            <v:fill on="f" focussize="0,0"/>
            <v:stroke on="f"/>
            <v:imagedata r:id="rId32" o:title=""/>
            <o:lock v:ext="edit" aspectratio="f"/>
            <w10:wrap type="none"/>
            <w10:anchorlock/>
          </v:shape>
          <o:OLEObject Type="Embed" ProgID="Excel.Sheet.12" ShapeID="_x0000_i1037" DrawAspect="Content" ObjectID="_1468075737" r:id="rId31">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38" o:spt="75" type="#_x0000_t75" style="height:436.5pt;width:613.5pt;" o:ole="t" filled="f" o:preferrelative="t" stroked="f" coordsize="21600,21600">
            <v:path/>
            <v:fill on="f" focussize="0,0"/>
            <v:stroke on="f"/>
            <v:imagedata r:id="rId34" o:title=""/>
            <o:lock v:ext="edit" aspectratio="f"/>
            <w10:wrap type="none"/>
            <w10:anchorlock/>
          </v:shape>
          <o:OLEObject Type="Embed" ProgID="Excel.Sheet.12" ShapeID="_x0000_i1038" DrawAspect="Content" ObjectID="_1468075738" r:id="rId33">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39" o:spt="75" type="#_x0000_t75" style="height:436.5pt;width:613.5pt;" o:ole="t" filled="f" o:preferrelative="t" stroked="f" coordsize="21600,21600">
            <v:path/>
            <v:fill on="f" focussize="0,0"/>
            <v:stroke on="f"/>
            <v:imagedata r:id="rId36" o:title=""/>
            <o:lock v:ext="edit" aspectratio="f"/>
            <w10:wrap type="none"/>
            <w10:anchorlock/>
          </v:shape>
          <o:OLEObject Type="Embed" ProgID="Excel.Sheet.12" ShapeID="_x0000_i1039" DrawAspect="Content" ObjectID="_1468075739" r:id="rId35">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40" o:spt="75" type="#_x0000_t75" style="height:285.75pt;width:613.5pt;" o:ole="t" filled="f" o:preferrelative="t" stroked="f" coordsize="21600,21600">
            <v:path/>
            <v:fill on="f" focussize="0,0"/>
            <v:stroke on="f"/>
            <v:imagedata r:id="rId38" o:title=""/>
            <o:lock v:ext="edit" aspectratio="f"/>
            <w10:wrap type="none"/>
            <w10:anchorlock/>
          </v:shape>
          <o:OLEObject Type="Embed" ProgID="Excel.Sheet.12" ShapeID="_x0000_i1040" DrawAspect="Content" ObjectID="_1468075740" r:id="rId37">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41" o:spt="75" type="#_x0000_t75" style="height:467.5pt;width:687.45pt;" o:ole="t" filled="f" o:preferrelative="t" stroked="f" coordsize="21600,21600">
            <v:path/>
            <v:fill on="f" focussize="0,0"/>
            <v:stroke on="f"/>
            <v:imagedata r:id="rId40" o:title=""/>
            <o:lock v:ext="edit" aspectratio="f"/>
            <w10:wrap type="none"/>
            <w10:anchorlock/>
          </v:shape>
          <o:OLEObject Type="Embed" ProgID="Excel.Sheet.12" ShapeID="_x0000_i1041" DrawAspect="Content" ObjectID="_1468075741" r:id="rId39">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42" o:spt="75" type="#_x0000_t75" style="height:303.3pt;width:728.1pt;" o:ole="t" filled="f" o:preferrelative="t" stroked="f" coordsize="21600,21600">
            <v:path/>
            <v:fill on="f" focussize="0,0"/>
            <v:stroke on="f"/>
            <v:imagedata r:id="rId42" o:title=""/>
            <o:lock v:ext="edit" aspectratio="f"/>
            <w10:wrap type="none"/>
            <w10:anchorlock/>
          </v:shape>
          <o:OLEObject Type="Embed" ProgID="Excel.Sheet.12" ShapeID="_x0000_i1042" DrawAspect="Content" ObjectID="_1468075742" r:id="rId41">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43" o:spt="75" type="#_x0000_t75" style="height:469.1pt;width:602.6pt;" o:ole="t" filled="f" o:preferrelative="t" stroked="f" coordsize="21600,21600">
            <v:path/>
            <v:fill on="f" focussize="0,0"/>
            <v:stroke on="f"/>
            <v:imagedata r:id="rId44" o:title=""/>
            <o:lock v:ext="edit" aspectratio="f"/>
            <w10:wrap type="none"/>
            <w10:anchorlock/>
          </v:shape>
          <o:OLEObject Type="Embed" ProgID="Excel.Sheet.12" ShapeID="_x0000_i1043" DrawAspect="Content" ObjectID="_1468075743" r:id="rId43">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44" o:spt="75" type="#_x0000_t75" style="height:129pt;width:534pt;" o:ole="t" filled="f" o:preferrelative="t" stroked="f" coordsize="21600,21600">
            <v:path/>
            <v:fill on="f" focussize="0,0"/>
            <v:stroke on="f"/>
            <v:imagedata r:id="rId46" o:title=""/>
            <o:lock v:ext="edit" aspectratio="f"/>
            <w10:wrap type="none"/>
            <w10:anchorlock/>
          </v:shape>
          <o:OLEObject Type="Embed" ProgID="Excel.Sheet.12" ShapeID="_x0000_i1044" DrawAspect="Content" ObjectID="_1468075744" r:id="rId45">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45" o:spt="75" type="#_x0000_t75" style="height:179.25pt;width:714pt;" o:ole="t" filled="f" o:preferrelative="t" stroked="f" coordsize="21600,21600">
            <v:path/>
            <v:fill on="f" focussize="0,0"/>
            <v:stroke on="f"/>
            <v:imagedata r:id="rId48" o:title=""/>
            <o:lock v:ext="edit" aspectratio="f"/>
            <w10:wrap type="none"/>
            <w10:anchorlock/>
          </v:shape>
          <o:OLEObject Type="Embed" ProgID="Excel.Sheet.12" ShapeID="_x0000_i1045" DrawAspect="Content" ObjectID="_1468075745" r:id="rId47">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46" o:spt="75" type="#_x0000_t75" style="height:318.75pt;width:621.75pt;" o:ole="t" filled="f" o:preferrelative="t" stroked="f" coordsize="21600,21600">
            <v:path/>
            <v:fill on="f" focussize="0,0"/>
            <v:stroke on="f"/>
            <v:imagedata r:id="rId50" o:title=""/>
            <o:lock v:ext="edit" aspectratio="f"/>
            <w10:wrap type="none"/>
            <w10:anchorlock/>
          </v:shape>
          <o:OLEObject Type="Embed" ProgID="Excel.Sheet.12" ShapeID="_x0000_i1046" DrawAspect="Content" ObjectID="_1468075746" r:id="rId49">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lang w:eastAsia="zh-CN"/>
        </w:rPr>
        <w:t>2025</w:t>
      </w:r>
      <w:r>
        <w:rPr>
          <w:rFonts w:hint="eastAsia" w:ascii="宋体" w:hAnsi="宋体"/>
          <w:b/>
          <w:spacing w:val="40"/>
          <w:sz w:val="32"/>
          <w:szCs w:val="32"/>
        </w:rPr>
        <w:t>年度部门决算说明</w:t>
      </w:r>
    </w:p>
    <w:p>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一、部门/单位基本情况</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（一）机构设置、职责</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1.执行本级人民代表大会的决议和上级国家机关的决议和命令，发布决定和命令。</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2.执行本镇的经济和社会发展规划、预算，管理本镇的经济、教育、科学、文化、卫生、体育事业和财政、社会事务、公安、司法行政、计划生育、安全生产、农村集体资产管理等行政工作。</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3.推动产业结构调整，转变农业发展方式，优化发展环境，大力发展环境友好型工业、休闲旅游业、都市型现代农业和现代服务业，着力构建绿色高端高效经济体系。</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4.关注和改善民生，加快社会事业发展，推动公共服务均等化。全面落实支农惠农政策，增加农民收入。</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5.加强生态建设和保护，加大环境整治，完善和落实护水、护河、护山、护林、护地、护环境的“六护”机制。</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6.保护合法财产，维护社会秩序，保障公民的人身权利、民主权利和其他权利。</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7.保护各种经济组织的合法权益。</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8.尊重少数民族的风俗习惯和保障少数民族的权利。</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9.保障宪法和法律赋予妇女的男女平等、同工同酬和婚姻自由等各项权利。</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10.不断强化社会维稳体系，加强农村社会治安综合治理，防范和化解农村社会矛盾，确保社会稳定。</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11.完成上级交办的其他事项。</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（二）人员构成情况</w:t>
      </w:r>
    </w:p>
    <w:p>
      <w:pPr>
        <w:tabs>
          <w:tab w:val="center" w:pos="6979"/>
        </w:tabs>
        <w:spacing w:line="580" w:lineRule="exact"/>
        <w:ind w:firstLine="700" w:firstLineChars="250"/>
        <w:rPr>
          <w:rFonts w:hint="eastAsia" w:ascii="仿宋_GB2312" w:eastAsia="仿宋_GB2312"/>
          <w:sz w:val="28"/>
          <w:szCs w:val="28"/>
          <w:highlight w:val="none"/>
          <w:lang w:eastAsia="zh-CN"/>
        </w:rPr>
      </w:pPr>
      <w:r>
        <w:rPr>
          <w:rFonts w:hint="eastAsia" w:ascii="仿宋_GB2312" w:eastAsia="仿宋_GB2312"/>
          <w:sz w:val="28"/>
          <w:szCs w:val="28"/>
        </w:rPr>
        <w:t>行政编制</w:t>
      </w:r>
      <w:r>
        <w:rPr>
          <w:rFonts w:hint="eastAsia" w:ascii="仿宋_GB2312" w:eastAsia="仿宋_GB2312"/>
          <w:sz w:val="28"/>
          <w:szCs w:val="28"/>
          <w:lang w:val="en-US" w:eastAsia="zh-CN"/>
        </w:rPr>
        <w:t>62</w:t>
      </w:r>
      <w:r>
        <w:rPr>
          <w:rFonts w:hint="eastAsia" w:ascii="仿宋_GB2312" w:eastAsia="仿宋_GB2312"/>
          <w:sz w:val="28"/>
          <w:szCs w:val="28"/>
        </w:rPr>
        <w:t>人，实有人数</w:t>
      </w:r>
      <w:r>
        <w:rPr>
          <w:rFonts w:hint="eastAsia" w:ascii="仿宋_GB2312" w:eastAsia="仿宋_GB2312"/>
          <w:sz w:val="28"/>
          <w:szCs w:val="28"/>
          <w:lang w:val="en-US" w:eastAsia="zh-CN"/>
        </w:rPr>
        <w:t>59</w:t>
      </w:r>
      <w:r>
        <w:rPr>
          <w:rFonts w:hint="eastAsia" w:ascii="仿宋_GB2312" w:eastAsia="仿宋_GB2312"/>
          <w:sz w:val="28"/>
          <w:szCs w:val="28"/>
        </w:rPr>
        <w:t>人；事业编制</w:t>
      </w:r>
      <w:r>
        <w:rPr>
          <w:rFonts w:hint="eastAsia" w:ascii="仿宋_GB2312" w:eastAsia="仿宋_GB2312"/>
          <w:sz w:val="28"/>
          <w:szCs w:val="28"/>
          <w:lang w:val="en-US" w:eastAsia="zh-CN"/>
        </w:rPr>
        <w:t>75</w:t>
      </w:r>
      <w:r>
        <w:rPr>
          <w:rFonts w:hint="eastAsia" w:ascii="仿宋_GB2312" w:eastAsia="仿宋_GB2312"/>
          <w:sz w:val="28"/>
          <w:szCs w:val="28"/>
        </w:rPr>
        <w:t>人，实有人数</w:t>
      </w:r>
      <w:r>
        <w:rPr>
          <w:rFonts w:hint="eastAsia" w:ascii="仿宋_GB2312" w:eastAsia="仿宋_GB2312"/>
          <w:sz w:val="28"/>
          <w:szCs w:val="28"/>
          <w:lang w:val="en-US" w:eastAsia="zh-CN"/>
        </w:rPr>
        <w:t>69</w:t>
      </w:r>
      <w:r>
        <w:rPr>
          <w:rFonts w:hint="eastAsia" w:ascii="仿宋_GB2312" w:eastAsia="仿宋_GB2312"/>
          <w:sz w:val="28"/>
          <w:szCs w:val="28"/>
        </w:rPr>
        <w:t>人。</w:t>
      </w:r>
    </w:p>
    <w:p>
      <w:pPr>
        <w:tabs>
          <w:tab w:val="center" w:pos="6979"/>
        </w:tabs>
        <w:spacing w:line="580" w:lineRule="exact"/>
        <w:rPr>
          <w:rFonts w:hint="eastAsia"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hint="eastAsia" w:ascii="仿宋_GB2312" w:eastAsia="仿宋_GB2312"/>
          <w:sz w:val="28"/>
          <w:szCs w:val="28"/>
          <w:lang w:val="en-US" w:eastAsia="zh-CN"/>
        </w:rPr>
      </w:pPr>
      <w:r>
        <w:rPr>
          <w:rFonts w:hint="eastAsia" w:ascii="仿宋_GB2312" w:eastAsia="仿宋_GB2312"/>
          <w:sz w:val="28"/>
          <w:szCs w:val="28"/>
          <w:lang w:eastAsia="zh-CN"/>
        </w:rPr>
        <w:t>2025年</w:t>
      </w:r>
      <w:r>
        <w:rPr>
          <w:rFonts w:hint="eastAsia" w:ascii="仿宋_GB2312" w:eastAsia="仿宋_GB2312"/>
          <w:sz w:val="28"/>
          <w:szCs w:val="28"/>
        </w:rPr>
        <w:t>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34902.48</w:t>
      </w:r>
      <w:r>
        <w:rPr>
          <w:rFonts w:hint="eastAsia" w:ascii="仿宋_GB2312" w:eastAsia="仿宋_GB2312"/>
          <w:sz w:val="28"/>
          <w:szCs w:val="28"/>
        </w:rPr>
        <w:t>万元，</w:t>
      </w:r>
      <w:r>
        <w:rPr>
          <w:rFonts w:ascii="仿宋_GB2312" w:eastAsia="仿宋_GB2312"/>
          <w:sz w:val="28"/>
          <w:szCs w:val="28"/>
        </w:rPr>
        <w:t>比上年增加</w:t>
      </w:r>
      <w:r>
        <w:rPr>
          <w:rFonts w:hint="eastAsia" w:ascii="仿宋_GB2312" w:eastAsia="仿宋_GB2312"/>
          <w:sz w:val="28"/>
          <w:szCs w:val="28"/>
          <w:lang w:val="en-US" w:eastAsia="zh-CN"/>
        </w:rPr>
        <w:t>2609.09</w:t>
      </w:r>
      <w:r>
        <w:rPr>
          <w:rFonts w:hint="eastAsia" w:ascii="仿宋_GB2312" w:eastAsia="仿宋_GB2312"/>
          <w:sz w:val="28"/>
          <w:szCs w:val="28"/>
        </w:rPr>
        <w:t>万元，增长</w:t>
      </w:r>
      <w:r>
        <w:rPr>
          <w:rFonts w:hint="eastAsia" w:ascii="仿宋_GB2312" w:eastAsia="仿宋_GB2312"/>
          <w:sz w:val="28"/>
          <w:szCs w:val="28"/>
          <w:lang w:val="en-US" w:eastAsia="zh-CN"/>
        </w:rPr>
        <w:t>7.5</w:t>
      </w:r>
      <w:r>
        <w:rPr>
          <w:rFonts w:hint="eastAsia" w:ascii="仿宋_GB2312" w:eastAsia="仿宋_GB2312"/>
          <w:sz w:val="28"/>
          <w:szCs w:val="28"/>
        </w:rPr>
        <w:t>%。</w:t>
      </w:r>
    </w:p>
    <w:p>
      <w:pPr>
        <w:tabs>
          <w:tab w:val="center" w:pos="6979"/>
        </w:tabs>
        <w:spacing w:line="580" w:lineRule="exact"/>
        <w:ind w:firstLine="570"/>
        <w:rPr>
          <w:rFonts w:hint="eastAsia" w:ascii="仿宋_GB2312" w:eastAsia="仿宋_GB2312"/>
          <w:sz w:val="28"/>
          <w:szCs w:val="28"/>
          <w:highlight w:val="none"/>
        </w:rPr>
      </w:pPr>
      <w:r>
        <w:rPr>
          <w:rFonts w:hint="eastAsia" w:ascii="仿宋_GB2312" w:eastAsia="仿宋_GB2312"/>
          <w:sz w:val="28"/>
          <w:szCs w:val="28"/>
          <w:highlight w:val="none"/>
        </w:rPr>
        <w:t>（一</w:t>
      </w:r>
      <w:r>
        <w:rPr>
          <w:rFonts w:ascii="仿宋_GB2312" w:eastAsia="仿宋_GB2312"/>
          <w:sz w:val="28"/>
          <w:szCs w:val="28"/>
          <w:highlight w:val="none"/>
        </w:rPr>
        <w:t>）</w:t>
      </w:r>
      <w:r>
        <w:rPr>
          <w:rFonts w:hint="eastAsia" w:ascii="仿宋_GB2312" w:eastAsia="仿宋_GB2312"/>
          <w:sz w:val="28"/>
          <w:szCs w:val="28"/>
          <w:highlight w:val="none"/>
        </w:rPr>
        <w:t>收入决算</w:t>
      </w:r>
      <w:r>
        <w:rPr>
          <w:rFonts w:ascii="仿宋_GB2312" w:eastAsia="仿宋_GB2312"/>
          <w:sz w:val="28"/>
          <w:szCs w:val="28"/>
          <w:highlight w:val="none"/>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度本年收入合计</w:t>
      </w:r>
      <w:r>
        <w:rPr>
          <w:rFonts w:ascii="仿宋_GB2312" w:eastAsia="仿宋_GB2312"/>
          <w:sz w:val="28"/>
          <w:szCs w:val="28"/>
        </w:rPr>
        <w:t>34150.06</w:t>
      </w:r>
      <w:r>
        <w:rPr>
          <w:rFonts w:hint="eastAsia" w:ascii="仿宋_GB2312" w:eastAsia="仿宋_GB2312"/>
          <w:sz w:val="28"/>
          <w:szCs w:val="28"/>
        </w:rPr>
        <w:t>万元，</w:t>
      </w:r>
      <w:r>
        <w:rPr>
          <w:rFonts w:ascii="仿宋_GB2312" w:eastAsia="仿宋_GB2312"/>
          <w:sz w:val="28"/>
          <w:szCs w:val="28"/>
        </w:rPr>
        <w:t>比上年增加</w:t>
      </w:r>
      <w:r>
        <w:rPr>
          <w:rFonts w:hint="eastAsia" w:ascii="仿宋_GB2312" w:eastAsia="仿宋_GB2312"/>
          <w:sz w:val="28"/>
          <w:szCs w:val="28"/>
          <w:lang w:val="en-US" w:eastAsia="zh-CN"/>
        </w:rPr>
        <w:t>10331.22</w:t>
      </w:r>
      <w:r>
        <w:rPr>
          <w:rFonts w:hint="eastAsia" w:ascii="仿宋_GB2312" w:eastAsia="仿宋_GB2312"/>
          <w:sz w:val="28"/>
          <w:szCs w:val="28"/>
        </w:rPr>
        <w:t>万元，增长</w:t>
      </w:r>
      <w:r>
        <w:rPr>
          <w:rFonts w:hint="eastAsia" w:ascii="仿宋_GB2312" w:eastAsia="仿宋_GB2312"/>
          <w:sz w:val="28"/>
          <w:szCs w:val="28"/>
          <w:lang w:val="en-US" w:eastAsia="zh-CN"/>
        </w:rPr>
        <w:t>30.3</w:t>
      </w:r>
      <w:r>
        <w:rPr>
          <w:rFonts w:hint="eastAsia" w:ascii="仿宋_GB2312" w:eastAsia="仿宋_GB2312"/>
          <w:sz w:val="28"/>
          <w:szCs w:val="28"/>
        </w:rPr>
        <w:t>%</w:t>
      </w:r>
      <w:r>
        <w:rPr>
          <w:rFonts w:hint="eastAsia" w:ascii="仿宋_GB2312" w:eastAsia="仿宋_GB2312"/>
          <w:sz w:val="28"/>
          <w:szCs w:val="28"/>
          <w:lang w:eastAsia="zh-CN"/>
        </w:rPr>
        <w:t>。</w:t>
      </w:r>
    </w:p>
    <w:p>
      <w:pPr>
        <w:tabs>
          <w:tab w:val="center" w:pos="6979"/>
        </w:tabs>
        <w:spacing w:line="580" w:lineRule="exact"/>
        <w:ind w:firstLine="560" w:firstLineChars="200"/>
      </w:pPr>
      <w:r>
        <w:rPr>
          <w:rFonts w:hint="eastAsia" w:ascii="仿宋_GB2312" w:eastAsia="仿宋_GB2312"/>
          <w:sz w:val="28"/>
          <w:szCs w:val="28"/>
        </w:rPr>
        <w:t>1.财政拨款收入</w:t>
      </w:r>
      <w:r>
        <w:rPr>
          <w:rFonts w:ascii="仿宋_GB2312" w:eastAsia="仿宋_GB2312"/>
          <w:sz w:val="28"/>
          <w:szCs w:val="28"/>
        </w:rPr>
        <w:t>34150.06</w:t>
      </w:r>
      <w:r>
        <w:rPr>
          <w:rFonts w:hint="eastAsia" w:ascii="仿宋_GB2312" w:eastAsia="仿宋_GB2312"/>
          <w:sz w:val="28"/>
          <w:szCs w:val="28"/>
        </w:rPr>
        <w:t>万元，占收入合计的</w:t>
      </w:r>
      <w:r>
        <w:rPr>
          <w:rFonts w:hint="eastAsia" w:ascii="仿宋_GB2312" w:eastAsia="仿宋_GB2312"/>
          <w:sz w:val="28"/>
          <w:szCs w:val="28"/>
          <w:lang w:eastAsia="zh-CN"/>
        </w:rPr>
        <w:t>100%</w:t>
      </w:r>
      <w:r>
        <w:rPr>
          <w:rFonts w:hint="eastAsia" w:ascii="仿宋_GB2312" w:eastAsia="仿宋_GB2312"/>
          <w:sz w:val="28"/>
          <w:szCs w:val="28"/>
        </w:rPr>
        <w:t>。其中：一般公共预算财政拨款收入</w:t>
      </w:r>
      <w:r>
        <w:rPr>
          <w:rFonts w:ascii="仿宋_GB2312" w:eastAsia="仿宋_GB2312"/>
          <w:sz w:val="28"/>
          <w:szCs w:val="28"/>
        </w:rPr>
        <w:t>32976.58</w:t>
      </w:r>
      <w:r>
        <w:rPr>
          <w:rFonts w:hint="eastAsia" w:ascii="仿宋_GB2312" w:eastAsia="仿宋_GB2312"/>
          <w:sz w:val="28"/>
          <w:szCs w:val="28"/>
        </w:rPr>
        <w:t>万元，占收入合计的</w:t>
      </w:r>
      <w:r>
        <w:rPr>
          <w:rFonts w:hint="eastAsia" w:ascii="仿宋_GB2312" w:eastAsia="仿宋_GB2312"/>
          <w:sz w:val="28"/>
          <w:szCs w:val="28"/>
          <w:lang w:eastAsia="zh-CN"/>
        </w:rPr>
        <w:t>96.56</w:t>
      </w:r>
      <w:r>
        <w:rPr>
          <w:rFonts w:hint="eastAsia" w:ascii="仿宋_GB2312" w:eastAsia="仿宋_GB2312"/>
          <w:sz w:val="28"/>
          <w:szCs w:val="28"/>
        </w:rPr>
        <w:t>%；政府性基金预算财政拨款收入</w:t>
      </w:r>
      <w:r>
        <w:rPr>
          <w:rFonts w:ascii="仿宋_GB2312" w:eastAsia="仿宋_GB2312"/>
          <w:sz w:val="28"/>
          <w:szCs w:val="28"/>
        </w:rPr>
        <w:t>1173.48</w:t>
      </w:r>
      <w:r>
        <w:rPr>
          <w:rFonts w:hint="eastAsia" w:ascii="仿宋_GB2312" w:eastAsia="仿宋_GB2312"/>
          <w:sz w:val="28"/>
          <w:szCs w:val="28"/>
        </w:rPr>
        <w:t>万元，占收入合计的</w:t>
      </w:r>
      <w:r>
        <w:rPr>
          <w:rFonts w:hint="eastAsia" w:ascii="仿宋_GB2312" w:eastAsia="仿宋_GB2312"/>
          <w:sz w:val="28"/>
          <w:szCs w:val="28"/>
          <w:lang w:eastAsia="zh-CN"/>
        </w:rPr>
        <w:t>3.44</w:t>
      </w:r>
      <w:r>
        <w:rPr>
          <w:rFonts w:hint="eastAsia" w:ascii="仿宋_GB2312" w:eastAsia="仿宋_GB2312"/>
          <w:sz w:val="28"/>
          <w:szCs w:val="28"/>
        </w:rPr>
        <w:t>%；国有资本经营预算财政拨款收入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pStyle w:val="3"/>
        <w:ind w:firstLine="0"/>
        <w:jc w:val="center"/>
      </w:pPr>
      <w:r>
        <w:rPr>
          <w:rFonts w:hint="eastAsia" w:ascii="仿宋_GB2312" w:eastAsia="仿宋_GB2312"/>
          <w:color w:val="000000"/>
          <w:sz w:val="32"/>
          <w:szCs w:val="32"/>
          <w:highlight w:val="none"/>
          <w:lang w:val="en-US" w:eastAsia="zh-CN"/>
        </w:rPr>
        <w:t>图1：收入决算</w:t>
      </w:r>
    </w:p>
    <w:p>
      <w:pPr>
        <w:pStyle w:val="4"/>
        <w:ind w:firstLine="420"/>
        <w:jc w:val="center"/>
      </w:pPr>
      <w:r>
        <w:drawing>
          <wp:inline distT="0" distB="0" distL="0" distR="0">
            <wp:extent cx="4036695" cy="2328545"/>
            <wp:effectExtent l="4445" t="4445" r="16510" b="10160"/>
            <wp:docPr id="2" name="图表 2"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度本年支出合计</w:t>
      </w:r>
      <w:r>
        <w:rPr>
          <w:rFonts w:ascii="仿宋_GB2312" w:eastAsia="仿宋_GB2312"/>
          <w:sz w:val="28"/>
          <w:szCs w:val="28"/>
        </w:rPr>
        <w:t>34902.48</w:t>
      </w:r>
      <w:r>
        <w:rPr>
          <w:rFonts w:hint="eastAsia" w:ascii="仿宋_GB2312" w:eastAsia="仿宋_GB2312"/>
          <w:sz w:val="28"/>
          <w:szCs w:val="28"/>
        </w:rPr>
        <w:t>万元，</w:t>
      </w:r>
      <w:r>
        <w:rPr>
          <w:rFonts w:ascii="仿宋_GB2312" w:eastAsia="仿宋_GB2312"/>
          <w:sz w:val="28"/>
          <w:szCs w:val="28"/>
        </w:rPr>
        <w:t>比上年增加</w:t>
      </w:r>
      <w:r>
        <w:rPr>
          <w:rFonts w:hint="eastAsia" w:ascii="仿宋_GB2312" w:eastAsia="仿宋_GB2312"/>
          <w:sz w:val="28"/>
          <w:szCs w:val="28"/>
          <w:lang w:val="en-US" w:eastAsia="zh-CN"/>
        </w:rPr>
        <w:t>2609.09</w:t>
      </w:r>
      <w:r>
        <w:rPr>
          <w:rFonts w:hint="eastAsia" w:ascii="仿宋_GB2312" w:eastAsia="仿宋_GB2312"/>
          <w:sz w:val="28"/>
          <w:szCs w:val="28"/>
        </w:rPr>
        <w:t>万元，增长</w:t>
      </w:r>
      <w:r>
        <w:rPr>
          <w:rFonts w:hint="eastAsia" w:ascii="仿宋_GB2312" w:eastAsia="仿宋_GB2312"/>
          <w:sz w:val="28"/>
          <w:szCs w:val="28"/>
          <w:lang w:val="en-US" w:eastAsia="zh-CN"/>
        </w:rPr>
        <w:t>7.5</w:t>
      </w:r>
      <w:r>
        <w:rPr>
          <w:rFonts w:hint="eastAsia" w:ascii="仿宋_GB2312" w:eastAsia="仿宋_GB2312"/>
          <w:sz w:val="28"/>
          <w:szCs w:val="28"/>
        </w:rPr>
        <w:t>%，其中：基本支出</w:t>
      </w:r>
      <w:r>
        <w:rPr>
          <w:rFonts w:ascii="仿宋_GB2312" w:eastAsia="仿宋_GB2312"/>
          <w:sz w:val="28"/>
          <w:szCs w:val="28"/>
        </w:rPr>
        <w:t>3241.46</w:t>
      </w:r>
      <w:r>
        <w:rPr>
          <w:rFonts w:hint="eastAsia" w:ascii="仿宋_GB2312" w:eastAsia="仿宋_GB2312"/>
          <w:sz w:val="28"/>
          <w:szCs w:val="28"/>
        </w:rPr>
        <w:t>万元，占支出合计的</w:t>
      </w:r>
      <w:r>
        <w:rPr>
          <w:rFonts w:hint="eastAsia" w:ascii="仿宋_GB2312" w:eastAsia="仿宋_GB2312"/>
          <w:sz w:val="28"/>
          <w:szCs w:val="28"/>
          <w:lang w:eastAsia="zh-CN"/>
        </w:rPr>
        <w:t>9.29</w:t>
      </w:r>
      <w:r>
        <w:rPr>
          <w:rFonts w:hint="eastAsia" w:ascii="仿宋_GB2312" w:eastAsia="仿宋_GB2312"/>
          <w:sz w:val="28"/>
          <w:szCs w:val="28"/>
        </w:rPr>
        <w:t>%；项目支出</w:t>
      </w:r>
      <w:r>
        <w:rPr>
          <w:rFonts w:ascii="仿宋_GB2312" w:eastAsia="仿宋_GB2312"/>
          <w:sz w:val="28"/>
          <w:szCs w:val="28"/>
        </w:rPr>
        <w:t>31661.03</w:t>
      </w:r>
      <w:r>
        <w:rPr>
          <w:rFonts w:hint="eastAsia" w:ascii="仿宋_GB2312" w:eastAsia="仿宋_GB2312"/>
          <w:sz w:val="28"/>
          <w:szCs w:val="28"/>
        </w:rPr>
        <w:t>万元，占支出合计的</w:t>
      </w:r>
      <w:r>
        <w:rPr>
          <w:rFonts w:hint="eastAsia" w:ascii="仿宋_GB2312" w:eastAsia="仿宋_GB2312"/>
          <w:sz w:val="28"/>
          <w:szCs w:val="28"/>
          <w:lang w:eastAsia="zh-CN"/>
        </w:rPr>
        <w:t>90.71</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%；经营支出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%；对附属单位补助支出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w:t>
      </w:r>
    </w:p>
    <w:p>
      <w:pPr>
        <w:spacing w:line="560" w:lineRule="exact"/>
        <w:ind w:firstLine="640"/>
        <w:rPr>
          <w:rFonts w:hint="eastAsia" w:ascii="仿宋_GB2312" w:eastAsia="仿宋_GB2312" w:cs="Droid Sans"/>
          <w:color w:val="000000"/>
          <w:sz w:val="32"/>
          <w:szCs w:val="32"/>
          <w:highlight w:val="none"/>
          <w:lang w:eastAsia="zh-CN"/>
        </w:rPr>
      </w:pPr>
    </w:p>
    <w:p>
      <w:pPr>
        <w:pStyle w:val="3"/>
        <w:ind w:firstLine="5772" w:firstLineChars="1804"/>
        <w:jc w:val="both"/>
        <w:rPr>
          <w:rFonts w:ascii="仿宋_GB2312" w:eastAsia="仿宋_GB2312"/>
          <w:color w:val="000000"/>
          <w:sz w:val="32"/>
        </w:rPr>
      </w:pPr>
      <w:r>
        <w:rPr>
          <w:rFonts w:hint="eastAsia" w:ascii="仿宋_GB2312" w:eastAsia="仿宋_GB2312"/>
          <w:color w:val="000000"/>
          <w:sz w:val="32"/>
        </w:rPr>
        <w:t>图2：支出</w:t>
      </w:r>
      <w:r>
        <w:rPr>
          <w:rFonts w:hint="eastAsia" w:ascii="仿宋_GB2312" w:eastAsia="仿宋_GB2312"/>
          <w:color w:val="000000"/>
          <w:sz w:val="32"/>
          <w:lang w:val="en-US" w:eastAsia="zh-CN"/>
        </w:rPr>
        <w:t>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true"/>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34902.48</w:t>
      </w:r>
      <w:r>
        <w:rPr>
          <w:rFonts w:hint="eastAsia" w:ascii="仿宋_GB2312" w:eastAsia="仿宋_GB2312"/>
          <w:sz w:val="28"/>
          <w:szCs w:val="28"/>
        </w:rPr>
        <w:t>万元，比上年</w:t>
      </w:r>
      <w:r>
        <w:rPr>
          <w:rFonts w:ascii="仿宋_GB2312" w:eastAsia="仿宋_GB2312"/>
          <w:sz w:val="28"/>
          <w:szCs w:val="28"/>
        </w:rPr>
        <w:t>增加</w:t>
      </w:r>
      <w:r>
        <w:rPr>
          <w:rFonts w:hint="eastAsia" w:ascii="仿宋_GB2312" w:eastAsia="仿宋_GB2312"/>
          <w:sz w:val="28"/>
          <w:szCs w:val="28"/>
          <w:lang w:val="en-US" w:eastAsia="zh-CN"/>
        </w:rPr>
        <w:t>9680.57</w:t>
      </w:r>
      <w:r>
        <w:rPr>
          <w:rFonts w:hint="eastAsia" w:ascii="仿宋_GB2312" w:eastAsia="仿宋_GB2312"/>
          <w:sz w:val="28"/>
          <w:szCs w:val="28"/>
        </w:rPr>
        <w:t>万元，增长</w:t>
      </w:r>
      <w:r>
        <w:rPr>
          <w:rFonts w:hint="eastAsia" w:ascii="仿宋_GB2312" w:eastAsia="仿宋_GB2312"/>
          <w:sz w:val="28"/>
          <w:szCs w:val="28"/>
          <w:lang w:val="en-US" w:eastAsia="zh-CN"/>
        </w:rPr>
        <w:t>27.7%</w:t>
      </w:r>
      <w:r>
        <w:rPr>
          <w:rFonts w:hint="eastAsia" w:ascii="仿宋_GB2312" w:eastAsia="仿宋_GB2312"/>
          <w:sz w:val="28"/>
          <w:szCs w:val="28"/>
        </w:rPr>
        <w:t>。主要原因：</w:t>
      </w:r>
      <w:r>
        <w:rPr>
          <w:rFonts w:hint="eastAsia" w:ascii="仿宋_GB2312" w:eastAsia="仿宋_GB2312"/>
          <w:sz w:val="28"/>
          <w:szCs w:val="28"/>
          <w:lang w:eastAsia="zh-CN"/>
        </w:rPr>
        <w:t>本年项目增加</w:t>
      </w:r>
      <w:r>
        <w:rPr>
          <w:rFonts w:hint="eastAsia" w:ascii="仿宋_GB2312" w:eastAsia="仿宋_GB2312"/>
          <w:sz w:val="28"/>
          <w:szCs w:val="28"/>
        </w:rPr>
        <w:t>。</w:t>
      </w:r>
    </w:p>
    <w:p>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hint="default" w:ascii="仿宋_GB2312" w:eastAsia="仿宋_GB2312"/>
          <w:sz w:val="28"/>
          <w:szCs w:val="28"/>
          <w:lang w:val="en-US" w:eastAsia="zh-CN"/>
        </w:rPr>
      </w:pPr>
      <w:r>
        <w:rPr>
          <w:rFonts w:hint="eastAsia" w:ascii="仿宋_GB2312" w:eastAsia="仿宋_GB2312"/>
          <w:sz w:val="28"/>
          <w:szCs w:val="28"/>
          <w:lang w:eastAsia="zh-CN"/>
        </w:rPr>
        <w:t>2025年</w:t>
      </w:r>
      <w:r>
        <w:rPr>
          <w:rFonts w:hint="eastAsia" w:ascii="仿宋_GB2312" w:eastAsia="仿宋_GB2312"/>
          <w:sz w:val="28"/>
          <w:szCs w:val="28"/>
        </w:rPr>
        <w:t>度一般公共预算财政拨款支出</w:t>
      </w:r>
      <w:r>
        <w:rPr>
          <w:rFonts w:ascii="仿宋_GB2312" w:eastAsia="仿宋_GB2312"/>
          <w:sz w:val="28"/>
          <w:szCs w:val="28"/>
        </w:rPr>
        <w:t>33729</w:t>
      </w:r>
      <w:r>
        <w:rPr>
          <w:rFonts w:hint="eastAsia" w:ascii="仿宋_GB2312" w:eastAsia="仿宋_GB2312"/>
          <w:sz w:val="28"/>
          <w:szCs w:val="28"/>
        </w:rPr>
        <w:t>万元，主要用于以下方面（按大类）：一般公共服务支出3927.4</w:t>
      </w:r>
      <w:r>
        <w:rPr>
          <w:rFonts w:hint="eastAsia" w:ascii="仿宋_GB2312" w:eastAsia="仿宋_GB2312"/>
          <w:sz w:val="28"/>
          <w:szCs w:val="28"/>
          <w:lang w:val="en-US" w:eastAsia="zh-CN"/>
        </w:rPr>
        <w:t>6</w:t>
      </w:r>
      <w:r>
        <w:rPr>
          <w:rFonts w:hint="eastAsia" w:ascii="仿宋_GB2312" w:eastAsia="仿宋_GB2312"/>
          <w:sz w:val="28"/>
          <w:szCs w:val="28"/>
        </w:rPr>
        <w:t>万元，占本年财政拨款支出</w:t>
      </w:r>
      <w:r>
        <w:rPr>
          <w:rFonts w:hint="eastAsia" w:ascii="仿宋_GB2312" w:eastAsia="仿宋_GB2312"/>
          <w:sz w:val="28"/>
          <w:szCs w:val="28"/>
          <w:lang w:val="en-US" w:eastAsia="zh-CN"/>
        </w:rPr>
        <w:t>11.6</w:t>
      </w:r>
      <w:r>
        <w:rPr>
          <w:rFonts w:hint="eastAsia" w:ascii="仿宋_GB2312" w:eastAsia="仿宋_GB2312"/>
          <w:sz w:val="28"/>
          <w:szCs w:val="28"/>
        </w:rPr>
        <w:t>%；文化旅游体育与传媒支出</w:t>
      </w:r>
      <w:r>
        <w:rPr>
          <w:rFonts w:hint="eastAsia" w:ascii="仿宋_GB2312" w:eastAsia="仿宋_GB2312"/>
          <w:sz w:val="28"/>
          <w:szCs w:val="28"/>
          <w:lang w:val="en-US" w:eastAsia="zh-CN"/>
        </w:rPr>
        <w:t>806.38万元，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2.4</w:t>
      </w:r>
      <w:r>
        <w:rPr>
          <w:rFonts w:hint="eastAsia" w:ascii="仿宋_GB2312" w:eastAsia="仿宋_GB2312"/>
          <w:sz w:val="28"/>
          <w:szCs w:val="28"/>
        </w:rPr>
        <w:t>%；</w:t>
      </w:r>
      <w:r>
        <w:rPr>
          <w:rFonts w:hint="eastAsia" w:ascii="仿宋_GB2312" w:eastAsia="仿宋_GB2312"/>
          <w:sz w:val="28"/>
          <w:szCs w:val="28"/>
          <w:lang w:val="en-US" w:eastAsia="zh-CN"/>
        </w:rPr>
        <w:t>社会保障和就业支出567.51万元，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1.7</w:t>
      </w:r>
      <w:r>
        <w:rPr>
          <w:rFonts w:hint="eastAsia" w:ascii="仿宋_GB2312" w:eastAsia="仿宋_GB2312"/>
          <w:sz w:val="28"/>
          <w:szCs w:val="28"/>
        </w:rPr>
        <w:t>%；</w:t>
      </w:r>
      <w:r>
        <w:rPr>
          <w:rFonts w:hint="eastAsia" w:ascii="仿宋_GB2312" w:eastAsia="仿宋_GB2312"/>
          <w:sz w:val="28"/>
          <w:szCs w:val="28"/>
          <w:lang w:val="en-US" w:eastAsia="zh-CN"/>
        </w:rPr>
        <w:t>卫生健康支出224.51万元，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0.7</w:t>
      </w:r>
      <w:r>
        <w:rPr>
          <w:rFonts w:hint="eastAsia" w:ascii="仿宋_GB2312" w:eastAsia="仿宋_GB2312"/>
          <w:sz w:val="28"/>
          <w:szCs w:val="28"/>
        </w:rPr>
        <w:t>%；</w:t>
      </w:r>
      <w:r>
        <w:rPr>
          <w:rFonts w:hint="eastAsia" w:ascii="仿宋_GB2312" w:eastAsia="仿宋_GB2312"/>
          <w:sz w:val="28"/>
          <w:szCs w:val="28"/>
          <w:lang w:val="en-US" w:eastAsia="zh-CN"/>
        </w:rPr>
        <w:t>节能环保支出342.24万元，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1</w:t>
      </w:r>
      <w:r>
        <w:rPr>
          <w:rFonts w:hint="eastAsia" w:ascii="仿宋_GB2312" w:eastAsia="仿宋_GB2312"/>
          <w:sz w:val="28"/>
          <w:szCs w:val="28"/>
        </w:rPr>
        <w:t>%；</w:t>
      </w:r>
      <w:r>
        <w:rPr>
          <w:rFonts w:hint="eastAsia" w:ascii="仿宋_GB2312" w:eastAsia="仿宋_GB2312"/>
          <w:sz w:val="28"/>
          <w:szCs w:val="28"/>
          <w:lang w:val="en-US" w:eastAsia="zh-CN"/>
        </w:rPr>
        <w:t>城乡社区支出1546.12万元，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4.6</w:t>
      </w:r>
      <w:r>
        <w:rPr>
          <w:rFonts w:hint="eastAsia" w:ascii="仿宋_GB2312" w:eastAsia="仿宋_GB2312"/>
          <w:sz w:val="28"/>
          <w:szCs w:val="28"/>
        </w:rPr>
        <w:t>%；</w:t>
      </w:r>
      <w:r>
        <w:rPr>
          <w:rFonts w:hint="eastAsia" w:ascii="仿宋_GB2312" w:eastAsia="仿宋_GB2312"/>
          <w:sz w:val="28"/>
          <w:szCs w:val="28"/>
          <w:lang w:val="en-US" w:eastAsia="zh-CN"/>
        </w:rPr>
        <w:t>农林水支出13652.97万元，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40.5</w:t>
      </w:r>
      <w:r>
        <w:rPr>
          <w:rFonts w:hint="eastAsia" w:ascii="仿宋_GB2312" w:eastAsia="仿宋_GB2312"/>
          <w:sz w:val="28"/>
          <w:szCs w:val="28"/>
        </w:rPr>
        <w:t>%；</w:t>
      </w:r>
      <w:r>
        <w:rPr>
          <w:rFonts w:hint="eastAsia" w:ascii="仿宋_GB2312" w:eastAsia="仿宋_GB2312"/>
          <w:sz w:val="28"/>
          <w:szCs w:val="28"/>
          <w:lang w:val="en-US" w:eastAsia="zh-CN"/>
        </w:rPr>
        <w:t>交通运输支出47.67万元，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0.1</w:t>
      </w:r>
      <w:r>
        <w:rPr>
          <w:rFonts w:hint="eastAsia" w:ascii="仿宋_GB2312" w:eastAsia="仿宋_GB2312"/>
          <w:sz w:val="28"/>
          <w:szCs w:val="28"/>
        </w:rPr>
        <w:t>%；</w:t>
      </w:r>
      <w:r>
        <w:rPr>
          <w:rFonts w:hint="eastAsia" w:ascii="仿宋_GB2312" w:eastAsia="仿宋_GB2312"/>
          <w:sz w:val="28"/>
          <w:szCs w:val="28"/>
          <w:lang w:val="en-US" w:eastAsia="zh-CN"/>
        </w:rPr>
        <w:t>住房保障支出78万元，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0.2</w:t>
      </w:r>
      <w:r>
        <w:rPr>
          <w:rFonts w:hint="eastAsia" w:ascii="仿宋_GB2312" w:eastAsia="仿宋_GB2312"/>
          <w:sz w:val="28"/>
          <w:szCs w:val="28"/>
        </w:rPr>
        <w:t>%；</w:t>
      </w:r>
      <w:r>
        <w:rPr>
          <w:rFonts w:hint="eastAsia" w:ascii="仿宋_GB2312" w:eastAsia="仿宋_GB2312"/>
          <w:sz w:val="28"/>
          <w:szCs w:val="28"/>
          <w:lang w:val="en-US" w:eastAsia="zh-CN"/>
        </w:rPr>
        <w:t>灾害防治及应急管理支出12536.15万元，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37.2</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（二）一般公共预算财政拨款支出决算具体情况</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1、“一般公共服务支出”（类）</w:t>
      </w:r>
      <w:r>
        <w:rPr>
          <w:rFonts w:hint="eastAsia" w:ascii="仿宋_GB2312" w:eastAsia="仿宋_GB2312"/>
          <w:sz w:val="28"/>
          <w:szCs w:val="28"/>
          <w:lang w:eastAsia="zh-CN"/>
        </w:rPr>
        <w:t>2025年</w:t>
      </w:r>
      <w:r>
        <w:rPr>
          <w:rFonts w:hint="eastAsia" w:ascii="仿宋_GB2312" w:eastAsia="仿宋_GB2312"/>
          <w:sz w:val="28"/>
          <w:szCs w:val="28"/>
        </w:rPr>
        <w:t>度决算3927.4</w:t>
      </w:r>
      <w:r>
        <w:rPr>
          <w:rFonts w:hint="eastAsia" w:ascii="仿宋_GB2312" w:eastAsia="仿宋_GB2312"/>
          <w:sz w:val="28"/>
          <w:szCs w:val="28"/>
          <w:lang w:val="en-US" w:eastAsia="zh-CN"/>
        </w:rPr>
        <w:t>6</w:t>
      </w:r>
      <w:r>
        <w:rPr>
          <w:rFonts w:hint="eastAsia" w:ascii="仿宋_GB2312" w:eastAsia="仿宋_GB2312"/>
          <w:sz w:val="28"/>
          <w:szCs w:val="28"/>
        </w:rPr>
        <w:t>万元</w:t>
      </w:r>
      <w:r>
        <w:rPr>
          <w:rFonts w:hint="eastAsia" w:ascii="仿宋_GB2312" w:eastAsia="仿宋_GB2312"/>
          <w:sz w:val="28"/>
          <w:szCs w:val="28"/>
          <w:lang w:eastAsia="zh-CN"/>
        </w:rPr>
        <w:t>。</w:t>
      </w:r>
      <w:r>
        <w:rPr>
          <w:rFonts w:hint="eastAsia" w:ascii="仿宋_GB2312" w:eastAsia="仿宋_GB2312"/>
          <w:sz w:val="28"/>
          <w:szCs w:val="28"/>
        </w:rPr>
        <w:t>2、“文化旅游体育与传媒支出”(类)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806.38</w:t>
      </w:r>
      <w:r>
        <w:rPr>
          <w:rFonts w:hint="eastAsia" w:ascii="仿宋_GB2312" w:eastAsia="仿宋_GB2312"/>
          <w:sz w:val="28"/>
          <w:szCs w:val="28"/>
        </w:rPr>
        <w:t>万元</w:t>
      </w:r>
      <w:r>
        <w:rPr>
          <w:rFonts w:hint="eastAsia" w:ascii="仿宋_GB2312" w:eastAsia="仿宋_GB2312"/>
          <w:sz w:val="28"/>
          <w:szCs w:val="28"/>
          <w:lang w:eastAsia="zh-CN"/>
        </w:rPr>
        <w:t>。</w:t>
      </w:r>
      <w:r>
        <w:rPr>
          <w:rFonts w:hint="eastAsia" w:ascii="仿宋_GB2312" w:eastAsia="仿宋_GB2312"/>
          <w:sz w:val="28"/>
          <w:szCs w:val="28"/>
          <w:lang w:val="en-US" w:eastAsia="zh-CN"/>
        </w:rPr>
        <w:t>3</w:t>
      </w:r>
      <w:r>
        <w:rPr>
          <w:rFonts w:hint="eastAsia" w:ascii="仿宋_GB2312" w:eastAsia="仿宋_GB2312"/>
          <w:sz w:val="28"/>
          <w:szCs w:val="28"/>
        </w:rPr>
        <w:t>、“</w:t>
      </w:r>
      <w:r>
        <w:rPr>
          <w:rFonts w:hint="eastAsia" w:ascii="仿宋_GB2312" w:eastAsia="仿宋_GB2312"/>
          <w:sz w:val="28"/>
          <w:szCs w:val="28"/>
          <w:lang w:val="en-US" w:eastAsia="zh-CN"/>
        </w:rPr>
        <w:t>社会保障和就业支出</w:t>
      </w:r>
      <w:r>
        <w:rPr>
          <w:rFonts w:hint="eastAsia" w:ascii="仿宋_GB2312" w:eastAsia="仿宋_GB2312"/>
          <w:sz w:val="28"/>
          <w:szCs w:val="28"/>
        </w:rPr>
        <w:t>”（类）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567.51</w:t>
      </w:r>
      <w:r>
        <w:rPr>
          <w:rFonts w:hint="eastAsia" w:ascii="仿宋_GB2312" w:eastAsia="仿宋_GB2312"/>
          <w:sz w:val="28"/>
          <w:szCs w:val="28"/>
        </w:rPr>
        <w:t>万元</w:t>
      </w:r>
      <w:r>
        <w:rPr>
          <w:rFonts w:hint="eastAsia" w:ascii="仿宋_GB2312" w:eastAsia="仿宋_GB2312"/>
          <w:sz w:val="28"/>
          <w:szCs w:val="28"/>
          <w:lang w:eastAsia="zh-CN"/>
        </w:rPr>
        <w:t>。</w:t>
      </w:r>
      <w:r>
        <w:rPr>
          <w:rFonts w:hint="eastAsia" w:ascii="仿宋_GB2312" w:eastAsia="仿宋_GB2312"/>
          <w:sz w:val="28"/>
          <w:szCs w:val="28"/>
          <w:lang w:val="en-US" w:eastAsia="zh-CN"/>
        </w:rPr>
        <w:t>4</w:t>
      </w:r>
      <w:r>
        <w:rPr>
          <w:rFonts w:hint="eastAsia" w:ascii="仿宋_GB2312" w:eastAsia="仿宋_GB2312"/>
          <w:sz w:val="28"/>
          <w:szCs w:val="28"/>
        </w:rPr>
        <w:t>、“</w:t>
      </w:r>
      <w:r>
        <w:rPr>
          <w:rFonts w:hint="eastAsia" w:ascii="仿宋_GB2312" w:eastAsia="仿宋_GB2312"/>
          <w:sz w:val="28"/>
          <w:szCs w:val="28"/>
          <w:lang w:val="en-US" w:eastAsia="zh-CN"/>
        </w:rPr>
        <w:t>卫生健康支出</w:t>
      </w:r>
      <w:r>
        <w:rPr>
          <w:rFonts w:hint="eastAsia" w:ascii="仿宋_GB2312" w:eastAsia="仿宋_GB2312"/>
          <w:sz w:val="28"/>
          <w:szCs w:val="28"/>
        </w:rPr>
        <w:t>”(类)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224.51</w:t>
      </w:r>
      <w:r>
        <w:rPr>
          <w:rFonts w:hint="eastAsia" w:ascii="仿宋_GB2312" w:eastAsia="仿宋_GB2312"/>
          <w:sz w:val="28"/>
          <w:szCs w:val="28"/>
        </w:rPr>
        <w:t>万元</w:t>
      </w:r>
      <w:r>
        <w:rPr>
          <w:rFonts w:hint="eastAsia" w:ascii="仿宋_GB2312" w:eastAsia="仿宋_GB2312"/>
          <w:sz w:val="28"/>
          <w:szCs w:val="28"/>
          <w:lang w:eastAsia="zh-CN"/>
        </w:rPr>
        <w:t>。</w:t>
      </w:r>
      <w:r>
        <w:rPr>
          <w:rFonts w:hint="eastAsia" w:ascii="仿宋_GB2312" w:eastAsia="仿宋_GB2312"/>
          <w:sz w:val="28"/>
          <w:szCs w:val="28"/>
          <w:lang w:val="en-US" w:eastAsia="zh-CN"/>
        </w:rPr>
        <w:t>5</w:t>
      </w:r>
      <w:r>
        <w:rPr>
          <w:rFonts w:hint="eastAsia" w:ascii="仿宋_GB2312" w:eastAsia="仿宋_GB2312"/>
          <w:sz w:val="28"/>
          <w:szCs w:val="28"/>
        </w:rPr>
        <w:t>、“</w:t>
      </w:r>
      <w:r>
        <w:rPr>
          <w:rFonts w:hint="eastAsia" w:ascii="仿宋_GB2312" w:eastAsia="仿宋_GB2312"/>
          <w:sz w:val="28"/>
          <w:szCs w:val="28"/>
          <w:lang w:val="en-US" w:eastAsia="zh-CN"/>
        </w:rPr>
        <w:t>节能环保支出</w:t>
      </w:r>
      <w:r>
        <w:rPr>
          <w:rFonts w:hint="eastAsia" w:ascii="仿宋_GB2312" w:eastAsia="仿宋_GB2312"/>
          <w:sz w:val="28"/>
          <w:szCs w:val="28"/>
        </w:rPr>
        <w:t>”（类）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342.24</w:t>
      </w:r>
      <w:r>
        <w:rPr>
          <w:rFonts w:hint="eastAsia" w:ascii="仿宋_GB2312" w:eastAsia="仿宋_GB2312"/>
          <w:sz w:val="28"/>
          <w:szCs w:val="28"/>
        </w:rPr>
        <w:t>万元</w:t>
      </w:r>
      <w:r>
        <w:rPr>
          <w:rFonts w:hint="eastAsia" w:ascii="仿宋_GB2312" w:eastAsia="仿宋_GB2312"/>
          <w:sz w:val="28"/>
          <w:szCs w:val="28"/>
          <w:lang w:eastAsia="zh-CN"/>
        </w:rPr>
        <w:t>。</w:t>
      </w:r>
      <w:r>
        <w:rPr>
          <w:rFonts w:hint="eastAsia" w:ascii="仿宋_GB2312" w:eastAsia="仿宋_GB2312"/>
          <w:sz w:val="28"/>
          <w:szCs w:val="28"/>
          <w:lang w:val="en-US" w:eastAsia="zh-CN"/>
        </w:rPr>
        <w:t>6</w:t>
      </w:r>
      <w:r>
        <w:rPr>
          <w:rFonts w:hint="eastAsia" w:ascii="仿宋_GB2312" w:eastAsia="仿宋_GB2312"/>
          <w:sz w:val="28"/>
          <w:szCs w:val="28"/>
        </w:rPr>
        <w:t>、“</w:t>
      </w:r>
      <w:r>
        <w:rPr>
          <w:rFonts w:hint="eastAsia" w:ascii="仿宋_GB2312" w:eastAsia="仿宋_GB2312"/>
          <w:sz w:val="28"/>
          <w:szCs w:val="28"/>
          <w:lang w:val="en-US" w:eastAsia="zh-CN"/>
        </w:rPr>
        <w:t>城乡社区支出</w:t>
      </w:r>
      <w:r>
        <w:rPr>
          <w:rFonts w:hint="eastAsia" w:ascii="仿宋_GB2312" w:eastAsia="仿宋_GB2312"/>
          <w:sz w:val="28"/>
          <w:szCs w:val="28"/>
        </w:rPr>
        <w:t>”(类)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1546.12</w:t>
      </w:r>
      <w:r>
        <w:rPr>
          <w:rFonts w:hint="eastAsia" w:ascii="仿宋_GB2312" w:eastAsia="仿宋_GB2312"/>
          <w:sz w:val="28"/>
          <w:szCs w:val="28"/>
        </w:rPr>
        <w:t>万元</w:t>
      </w:r>
      <w:r>
        <w:rPr>
          <w:rFonts w:hint="eastAsia" w:ascii="仿宋_GB2312" w:eastAsia="仿宋_GB2312"/>
          <w:sz w:val="28"/>
          <w:szCs w:val="28"/>
          <w:lang w:eastAsia="zh-CN"/>
        </w:rPr>
        <w:t>。</w:t>
      </w:r>
      <w:r>
        <w:rPr>
          <w:rFonts w:hint="eastAsia" w:ascii="仿宋_GB2312" w:eastAsia="仿宋_GB2312"/>
          <w:sz w:val="28"/>
          <w:szCs w:val="28"/>
          <w:lang w:val="en-US" w:eastAsia="zh-CN"/>
        </w:rPr>
        <w:t>7</w:t>
      </w:r>
      <w:r>
        <w:rPr>
          <w:rFonts w:hint="eastAsia" w:ascii="仿宋_GB2312" w:eastAsia="仿宋_GB2312"/>
          <w:sz w:val="28"/>
          <w:szCs w:val="28"/>
        </w:rPr>
        <w:t>、“</w:t>
      </w:r>
      <w:r>
        <w:rPr>
          <w:rFonts w:hint="eastAsia" w:ascii="仿宋_GB2312" w:eastAsia="仿宋_GB2312"/>
          <w:sz w:val="28"/>
          <w:szCs w:val="28"/>
          <w:lang w:val="en-US" w:eastAsia="zh-CN"/>
        </w:rPr>
        <w:t>农林水支出</w:t>
      </w:r>
      <w:r>
        <w:rPr>
          <w:rFonts w:hint="eastAsia" w:ascii="仿宋_GB2312" w:eastAsia="仿宋_GB2312"/>
          <w:sz w:val="28"/>
          <w:szCs w:val="28"/>
        </w:rPr>
        <w:t>”（类）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13652.97</w:t>
      </w:r>
      <w:r>
        <w:rPr>
          <w:rFonts w:hint="eastAsia" w:ascii="仿宋_GB2312" w:eastAsia="仿宋_GB2312"/>
          <w:sz w:val="28"/>
          <w:szCs w:val="28"/>
        </w:rPr>
        <w:t>万元</w:t>
      </w:r>
      <w:r>
        <w:rPr>
          <w:rFonts w:hint="eastAsia" w:ascii="仿宋_GB2312" w:eastAsia="仿宋_GB2312"/>
          <w:sz w:val="28"/>
          <w:szCs w:val="28"/>
          <w:lang w:eastAsia="zh-CN"/>
        </w:rPr>
        <w:t>。</w:t>
      </w:r>
      <w:r>
        <w:rPr>
          <w:rFonts w:hint="eastAsia" w:ascii="仿宋_GB2312" w:eastAsia="仿宋_GB2312"/>
          <w:sz w:val="28"/>
          <w:szCs w:val="28"/>
          <w:lang w:val="en-US" w:eastAsia="zh-CN"/>
        </w:rPr>
        <w:t>8</w:t>
      </w:r>
      <w:r>
        <w:rPr>
          <w:rFonts w:hint="eastAsia" w:ascii="仿宋_GB2312" w:eastAsia="仿宋_GB2312"/>
          <w:sz w:val="28"/>
          <w:szCs w:val="28"/>
        </w:rPr>
        <w:t>、“</w:t>
      </w:r>
      <w:r>
        <w:rPr>
          <w:rFonts w:hint="eastAsia" w:ascii="仿宋_GB2312" w:eastAsia="仿宋_GB2312"/>
          <w:sz w:val="28"/>
          <w:szCs w:val="28"/>
          <w:lang w:val="en-US" w:eastAsia="zh-CN"/>
        </w:rPr>
        <w:t>交通运输支出</w:t>
      </w:r>
      <w:r>
        <w:rPr>
          <w:rFonts w:hint="eastAsia" w:ascii="仿宋_GB2312" w:eastAsia="仿宋_GB2312"/>
          <w:sz w:val="28"/>
          <w:szCs w:val="28"/>
        </w:rPr>
        <w:t>”（类）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47.67</w:t>
      </w:r>
      <w:r>
        <w:rPr>
          <w:rFonts w:hint="eastAsia" w:ascii="仿宋_GB2312" w:eastAsia="仿宋_GB2312"/>
          <w:sz w:val="28"/>
          <w:szCs w:val="28"/>
        </w:rPr>
        <w:t>万元</w:t>
      </w:r>
      <w:r>
        <w:rPr>
          <w:rFonts w:hint="eastAsia" w:ascii="仿宋_GB2312" w:eastAsia="仿宋_GB2312"/>
          <w:sz w:val="28"/>
          <w:szCs w:val="28"/>
          <w:lang w:eastAsia="zh-CN"/>
        </w:rPr>
        <w:t>。</w:t>
      </w:r>
      <w:r>
        <w:rPr>
          <w:rFonts w:hint="eastAsia" w:ascii="仿宋_GB2312" w:eastAsia="仿宋_GB2312"/>
          <w:sz w:val="28"/>
          <w:szCs w:val="28"/>
          <w:lang w:val="en-US" w:eastAsia="zh-CN"/>
        </w:rPr>
        <w:t>9</w:t>
      </w:r>
      <w:r>
        <w:rPr>
          <w:rFonts w:hint="eastAsia" w:ascii="仿宋_GB2312" w:eastAsia="仿宋_GB2312"/>
          <w:sz w:val="28"/>
          <w:szCs w:val="28"/>
        </w:rPr>
        <w:t>、“</w:t>
      </w:r>
      <w:r>
        <w:rPr>
          <w:rFonts w:hint="eastAsia" w:ascii="仿宋_GB2312" w:eastAsia="仿宋_GB2312"/>
          <w:sz w:val="28"/>
          <w:szCs w:val="28"/>
          <w:lang w:val="en-US" w:eastAsia="zh-CN"/>
        </w:rPr>
        <w:t>住房保障支出</w:t>
      </w:r>
      <w:r>
        <w:rPr>
          <w:rFonts w:hint="eastAsia" w:ascii="仿宋_GB2312" w:eastAsia="仿宋_GB2312"/>
          <w:sz w:val="28"/>
          <w:szCs w:val="28"/>
        </w:rPr>
        <w:t>”(类)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78</w:t>
      </w:r>
      <w:r>
        <w:rPr>
          <w:rFonts w:hint="eastAsia" w:ascii="仿宋_GB2312" w:eastAsia="仿宋_GB2312"/>
          <w:sz w:val="28"/>
          <w:szCs w:val="28"/>
        </w:rPr>
        <w:t>万元</w:t>
      </w:r>
      <w:r>
        <w:rPr>
          <w:rFonts w:hint="eastAsia" w:ascii="仿宋_GB2312" w:eastAsia="仿宋_GB2312"/>
          <w:sz w:val="28"/>
          <w:szCs w:val="28"/>
          <w:lang w:eastAsia="zh-CN"/>
        </w:rPr>
        <w:t>。</w:t>
      </w:r>
      <w:r>
        <w:rPr>
          <w:rFonts w:hint="eastAsia" w:ascii="仿宋_GB2312" w:eastAsia="仿宋_GB2312"/>
          <w:sz w:val="28"/>
          <w:szCs w:val="28"/>
          <w:lang w:val="en-US" w:eastAsia="zh-CN"/>
        </w:rPr>
        <w:t>10</w:t>
      </w:r>
      <w:r>
        <w:rPr>
          <w:rFonts w:hint="eastAsia" w:ascii="仿宋_GB2312" w:eastAsia="仿宋_GB2312"/>
          <w:sz w:val="28"/>
          <w:szCs w:val="28"/>
        </w:rPr>
        <w:t>、“</w:t>
      </w:r>
      <w:r>
        <w:rPr>
          <w:rFonts w:hint="eastAsia" w:ascii="仿宋_GB2312" w:eastAsia="仿宋_GB2312"/>
          <w:sz w:val="28"/>
          <w:szCs w:val="28"/>
          <w:lang w:val="en-US" w:eastAsia="zh-CN"/>
        </w:rPr>
        <w:t>灾害防治及应急管理支出</w:t>
      </w:r>
      <w:r>
        <w:rPr>
          <w:rFonts w:hint="eastAsia" w:ascii="仿宋_GB2312" w:eastAsia="仿宋_GB2312"/>
          <w:sz w:val="28"/>
          <w:szCs w:val="28"/>
        </w:rPr>
        <w:t>”（类）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12536.15</w:t>
      </w:r>
      <w:r>
        <w:rPr>
          <w:rFonts w:hint="eastAsia" w:ascii="仿宋_GB2312" w:eastAsia="仿宋_GB2312"/>
          <w:sz w:val="28"/>
          <w:szCs w:val="28"/>
        </w:rPr>
        <w:t>万元</w:t>
      </w:r>
      <w:r>
        <w:rPr>
          <w:rFonts w:hint="eastAsia" w:ascii="仿宋_GB2312" w:eastAsia="仿宋_GB2312"/>
          <w:sz w:val="28"/>
          <w:szCs w:val="28"/>
          <w:lang w:eastAsia="zh-CN"/>
        </w:rPr>
        <w:t>。</w:t>
      </w:r>
      <w:r>
        <w:rPr>
          <w:rFonts w:hint="eastAsia" w:ascii="仿宋_GB2312" w:eastAsia="仿宋_GB2312"/>
          <w:sz w:val="28"/>
          <w:szCs w:val="28"/>
        </w:rPr>
        <w:t>主要原因：</w:t>
      </w:r>
      <w:r>
        <w:rPr>
          <w:rFonts w:hint="eastAsia" w:ascii="仿宋_GB2312" w:eastAsia="仿宋_GB2312"/>
          <w:sz w:val="28"/>
          <w:szCs w:val="28"/>
          <w:lang w:eastAsia="zh-CN"/>
        </w:rPr>
        <w:t>今年比去年相关类目项目增加导致</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黑体" w:eastAsia="黑体"/>
          <w:b/>
          <w:sz w:val="28"/>
          <w:szCs w:val="28"/>
        </w:rPr>
        <w:t>五、政府性基金预算财政拨款支出决算情况说明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（一）政府性基金预算财政拨款支出决算总体情况</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度政府性基金预算财政拨款支出</w:t>
      </w:r>
      <w:r>
        <w:rPr>
          <w:rFonts w:ascii="仿宋_GB2312" w:eastAsia="仿宋_GB2312"/>
          <w:sz w:val="28"/>
          <w:szCs w:val="28"/>
        </w:rPr>
        <w:t>1173.48</w:t>
      </w:r>
      <w:r>
        <w:rPr>
          <w:rFonts w:hint="eastAsia" w:ascii="仿宋_GB2312" w:eastAsia="仿宋_GB2312"/>
          <w:sz w:val="28"/>
          <w:szCs w:val="28"/>
        </w:rPr>
        <w:t>万元，主要用于以下方面（按大类）：城乡社区支出</w:t>
      </w:r>
      <w:r>
        <w:rPr>
          <w:rFonts w:hint="eastAsia" w:ascii="仿宋_GB2312" w:eastAsia="仿宋_GB2312"/>
          <w:sz w:val="28"/>
          <w:szCs w:val="28"/>
          <w:lang w:val="en-US" w:eastAsia="zh-CN"/>
        </w:rPr>
        <w:t>399.5</w:t>
      </w:r>
      <w:r>
        <w:rPr>
          <w:rFonts w:hint="eastAsia" w:ascii="仿宋_GB2312" w:eastAsia="仿宋_GB2312"/>
          <w:sz w:val="28"/>
          <w:szCs w:val="28"/>
        </w:rPr>
        <w:t>万元，占本年财政拨款支出</w:t>
      </w:r>
      <w:r>
        <w:rPr>
          <w:rFonts w:hint="eastAsia" w:ascii="仿宋_GB2312" w:eastAsia="仿宋_GB2312"/>
          <w:sz w:val="28"/>
          <w:szCs w:val="28"/>
          <w:lang w:val="en-US" w:eastAsia="zh-CN"/>
        </w:rPr>
        <w:t>34</w:t>
      </w:r>
      <w:r>
        <w:rPr>
          <w:rFonts w:hint="eastAsia" w:ascii="仿宋_GB2312" w:eastAsia="仿宋_GB2312"/>
          <w:sz w:val="28"/>
          <w:szCs w:val="28"/>
        </w:rPr>
        <w:t>%；农林水支出</w:t>
      </w:r>
      <w:r>
        <w:rPr>
          <w:rFonts w:hint="eastAsia" w:ascii="仿宋_GB2312" w:eastAsia="仿宋_GB2312"/>
          <w:sz w:val="28"/>
          <w:szCs w:val="28"/>
          <w:lang w:val="en-US" w:eastAsia="zh-CN"/>
        </w:rPr>
        <w:t>709.08万元，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60.4</w:t>
      </w:r>
      <w:r>
        <w:rPr>
          <w:rFonts w:hint="eastAsia" w:ascii="仿宋_GB2312" w:eastAsia="仿宋_GB2312"/>
          <w:sz w:val="28"/>
          <w:szCs w:val="28"/>
        </w:rPr>
        <w:t>%；</w:t>
      </w:r>
      <w:r>
        <w:rPr>
          <w:rFonts w:hint="eastAsia" w:ascii="仿宋_GB2312" w:eastAsia="仿宋_GB2312"/>
          <w:sz w:val="28"/>
          <w:szCs w:val="28"/>
          <w:lang w:val="en-US" w:eastAsia="zh-CN"/>
        </w:rPr>
        <w:t>其他支出64.9万元，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5.5</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（二）政府性基金预算财政拨款支出决算具体情况</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1、“城乡社区支出”（类，下同）</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399.5</w:t>
      </w:r>
      <w:r>
        <w:rPr>
          <w:rFonts w:hint="eastAsia" w:ascii="仿宋_GB2312" w:eastAsia="仿宋_GB2312"/>
          <w:sz w:val="28"/>
          <w:szCs w:val="28"/>
        </w:rPr>
        <w:t>万元。</w:t>
      </w:r>
      <w:r>
        <w:rPr>
          <w:rFonts w:hint="eastAsia" w:ascii="仿宋_GB2312" w:eastAsia="仿宋_GB2312"/>
          <w:sz w:val="28"/>
          <w:szCs w:val="28"/>
          <w:lang w:val="en-US" w:eastAsia="zh-CN"/>
        </w:rPr>
        <w:t>2</w:t>
      </w:r>
      <w:r>
        <w:rPr>
          <w:rFonts w:hint="eastAsia" w:ascii="仿宋_GB2312" w:eastAsia="仿宋_GB2312"/>
          <w:sz w:val="28"/>
          <w:szCs w:val="28"/>
        </w:rPr>
        <w:t>、“农林水支出”（类）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709.08</w:t>
      </w:r>
      <w:r>
        <w:rPr>
          <w:rFonts w:hint="eastAsia" w:ascii="仿宋_GB2312" w:eastAsia="仿宋_GB2312"/>
          <w:sz w:val="28"/>
          <w:szCs w:val="28"/>
        </w:rPr>
        <w:t>万元。</w:t>
      </w:r>
      <w:r>
        <w:rPr>
          <w:rFonts w:hint="eastAsia" w:ascii="仿宋_GB2312" w:eastAsia="仿宋_GB2312"/>
          <w:sz w:val="28"/>
          <w:szCs w:val="28"/>
          <w:lang w:val="en-US" w:eastAsia="zh-CN"/>
        </w:rPr>
        <w:t>3</w:t>
      </w:r>
      <w:r>
        <w:rPr>
          <w:rFonts w:hint="eastAsia" w:ascii="仿宋_GB2312" w:eastAsia="仿宋_GB2312"/>
          <w:sz w:val="28"/>
          <w:szCs w:val="28"/>
        </w:rPr>
        <w:t>、“</w:t>
      </w:r>
      <w:r>
        <w:rPr>
          <w:rFonts w:hint="eastAsia" w:ascii="仿宋_GB2312" w:eastAsia="仿宋_GB2312"/>
          <w:sz w:val="28"/>
          <w:szCs w:val="28"/>
          <w:lang w:val="en-US" w:eastAsia="zh-CN"/>
        </w:rPr>
        <w:t>其他支出</w:t>
      </w:r>
      <w:r>
        <w:rPr>
          <w:rFonts w:hint="eastAsia" w:ascii="仿宋_GB2312" w:eastAsia="仿宋_GB2312"/>
          <w:sz w:val="28"/>
          <w:szCs w:val="28"/>
        </w:rPr>
        <w:t>”（类，下同）</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64.9</w:t>
      </w:r>
      <w:r>
        <w:rPr>
          <w:rFonts w:hint="eastAsia" w:ascii="仿宋_GB2312" w:eastAsia="仿宋_GB2312"/>
          <w:sz w:val="28"/>
          <w:szCs w:val="28"/>
        </w:rPr>
        <w:t>万元。主要原因：</w:t>
      </w:r>
      <w:r>
        <w:rPr>
          <w:rFonts w:hint="eastAsia" w:ascii="仿宋_GB2312" w:eastAsia="仿宋_GB2312"/>
          <w:sz w:val="28"/>
          <w:szCs w:val="28"/>
          <w:lang w:eastAsia="zh-CN"/>
        </w:rPr>
        <w:t>今年比去年相关类目项目增加导致</w:t>
      </w:r>
      <w:r>
        <w:rPr>
          <w:rFonts w:hint="eastAsia" w:ascii="仿宋_GB2312" w:eastAsia="仿宋_GB2312"/>
          <w:sz w:val="28"/>
          <w:szCs w:val="28"/>
        </w:rPr>
        <w:t>。</w:t>
      </w:r>
    </w:p>
    <w:p>
      <w:pPr>
        <w:spacing w:line="580" w:lineRule="exact"/>
        <w:ind w:firstLine="560" w:firstLineChars="200"/>
        <w:rPr>
          <w:rFonts w:hint="eastAsia"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ind w:firstLine="537" w:firstLineChars="192"/>
        <w:rPr>
          <w:rFonts w:ascii="仿宋_GB2312" w:eastAsia="仿宋_GB2312"/>
          <w:sz w:val="28"/>
          <w:szCs w:val="28"/>
        </w:rPr>
      </w:pPr>
      <w:r>
        <w:rPr>
          <w:rFonts w:hint="eastAsia" w:ascii="仿宋_GB2312" w:eastAsia="仿宋_GB2312"/>
          <w:sz w:val="28"/>
          <w:szCs w:val="28"/>
          <w:lang w:eastAsia="zh-CN"/>
        </w:rPr>
        <w:t>本单位无此项支出</w:t>
      </w:r>
      <w:r>
        <w:rPr>
          <w:rFonts w:hint="eastAsia" w:ascii="仿宋_GB2312" w:eastAsia="仿宋_GB2312"/>
          <w:sz w:val="28"/>
          <w:szCs w:val="28"/>
        </w:rPr>
        <w:t>。</w:t>
      </w:r>
    </w:p>
    <w:p>
      <w:pPr>
        <w:spacing w:line="580" w:lineRule="exact"/>
        <w:ind w:firstLine="548" w:firstLineChars="196"/>
        <w:rPr>
          <w:rFonts w:hint="eastAsia"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hint="eastAsia" w:ascii="黑体" w:eastAsia="黑体"/>
          <w:b/>
          <w:sz w:val="28"/>
          <w:szCs w:val="28"/>
        </w:rPr>
      </w:pPr>
      <w:r>
        <w:rPr>
          <w:rFonts w:hint="eastAsia" w:ascii="仿宋_GB2312" w:eastAsia="仿宋_GB2312"/>
          <w:sz w:val="28"/>
          <w:szCs w:val="28"/>
          <w:lang w:eastAsia="zh-CN"/>
        </w:rPr>
        <w:t>2025</w:t>
      </w:r>
      <w:r>
        <w:rPr>
          <w:rFonts w:hint="eastAsia" w:ascii="仿宋_GB2312" w:eastAsia="仿宋_GB2312"/>
          <w:sz w:val="28"/>
          <w:szCs w:val="28"/>
        </w:rPr>
        <w:t>年度使用一般公共预算财政拨款安排基本支出</w:t>
      </w:r>
      <w:r>
        <w:rPr>
          <w:rFonts w:ascii="仿宋_GB2312" w:eastAsia="仿宋_GB2312"/>
          <w:sz w:val="28"/>
          <w:szCs w:val="28"/>
        </w:rPr>
        <w:t>3241.46</w:t>
      </w:r>
      <w:r>
        <w:rPr>
          <w:rFonts w:hint="eastAsia" w:ascii="仿宋_GB2312" w:eastAsia="仿宋_GB2312"/>
          <w:sz w:val="28"/>
          <w:szCs w:val="28"/>
        </w:rPr>
        <w:t>万元，使用政府性基金财政拨款安排基本支出</w:t>
      </w:r>
      <w:r>
        <w:rPr>
          <w:rFonts w:ascii="仿宋_GB2312" w:eastAsia="仿宋_GB2312"/>
          <w:sz w:val="28"/>
          <w:szCs w:val="28"/>
        </w:rPr>
        <w:t>0</w:t>
      </w:r>
      <w:r>
        <w:rPr>
          <w:rFonts w:hint="eastAsia" w:ascii="仿宋_GB2312" w:eastAsia="仿宋_GB2312"/>
          <w:sz w:val="28"/>
          <w:szCs w:val="28"/>
        </w:rPr>
        <w:t>万元，（1）工资福利支出包括基本工资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w:t>
      </w:r>
      <w:r>
        <w:rPr>
          <w:rFonts w:ascii="仿宋_GB2312" w:eastAsia="仿宋_GB2312"/>
          <w:sz w:val="28"/>
          <w:szCs w:val="28"/>
          <w:highlight w:val="none"/>
          <w:u w:val="none"/>
        </w:rPr>
        <w:t>其他交通费</w:t>
      </w:r>
      <w:r>
        <w:rPr>
          <w:rFonts w:hint="eastAsia" w:ascii="仿宋_GB2312" w:eastAsia="仿宋_GB2312"/>
          <w:sz w:val="28"/>
          <w:szCs w:val="28"/>
          <w:highlight w:val="none"/>
          <w:u w:val="none"/>
          <w:lang w:eastAsia="zh-CN"/>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tabs>
          <w:tab w:val="center" w:pos="6979"/>
        </w:tabs>
        <w:spacing w:line="580" w:lineRule="exact"/>
        <w:ind w:firstLine="548" w:firstLineChars="196"/>
        <w:rPr>
          <w:rFonts w:ascii="仿宋_GB2312" w:hAnsi="Times New Roman" w:eastAsia="仿宋_GB2312" w:cs="Times New Roman"/>
          <w:sz w:val="28"/>
          <w:szCs w:val="28"/>
        </w:rPr>
      </w:pPr>
    </w:p>
    <w:p>
      <w:pPr>
        <w:tabs>
          <w:tab w:val="center" w:pos="6979"/>
        </w:tabs>
        <w:spacing w:line="580" w:lineRule="exact"/>
        <w:ind w:firstLine="548" w:firstLineChars="196"/>
        <w:rPr>
          <w:rFonts w:ascii="仿宋_GB2312" w:hAnsi="Times New Roman" w:eastAsia="仿宋_GB2312" w:cs="Times New Roman"/>
          <w:sz w:val="28"/>
          <w:szCs w:val="28"/>
        </w:rPr>
      </w:pPr>
    </w:p>
    <w:p>
      <w:pPr>
        <w:tabs>
          <w:tab w:val="center" w:pos="6979"/>
        </w:tabs>
        <w:spacing w:line="580" w:lineRule="exact"/>
        <w:ind w:firstLine="548" w:firstLineChars="196"/>
        <w:rPr>
          <w:rFonts w:ascii="仿宋_GB2312" w:hAnsi="Times New Roman" w:eastAsia="仿宋_GB2312" w:cs="Times New Roman"/>
          <w:sz w:val="28"/>
          <w:szCs w:val="28"/>
        </w:rPr>
      </w:pPr>
    </w:p>
    <w:p>
      <w:pPr>
        <w:tabs>
          <w:tab w:val="center" w:pos="6979"/>
        </w:tabs>
        <w:spacing w:line="580" w:lineRule="exact"/>
        <w:ind w:firstLine="548" w:firstLineChars="196"/>
        <w:rPr>
          <w:rFonts w:hint="eastAsia" w:ascii="仿宋_GB2312" w:hAnsi="Times New Roman" w:eastAsia="仿宋_GB2312" w:cs="Times New Roman"/>
          <w:sz w:val="28"/>
          <w:szCs w:val="28"/>
        </w:rPr>
      </w:pPr>
    </w:p>
    <w:p>
      <w:pPr>
        <w:tabs>
          <w:tab w:val="center" w:pos="6979"/>
        </w:tabs>
        <w:jc w:val="center"/>
        <w:rPr>
          <w:rFonts w:hint="eastAsia"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lang w:eastAsia="zh-CN"/>
        </w:rPr>
        <w:t>2025</w:t>
      </w:r>
      <w:r>
        <w:rPr>
          <w:rFonts w:hint="eastAsia" w:ascii="宋体" w:hAnsi="宋体"/>
          <w:b/>
          <w:spacing w:val="40"/>
          <w:sz w:val="32"/>
          <w:szCs w:val="32"/>
        </w:rPr>
        <w:t>年度</w:t>
      </w:r>
      <w:r>
        <w:rPr>
          <w:rFonts w:hint="eastAsia" w:ascii="宋体" w:hAnsi="宋体" w:cs="宋体"/>
          <w:b/>
          <w:spacing w:val="40"/>
          <w:kern w:val="0"/>
          <w:sz w:val="32"/>
          <w:szCs w:val="32"/>
        </w:rPr>
        <w:t>其他重要事项的情况说明</w:t>
      </w:r>
    </w:p>
    <w:p>
      <w:pPr>
        <w:spacing w:line="560" w:lineRule="exact"/>
        <w:ind w:firstLine="560" w:firstLineChars="200"/>
        <w:rPr>
          <w:rFonts w:hint="eastAsia"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rPr>
        <w:t>“三公”经费包括本部门/单位所属</w:t>
      </w:r>
      <w:r>
        <w:rPr>
          <w:rFonts w:hint="eastAsia" w:ascii="仿宋_GB2312" w:eastAsia="仿宋_GB2312"/>
          <w:bCs/>
          <w:sz w:val="28"/>
          <w:szCs w:val="28"/>
          <w:lang w:val="en-US" w:eastAsia="zh-CN"/>
        </w:rPr>
        <w:t>1</w:t>
      </w:r>
      <w:r>
        <w:rPr>
          <w:rFonts w:hint="eastAsia" w:ascii="仿宋_GB2312" w:eastAsia="仿宋_GB2312"/>
          <w:sz w:val="28"/>
          <w:szCs w:val="28"/>
        </w:rPr>
        <w:t>个行政单位。</w:t>
      </w:r>
      <w:r>
        <w:rPr>
          <w:rFonts w:hint="eastAsia" w:ascii="仿宋_GB2312" w:eastAsia="仿宋_GB2312"/>
          <w:sz w:val="28"/>
          <w:szCs w:val="28"/>
          <w:lang w:eastAsia="zh-CN"/>
        </w:rPr>
        <w:t>2025年</w:t>
      </w:r>
      <w:r>
        <w:rPr>
          <w:rFonts w:hint="eastAsia" w:ascii="仿宋_GB2312" w:eastAsia="仿宋_GB2312"/>
          <w:sz w:val="28"/>
          <w:szCs w:val="28"/>
        </w:rPr>
        <w:t>度“三公”经费财政拨款决算数</w:t>
      </w:r>
      <w:r>
        <w:rPr>
          <w:rFonts w:ascii="仿宋_GB2312" w:eastAsia="仿宋_GB2312"/>
          <w:sz w:val="28"/>
          <w:szCs w:val="28"/>
        </w:rPr>
        <w:t>18.73</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度“三公”经费财政拨款年初预算</w:t>
      </w:r>
      <w:r>
        <w:rPr>
          <w:rFonts w:ascii="仿宋_GB2312" w:eastAsia="仿宋_GB2312"/>
          <w:sz w:val="28"/>
          <w:szCs w:val="28"/>
        </w:rPr>
        <w:t>47.36</w:t>
      </w:r>
      <w:r>
        <w:rPr>
          <w:rFonts w:hint="eastAsia" w:ascii="仿宋_GB2312" w:eastAsia="仿宋_GB2312"/>
          <w:sz w:val="28"/>
          <w:szCs w:val="28"/>
        </w:rPr>
        <w:t>万元增加（减少）</w:t>
      </w:r>
      <w:r>
        <w:rPr>
          <w:rFonts w:ascii="仿宋_GB2312" w:eastAsia="仿宋_GB2312"/>
          <w:sz w:val="28"/>
          <w:szCs w:val="28"/>
        </w:rPr>
        <w:t>-28.62</w:t>
      </w:r>
      <w:r>
        <w:rPr>
          <w:rFonts w:hint="eastAsia" w:ascii="仿宋_GB2312" w:eastAsia="仿宋_GB2312"/>
          <w:sz w:val="28"/>
          <w:szCs w:val="28"/>
        </w:rPr>
        <w:t>万元。其中：</w:t>
      </w:r>
    </w:p>
    <w:p>
      <w:pPr>
        <w:spacing w:line="560" w:lineRule="exact"/>
        <w:ind w:firstLine="600"/>
        <w:rPr>
          <w:rFonts w:hint="eastAsia" w:ascii="仿宋_GB2312" w:eastAsia="仿宋_GB2312"/>
          <w:sz w:val="28"/>
          <w:szCs w:val="28"/>
        </w:rPr>
      </w:pPr>
      <w:r>
        <w:rPr>
          <w:rFonts w:hint="eastAsia" w:ascii="仿宋_GB2312" w:eastAsia="仿宋_GB2312"/>
          <w:sz w:val="28"/>
          <w:szCs w:val="28"/>
        </w:rPr>
        <w:t>1.因公出国（境）费用。</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ascii="仿宋_GB2312" w:eastAsia="仿宋_GB2312"/>
          <w:sz w:val="28"/>
          <w:szCs w:val="28"/>
        </w:rPr>
        <w:t>0</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ascii="仿宋_GB2312" w:eastAsia="仿宋_GB2312"/>
          <w:sz w:val="28"/>
          <w:szCs w:val="28"/>
        </w:rPr>
        <w:t>0</w:t>
      </w:r>
      <w:r>
        <w:rPr>
          <w:rFonts w:hint="eastAsia" w:ascii="仿宋_GB2312" w:eastAsia="仿宋_GB2312"/>
          <w:sz w:val="28"/>
          <w:szCs w:val="28"/>
        </w:rPr>
        <w:t>万元增加（减少）</w:t>
      </w:r>
      <w:r>
        <w:rPr>
          <w:rFonts w:ascii="仿宋_GB2312" w:eastAsia="仿宋_GB2312"/>
          <w:sz w:val="28"/>
          <w:szCs w:val="28"/>
        </w:rPr>
        <w:t>0</w:t>
      </w:r>
      <w:r>
        <w:rPr>
          <w:rFonts w:hint="eastAsia" w:ascii="仿宋_GB2312" w:eastAsia="仿宋_GB2312"/>
          <w:sz w:val="28"/>
          <w:szCs w:val="28"/>
        </w:rPr>
        <w:t>万元。</w:t>
      </w:r>
    </w:p>
    <w:p>
      <w:pPr>
        <w:spacing w:line="560" w:lineRule="exact"/>
        <w:ind w:firstLine="600"/>
        <w:rPr>
          <w:rFonts w:hint="eastAsia" w:ascii="仿宋_GB2312" w:eastAsia="仿宋_GB2312"/>
          <w:sz w:val="28"/>
          <w:szCs w:val="28"/>
        </w:rPr>
      </w:pPr>
      <w:r>
        <w:rPr>
          <w:rFonts w:hint="eastAsia" w:ascii="仿宋_GB2312" w:eastAsia="仿宋_GB2312"/>
          <w:sz w:val="28"/>
          <w:szCs w:val="28"/>
        </w:rPr>
        <w:t>2.公务接待费。</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ascii="仿宋_GB2312" w:eastAsia="仿宋_GB2312"/>
          <w:sz w:val="28"/>
          <w:szCs w:val="28"/>
        </w:rPr>
        <w:t>0</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ascii="仿宋_GB2312" w:eastAsia="仿宋_GB2312"/>
          <w:sz w:val="28"/>
          <w:szCs w:val="28"/>
        </w:rPr>
        <w:t>0</w:t>
      </w:r>
      <w:r>
        <w:rPr>
          <w:rFonts w:hint="eastAsia" w:ascii="仿宋_GB2312" w:eastAsia="仿宋_GB2312"/>
          <w:sz w:val="28"/>
          <w:szCs w:val="28"/>
        </w:rPr>
        <w:t>万元增加（减少）</w:t>
      </w:r>
      <w:r>
        <w:rPr>
          <w:rFonts w:ascii="仿宋_GB2312" w:eastAsia="仿宋_GB2312"/>
          <w:sz w:val="28"/>
          <w:szCs w:val="28"/>
        </w:rPr>
        <w:t>0</w:t>
      </w:r>
      <w:r>
        <w:rPr>
          <w:rFonts w:hint="eastAsia" w:ascii="仿宋_GB2312" w:eastAsia="仿宋_GB2312"/>
          <w:sz w:val="28"/>
          <w:szCs w:val="28"/>
        </w:rPr>
        <w:t>万元。</w:t>
      </w:r>
    </w:p>
    <w:p>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3.公务用车购置及运行维护费。</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ascii="仿宋_GB2312" w:eastAsia="仿宋_GB2312"/>
          <w:sz w:val="28"/>
          <w:szCs w:val="28"/>
        </w:rPr>
        <w:t>18.73</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ascii="仿宋_GB2312" w:eastAsia="仿宋_GB2312"/>
          <w:sz w:val="28"/>
          <w:szCs w:val="28"/>
        </w:rPr>
        <w:t>47.36</w:t>
      </w:r>
      <w:r>
        <w:rPr>
          <w:rFonts w:hint="eastAsia" w:ascii="仿宋_GB2312" w:eastAsia="仿宋_GB2312"/>
          <w:sz w:val="28"/>
          <w:szCs w:val="28"/>
        </w:rPr>
        <w:t>万元增加（减少）</w:t>
      </w:r>
      <w:r>
        <w:rPr>
          <w:rFonts w:ascii="仿宋_GB2312" w:eastAsia="仿宋_GB2312"/>
          <w:sz w:val="28"/>
          <w:szCs w:val="28"/>
        </w:rPr>
        <w:t>-28.62</w:t>
      </w:r>
      <w:r>
        <w:rPr>
          <w:rFonts w:hint="eastAsia" w:ascii="仿宋_GB2312" w:eastAsia="仿宋_GB2312"/>
          <w:sz w:val="28"/>
          <w:szCs w:val="28"/>
        </w:rPr>
        <w:t>万元。</w:t>
      </w:r>
    </w:p>
    <w:p>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其中，公务用车购置费</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hint="eastAsia" w:ascii="仿宋_GB2312" w:eastAsia="仿宋_GB2312"/>
          <w:sz w:val="28"/>
          <w:szCs w:val="28"/>
          <w:lang w:val="en-US" w:eastAsia="zh-CN"/>
        </w:rPr>
        <w:t>0</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hint="eastAsia" w:ascii="仿宋_GB2312" w:eastAsia="仿宋_GB2312"/>
          <w:sz w:val="28"/>
          <w:szCs w:val="28"/>
          <w:lang w:val="en-US" w:eastAsia="zh-CN"/>
        </w:rPr>
        <w:t>0</w:t>
      </w:r>
      <w:r>
        <w:rPr>
          <w:rFonts w:hint="eastAsia" w:ascii="仿宋_GB2312" w:eastAsia="仿宋_GB2312"/>
          <w:sz w:val="28"/>
          <w:szCs w:val="28"/>
        </w:rPr>
        <w:t>万元增加（减少）</w:t>
      </w:r>
      <w:r>
        <w:rPr>
          <w:rFonts w:ascii="仿宋_GB2312" w:eastAsia="仿宋_GB2312"/>
          <w:sz w:val="28"/>
          <w:szCs w:val="28"/>
        </w:rPr>
        <w:t>0</w:t>
      </w:r>
      <w:r>
        <w:rPr>
          <w:rFonts w:hint="eastAsia" w:ascii="仿宋_GB2312" w:eastAsia="仿宋_GB2312"/>
          <w:sz w:val="28"/>
          <w:szCs w:val="28"/>
        </w:rPr>
        <w:t>万元。</w:t>
      </w:r>
      <w:r>
        <w:rPr>
          <w:rFonts w:hint="eastAsia" w:ascii="仿宋_GB2312" w:eastAsia="仿宋_GB2312"/>
          <w:sz w:val="28"/>
          <w:szCs w:val="28"/>
          <w:lang w:eastAsia="zh-CN"/>
        </w:rPr>
        <w:t>2025年</w:t>
      </w:r>
      <w:r>
        <w:rPr>
          <w:rFonts w:hint="eastAsia" w:ascii="仿宋_GB2312" w:eastAsia="仿宋_GB2312"/>
          <w:sz w:val="28"/>
          <w:szCs w:val="28"/>
        </w:rPr>
        <w:t>度购置（更新）</w:t>
      </w:r>
      <w:r>
        <w:rPr>
          <w:rFonts w:hint="eastAsia" w:ascii="仿宋_GB2312" w:eastAsia="仿宋_GB2312"/>
          <w:sz w:val="28"/>
          <w:szCs w:val="28"/>
          <w:lang w:eastAsia="zh-CN"/>
        </w:rPr>
        <w:t>0</w:t>
      </w:r>
      <w:r>
        <w:rPr>
          <w:rFonts w:hint="eastAsia" w:ascii="仿宋_GB2312" w:eastAsia="仿宋_GB2312"/>
          <w:sz w:val="28"/>
          <w:szCs w:val="28"/>
        </w:rPr>
        <w:t>辆，车均购置费</w:t>
      </w:r>
      <w:r>
        <w:rPr>
          <w:rFonts w:ascii="仿宋_GB2312" w:eastAsia="仿宋_GB2312"/>
          <w:sz w:val="28"/>
          <w:szCs w:val="28"/>
        </w:rPr>
        <w:t>0</w:t>
      </w:r>
      <w:r>
        <w:rPr>
          <w:rFonts w:hint="eastAsia" w:ascii="仿宋_GB2312" w:eastAsia="仿宋_GB2312"/>
          <w:sz w:val="28"/>
          <w:szCs w:val="28"/>
        </w:rPr>
        <w:t>万元。公务用车运行维护费</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hint="eastAsia" w:ascii="仿宋_GB2312" w:eastAsia="仿宋_GB2312"/>
          <w:sz w:val="28"/>
          <w:szCs w:val="28"/>
          <w:lang w:val="en-US" w:eastAsia="zh-CN"/>
        </w:rPr>
        <w:t>18.73</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hint="eastAsia" w:ascii="仿宋_GB2312" w:eastAsia="仿宋_GB2312"/>
          <w:sz w:val="28"/>
          <w:szCs w:val="28"/>
          <w:lang w:val="en-US" w:eastAsia="zh-CN"/>
        </w:rPr>
        <w:t>47.36</w:t>
      </w:r>
      <w:r>
        <w:rPr>
          <w:rFonts w:hint="eastAsia" w:ascii="仿宋_GB2312" w:eastAsia="仿宋_GB2312"/>
          <w:sz w:val="28"/>
          <w:szCs w:val="28"/>
        </w:rPr>
        <w:t>万元增加（减少）</w:t>
      </w:r>
      <w:r>
        <w:rPr>
          <w:rFonts w:ascii="仿宋_GB2312" w:eastAsia="仿宋_GB2312"/>
          <w:sz w:val="28"/>
          <w:szCs w:val="28"/>
        </w:rPr>
        <w:t>-28.62</w:t>
      </w:r>
      <w:r>
        <w:rPr>
          <w:rFonts w:hint="eastAsia" w:ascii="仿宋_GB2312" w:eastAsia="仿宋_GB2312"/>
          <w:sz w:val="28"/>
          <w:szCs w:val="28"/>
        </w:rPr>
        <w:t>万元，主要原因：</w:t>
      </w:r>
      <w:r>
        <w:rPr>
          <w:rFonts w:hint="eastAsia" w:ascii="仿宋_GB2312" w:eastAsia="仿宋_GB2312"/>
          <w:sz w:val="28"/>
          <w:szCs w:val="28"/>
          <w:lang w:eastAsia="zh-CN"/>
        </w:rPr>
        <w:t>相关费用减少</w:t>
      </w:r>
      <w:r>
        <w:rPr>
          <w:rFonts w:hint="eastAsia" w:ascii="仿宋_GB2312" w:eastAsia="仿宋_GB2312"/>
          <w:sz w:val="28"/>
          <w:szCs w:val="28"/>
        </w:rPr>
        <w:t>。</w:t>
      </w:r>
      <w:r>
        <w:rPr>
          <w:rFonts w:hint="eastAsia" w:ascii="仿宋_GB2312" w:eastAsia="仿宋_GB2312"/>
          <w:sz w:val="28"/>
          <w:szCs w:val="28"/>
          <w:lang w:eastAsia="zh-CN"/>
        </w:rPr>
        <w:t>2025年</w:t>
      </w:r>
      <w:r>
        <w:rPr>
          <w:rFonts w:hint="eastAsia" w:ascii="仿宋_GB2312" w:eastAsia="仿宋_GB2312"/>
          <w:sz w:val="28"/>
          <w:szCs w:val="28"/>
        </w:rPr>
        <w:t>度公务用车运行维护费中，公务用车加油</w:t>
      </w:r>
      <w:r>
        <w:rPr>
          <w:rFonts w:ascii="仿宋_GB2312" w:eastAsia="仿宋_GB2312"/>
          <w:sz w:val="28"/>
          <w:szCs w:val="28"/>
        </w:rPr>
        <w:t>0</w:t>
      </w:r>
      <w:r>
        <w:rPr>
          <w:rFonts w:hint="eastAsia" w:ascii="仿宋_GB2312" w:eastAsia="仿宋_GB2312"/>
          <w:sz w:val="28"/>
          <w:szCs w:val="28"/>
        </w:rPr>
        <w:t>万元，公务用车维修</w:t>
      </w:r>
      <w:r>
        <w:rPr>
          <w:rFonts w:ascii="仿宋_GB2312" w:eastAsia="仿宋_GB2312"/>
          <w:sz w:val="28"/>
          <w:szCs w:val="28"/>
        </w:rPr>
        <w:t>15.7</w:t>
      </w:r>
      <w:r>
        <w:rPr>
          <w:rFonts w:hint="eastAsia" w:ascii="仿宋_GB2312" w:eastAsia="仿宋_GB2312"/>
          <w:sz w:val="28"/>
          <w:szCs w:val="28"/>
        </w:rPr>
        <w:t>万元，公务用车保险</w:t>
      </w:r>
      <w:r>
        <w:rPr>
          <w:rFonts w:ascii="仿宋_GB2312" w:eastAsia="仿宋_GB2312"/>
          <w:sz w:val="28"/>
          <w:szCs w:val="28"/>
        </w:rPr>
        <w:t>3.03</w:t>
      </w:r>
      <w:r>
        <w:rPr>
          <w:rFonts w:hint="eastAsia" w:ascii="仿宋_GB2312" w:eastAsia="仿宋_GB2312"/>
          <w:sz w:val="28"/>
          <w:szCs w:val="28"/>
        </w:rPr>
        <w:t>万元，公务用车其他支出</w:t>
      </w:r>
      <w:r>
        <w:rPr>
          <w:rFonts w:ascii="仿宋_GB2312" w:eastAsia="仿宋_GB2312"/>
          <w:sz w:val="28"/>
          <w:szCs w:val="28"/>
        </w:rPr>
        <w:t>0</w:t>
      </w:r>
      <w:r>
        <w:rPr>
          <w:rFonts w:hint="eastAsia" w:ascii="仿宋_GB2312" w:eastAsia="仿宋_GB2312"/>
          <w:sz w:val="28"/>
          <w:szCs w:val="28"/>
        </w:rPr>
        <w:t>万元。</w:t>
      </w:r>
      <w:r>
        <w:rPr>
          <w:rFonts w:hint="eastAsia" w:ascii="仿宋_GB2312" w:eastAsia="仿宋_GB2312"/>
          <w:sz w:val="28"/>
          <w:szCs w:val="28"/>
          <w:lang w:eastAsia="zh-CN"/>
        </w:rPr>
        <w:t>2025年</w:t>
      </w:r>
      <w:r>
        <w:rPr>
          <w:rFonts w:hint="eastAsia" w:ascii="仿宋_GB2312" w:eastAsia="仿宋_GB2312"/>
          <w:sz w:val="28"/>
          <w:szCs w:val="28"/>
        </w:rPr>
        <w:t>度公务用车保有量</w:t>
      </w:r>
      <w:r>
        <w:rPr>
          <w:rFonts w:ascii="仿宋_GB2312" w:eastAsia="仿宋_GB2312"/>
          <w:sz w:val="28"/>
          <w:szCs w:val="28"/>
        </w:rPr>
        <w:t>22</w:t>
      </w:r>
      <w:r>
        <w:rPr>
          <w:rFonts w:hint="eastAsia" w:ascii="仿宋_GB2312" w:eastAsia="仿宋_GB2312"/>
          <w:sz w:val="28"/>
          <w:szCs w:val="28"/>
        </w:rPr>
        <w:t>辆，车均运行维护费</w:t>
      </w:r>
      <w:r>
        <w:rPr>
          <w:rFonts w:ascii="仿宋_GB2312" w:eastAsia="仿宋_GB2312"/>
          <w:sz w:val="28"/>
          <w:szCs w:val="28"/>
        </w:rPr>
        <w:t>0.85</w:t>
      </w:r>
      <w:r>
        <w:rPr>
          <w:rFonts w:hint="eastAsia" w:ascii="仿宋_GB2312" w:eastAsia="仿宋_GB2312"/>
          <w:sz w:val="28"/>
          <w:szCs w:val="28"/>
        </w:rPr>
        <w:t>万元。</w:t>
      </w:r>
    </w:p>
    <w:p>
      <w:pPr>
        <w:tabs>
          <w:tab w:val="center" w:pos="6979"/>
        </w:tabs>
        <w:ind w:firstLine="554" w:firstLineChars="198"/>
        <w:rPr>
          <w:rFonts w:hint="eastAsia" w:ascii="黑体" w:eastAsia="黑体"/>
          <w:sz w:val="28"/>
          <w:szCs w:val="28"/>
        </w:rPr>
      </w:pPr>
      <w:r>
        <w:rPr>
          <w:rFonts w:hint="eastAsia" w:ascii="黑体" w:eastAsia="黑体"/>
          <w:sz w:val="28"/>
          <w:szCs w:val="28"/>
        </w:rPr>
        <w:t>二、机关运行经费支出情况</w:t>
      </w:r>
    </w:p>
    <w:p>
      <w:pPr>
        <w:ind w:firstLine="537" w:firstLineChars="192"/>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度使用财政拨款安排的基本支出中的日常公用经费支出，合计</w:t>
      </w:r>
      <w:r>
        <w:rPr>
          <w:rFonts w:hint="eastAsia" w:ascii="仿宋_GB2312" w:eastAsia="仿宋_GB2312"/>
          <w:sz w:val="28"/>
          <w:szCs w:val="28"/>
          <w:lang w:val="en-US" w:eastAsia="zh-CN"/>
        </w:rPr>
        <w:t>74.82</w:t>
      </w:r>
      <w:r>
        <w:rPr>
          <w:rFonts w:hint="eastAsia" w:ascii="仿宋_GB2312" w:eastAsia="仿宋_GB2312"/>
          <w:sz w:val="28"/>
          <w:szCs w:val="28"/>
        </w:rPr>
        <w:t>万元。增加原因：</w:t>
      </w:r>
      <w:r>
        <w:rPr>
          <w:rFonts w:hint="eastAsia" w:ascii="仿宋_GB2312" w:eastAsia="仿宋_GB2312"/>
          <w:sz w:val="28"/>
          <w:szCs w:val="28"/>
          <w:lang w:eastAsia="zh-CN"/>
        </w:rPr>
        <w:t>相关项目支出增长导致</w:t>
      </w:r>
      <w:r>
        <w:rPr>
          <w:rFonts w:hint="eastAsia" w:ascii="仿宋_GB2312" w:eastAsia="仿宋_GB2312"/>
          <w:sz w:val="28"/>
          <w:szCs w:val="28"/>
        </w:rPr>
        <w:t>。</w:t>
      </w:r>
    </w:p>
    <w:p>
      <w:pPr>
        <w:ind w:left="540"/>
        <w:rPr>
          <w:rFonts w:hint="eastAsia" w:ascii="黑体" w:eastAsia="黑体"/>
          <w:sz w:val="28"/>
          <w:szCs w:val="28"/>
        </w:rPr>
      </w:pPr>
      <w:r>
        <w:rPr>
          <w:rFonts w:hint="eastAsia" w:ascii="黑体" w:eastAsia="黑体"/>
          <w:sz w:val="28"/>
          <w:szCs w:val="28"/>
        </w:rPr>
        <w:t>三、政府采购支出情况</w:t>
      </w:r>
    </w:p>
    <w:p>
      <w:pPr>
        <w:ind w:firstLine="537" w:firstLineChars="192"/>
        <w:rPr>
          <w:rFonts w:hint="eastAsia" w:ascii="仿宋_GB2312" w:eastAsia="仿宋_GB2312"/>
          <w:sz w:val="28"/>
          <w:szCs w:val="28"/>
        </w:rPr>
      </w:pPr>
      <w:r>
        <w:rPr>
          <w:rFonts w:hint="eastAsia" w:ascii="仿宋_GB2312" w:eastAsia="仿宋_GB2312"/>
          <w:sz w:val="28"/>
          <w:szCs w:val="28"/>
          <w:lang w:eastAsia="zh-CN"/>
        </w:rPr>
        <w:t>本单位无此项支出</w:t>
      </w:r>
      <w:r>
        <w:rPr>
          <w:rFonts w:hint="eastAsia" w:ascii="仿宋_GB2312" w:eastAsia="仿宋_GB2312"/>
          <w:sz w:val="28"/>
          <w:szCs w:val="28"/>
        </w:rPr>
        <w:t>。</w:t>
      </w:r>
    </w:p>
    <w:p>
      <w:pPr>
        <w:ind w:firstLine="560" w:firstLineChars="200"/>
        <w:rPr>
          <w:rFonts w:hint="eastAsia" w:ascii="黑体" w:eastAsia="黑体"/>
          <w:sz w:val="28"/>
          <w:szCs w:val="28"/>
          <w:highlight w:val="yellow"/>
        </w:rPr>
      </w:pPr>
      <w:r>
        <w:rPr>
          <w:rFonts w:hint="eastAsia" w:ascii="黑体" w:eastAsia="黑体"/>
          <w:sz w:val="28"/>
          <w:szCs w:val="28"/>
          <w:highlight w:val="none"/>
        </w:rPr>
        <w:t>四、国有资产占用情况</w:t>
      </w:r>
    </w:p>
    <w:p>
      <w:pPr>
        <w:ind w:firstLine="560" w:firstLineChars="200"/>
        <w:rPr>
          <w:rFonts w:ascii="仿宋_GB2312" w:eastAsia="仿宋_GB2312"/>
          <w:sz w:val="32"/>
          <w:szCs w:val="32"/>
        </w:rPr>
      </w:pP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年度新购置车辆</w:t>
      </w:r>
      <w:r>
        <w:rPr>
          <w:rFonts w:hint="eastAsia" w:ascii="仿宋_GB2312" w:eastAsia="仿宋_GB2312"/>
          <w:sz w:val="28"/>
          <w:szCs w:val="28"/>
          <w:lang w:val="en-US" w:eastAsia="zh-CN"/>
        </w:rPr>
        <w:t>0</w:t>
      </w:r>
      <w:r>
        <w:rPr>
          <w:rFonts w:hint="eastAsia" w:ascii="仿宋_GB2312" w:eastAsia="仿宋_GB2312"/>
          <w:sz w:val="28"/>
          <w:szCs w:val="28"/>
        </w:rPr>
        <w:t>台，共计</w:t>
      </w:r>
      <w:r>
        <w:rPr>
          <w:rFonts w:hint="eastAsia" w:ascii="仿宋_GB2312" w:eastAsia="仿宋_GB2312"/>
          <w:sz w:val="28"/>
          <w:szCs w:val="28"/>
          <w:lang w:val="en-US" w:eastAsia="zh-CN"/>
        </w:rPr>
        <w:t>0</w:t>
      </w:r>
      <w:r>
        <w:rPr>
          <w:rFonts w:hint="eastAsia" w:ascii="仿宋_GB2312" w:eastAsia="仿宋_GB2312"/>
          <w:sz w:val="28"/>
          <w:szCs w:val="28"/>
        </w:rPr>
        <w:t>万元；新购置单位价值100万元（含）以上的设备</w:t>
      </w:r>
      <w:r>
        <w:rPr>
          <w:rFonts w:hint="eastAsia" w:ascii="仿宋_GB2312" w:eastAsia="仿宋_GB2312"/>
          <w:sz w:val="28"/>
          <w:szCs w:val="28"/>
          <w:lang w:val="en-US" w:eastAsia="zh-CN"/>
        </w:rPr>
        <w:t>0</w:t>
      </w:r>
      <w:r>
        <w:rPr>
          <w:rFonts w:hint="eastAsia" w:ascii="仿宋_GB2312" w:eastAsia="仿宋_GB2312"/>
          <w:sz w:val="28"/>
          <w:szCs w:val="28"/>
        </w:rPr>
        <w:t>台（套），共计</w:t>
      </w:r>
      <w:r>
        <w:rPr>
          <w:rFonts w:hint="eastAsia" w:ascii="仿宋_GB2312" w:eastAsia="仿宋_GB2312"/>
          <w:sz w:val="28"/>
          <w:szCs w:val="28"/>
          <w:lang w:val="en-US" w:eastAsia="zh-CN"/>
        </w:rPr>
        <w:t>0</w:t>
      </w:r>
      <w:r>
        <w:rPr>
          <w:rFonts w:hint="eastAsia" w:ascii="仿宋_GB2312" w:eastAsia="仿宋_GB2312"/>
          <w:sz w:val="28"/>
          <w:szCs w:val="28"/>
        </w:rPr>
        <w:t>万元。截至12月31日，部门共有车辆</w:t>
      </w:r>
      <w:r>
        <w:rPr>
          <w:rFonts w:hint="eastAsia" w:ascii="仿宋_GB2312" w:eastAsia="仿宋_GB2312"/>
          <w:sz w:val="28"/>
          <w:szCs w:val="28"/>
          <w:lang w:val="en-US" w:eastAsia="zh-CN"/>
        </w:rPr>
        <w:t>22</w:t>
      </w:r>
      <w:r>
        <w:rPr>
          <w:rFonts w:hint="eastAsia" w:ascii="仿宋_GB2312" w:eastAsia="仿宋_GB2312"/>
          <w:sz w:val="28"/>
          <w:szCs w:val="28"/>
        </w:rPr>
        <w:t>台，共计</w:t>
      </w:r>
      <w:r>
        <w:rPr>
          <w:rFonts w:ascii="宋体" w:hAnsi="宋体" w:eastAsia="宋体" w:cs="宋体"/>
          <w:sz w:val="24"/>
          <w:szCs w:val="24"/>
        </w:rPr>
        <w:t>201</w:t>
      </w:r>
      <w:r>
        <w:rPr>
          <w:rFonts w:hint="eastAsia" w:ascii="宋体" w:hAnsi="宋体" w:cs="宋体"/>
          <w:sz w:val="24"/>
          <w:szCs w:val="24"/>
          <w:lang w:val="en-US" w:eastAsia="zh-CN"/>
        </w:rPr>
        <w:t>.</w:t>
      </w:r>
      <w:r>
        <w:rPr>
          <w:rFonts w:ascii="宋体" w:hAnsi="宋体" w:eastAsia="宋体" w:cs="宋体"/>
          <w:sz w:val="24"/>
          <w:szCs w:val="24"/>
        </w:rPr>
        <w:t>3</w:t>
      </w:r>
      <w:r>
        <w:rPr>
          <w:rFonts w:hint="eastAsia" w:ascii="宋体" w:hAnsi="宋体" w:cs="宋体"/>
          <w:sz w:val="24"/>
          <w:szCs w:val="24"/>
          <w:lang w:val="en-US" w:eastAsia="zh-CN"/>
        </w:rPr>
        <w:t>9</w:t>
      </w:r>
      <w:r>
        <w:rPr>
          <w:rFonts w:hint="eastAsia" w:ascii="仿宋_GB2312" w:eastAsia="仿宋_GB2312"/>
          <w:sz w:val="28"/>
          <w:szCs w:val="28"/>
        </w:rPr>
        <w:t>万元；单位价值100万元（含）以上的设备</w:t>
      </w:r>
      <w:r>
        <w:rPr>
          <w:rFonts w:hint="eastAsia" w:ascii="仿宋_GB2312" w:eastAsia="仿宋_GB2312"/>
          <w:sz w:val="28"/>
          <w:szCs w:val="28"/>
          <w:lang w:val="en-US" w:eastAsia="zh-CN"/>
        </w:rPr>
        <w:t>0</w:t>
      </w:r>
      <w:r>
        <w:rPr>
          <w:rFonts w:hint="eastAsia" w:ascii="仿宋_GB2312" w:eastAsia="仿宋_GB2312"/>
          <w:sz w:val="28"/>
          <w:szCs w:val="28"/>
        </w:rPr>
        <w:t>台（套），共计</w:t>
      </w:r>
      <w:r>
        <w:rPr>
          <w:rFonts w:hint="eastAsia" w:ascii="仿宋_GB2312" w:eastAsia="仿宋_GB2312"/>
          <w:sz w:val="28"/>
          <w:szCs w:val="28"/>
          <w:lang w:val="en-US" w:eastAsia="zh-CN"/>
        </w:rPr>
        <w:t>0</w:t>
      </w:r>
      <w:r>
        <w:rPr>
          <w:rFonts w:hint="eastAsia" w:ascii="仿宋_GB2312" w:eastAsia="仿宋_GB2312"/>
          <w:sz w:val="28"/>
          <w:szCs w:val="28"/>
        </w:rPr>
        <w:t>万元。</w:t>
      </w:r>
    </w:p>
    <w:p>
      <w:pPr>
        <w:ind w:firstLine="560" w:firstLineChars="200"/>
        <w:jc w:val="left"/>
        <w:rPr>
          <w:rFonts w:hint="eastAsia" w:ascii="仿宋_GB2312" w:eastAsia="仿宋_GB2312"/>
          <w:color w:val="000000"/>
          <w:sz w:val="32"/>
          <w:szCs w:val="32"/>
        </w:rPr>
      </w:pPr>
      <w:r>
        <w:rPr>
          <w:rFonts w:hint="eastAsia" w:ascii="黑体" w:eastAsia="黑体"/>
          <w:sz w:val="28"/>
          <w:szCs w:val="28"/>
          <w:lang w:val="en-US" w:eastAsia="zh-CN"/>
        </w:rPr>
        <w:t>五</w:t>
      </w:r>
      <w:r>
        <w:rPr>
          <w:rFonts w:hint="eastAsia" w:ascii="黑体" w:eastAsia="黑体"/>
          <w:sz w:val="28"/>
          <w:szCs w:val="28"/>
        </w:rPr>
        <w:t>、</w:t>
      </w:r>
      <w:r>
        <w:rPr>
          <w:rFonts w:ascii="黑体" w:eastAsia="黑体"/>
          <w:sz w:val="28"/>
          <w:szCs w:val="28"/>
        </w:rPr>
        <w:t>专业名词解释</w:t>
      </w:r>
    </w:p>
    <w:p>
      <w:pPr>
        <w:ind w:firstLine="560" w:firstLineChars="200"/>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1.基本支出：指为保障机构正常运转、完成日常工作任务而发生的人员支出和公用支出。</w:t>
      </w:r>
    </w:p>
    <w:p>
      <w:pPr>
        <w:ind w:firstLine="560" w:firstLineChars="200"/>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2.项目支出：指在基本支出之外为完成特定行政任务或事业发展目标所发生的支出。</w:t>
      </w:r>
    </w:p>
    <w:p>
      <w:pPr>
        <w:ind w:firstLine="560" w:firstLineChars="200"/>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3.“三公”经费：是指单位通过财政拨款资金安排的因公出国（境）费、公务用车购置及运行费和公务接待费。</w:t>
      </w:r>
    </w:p>
    <w:p>
      <w:pPr>
        <w:ind w:firstLine="560" w:firstLineChars="200"/>
        <w:rPr>
          <w:rFonts w:hint="eastAsia"/>
          <w:lang w:val="en-US" w:eastAsia="zh-CN"/>
        </w:rPr>
      </w:pPr>
      <w:r>
        <w:rPr>
          <w:rFonts w:hint="eastAsia" w:ascii="仿宋_GB2312" w:hAnsi="Times New Roman" w:eastAsia="仿宋_GB2312" w:cs="Times New Roman"/>
          <w:sz w:val="28"/>
          <w:szCs w:val="28"/>
        </w:rPr>
        <w:t>4.</w:t>
      </w:r>
      <w:r>
        <w:rPr>
          <w:rFonts w:hint="eastAsia" w:ascii="仿宋_GB2312" w:eastAsia="仿宋_GB2312" w:cs="Times New Roman"/>
          <w:sz w:val="28"/>
          <w:szCs w:val="28"/>
          <w:lang w:val="en-US" w:eastAsia="zh-CN"/>
        </w:rPr>
        <w:t>机关运行经费</w:t>
      </w:r>
      <w:r>
        <w:rPr>
          <w:rFonts w:hint="eastAsia" w:ascii="仿宋_GB2312" w:hAnsi="Times New Roman" w:eastAsia="仿宋_GB2312" w:cs="Times New Roman"/>
          <w:sz w:val="28"/>
          <w:szCs w:val="28"/>
        </w:rPr>
        <w:t>：</w:t>
      </w:r>
      <w:r>
        <w:rPr>
          <w:rFonts w:hint="eastAsia" w:ascii="仿宋_GB2312" w:eastAsia="仿宋_GB2312" w:cs="Times New Roman"/>
          <w:sz w:val="28"/>
          <w:szCs w:val="28"/>
          <w:lang w:val="en-US" w:eastAsia="zh-CN"/>
        </w:rPr>
        <w:t>反映为保障行政单位（包括参照公务员法管理的事业单位）运行用于购买货物和服务的各项资金，包括办公费、会议费、培训费、委托业务费、公务接待费、公务用车运行维护费、维修（护）费及其他费用</w:t>
      </w:r>
      <w:r>
        <w:rPr>
          <w:rFonts w:hint="eastAsia" w:ascii="仿宋_GB2312" w:hAnsi="Times New Roman" w:eastAsia="仿宋_GB2312" w:cs="Times New Roman"/>
          <w:sz w:val="28"/>
          <w:szCs w:val="28"/>
        </w:rPr>
        <w:t>。</w:t>
      </w:r>
    </w:p>
    <w:p>
      <w:pPr>
        <w:ind w:firstLine="560" w:firstLineChars="200"/>
        <w:rPr>
          <w:rFonts w:hint="eastAsia" w:ascii="仿宋_GB2312" w:hAnsi="Times New Roman" w:eastAsia="仿宋_GB2312" w:cs="Times New Roman"/>
          <w:sz w:val="28"/>
          <w:szCs w:val="28"/>
        </w:rPr>
      </w:pPr>
      <w:r>
        <w:rPr>
          <w:rFonts w:hint="eastAsia" w:ascii="仿宋_GB2312" w:eastAsia="仿宋_GB2312" w:cs="Times New Roman"/>
          <w:sz w:val="28"/>
          <w:szCs w:val="28"/>
          <w:lang w:val="en-US" w:eastAsia="zh-CN"/>
        </w:rPr>
        <w:t>5</w:t>
      </w:r>
      <w:r>
        <w:rPr>
          <w:rFonts w:hint="eastAsia" w:ascii="仿宋_GB2312" w:hAnsi="Times New Roman" w:eastAsia="仿宋_GB2312" w:cs="Times New Roman"/>
          <w:sz w:val="28"/>
          <w:szCs w:val="28"/>
        </w:rPr>
        <w:t>.政府采购：指各级国家机关、事业单位和团体组织，使用财政性资金采购依法制定的集中目录以内的或者采购限额标准以上的货物、工程和服务的行为，是规范财政支出管理和强化预算约束的有效措施。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hint="eastAsia" w:ascii="黑体" w:eastAsia="黑体"/>
          <w:sz w:val="32"/>
          <w:szCs w:val="32"/>
        </w:rPr>
      </w:pPr>
      <w:r>
        <w:rPr>
          <w:rFonts w:hint="eastAsia" w:ascii="仿宋_GB2312" w:eastAsia="仿宋_GB2312" w:cs="Times New Roman"/>
          <w:sz w:val="28"/>
          <w:szCs w:val="28"/>
          <w:lang w:val="en-US" w:eastAsia="zh-CN"/>
        </w:rPr>
        <w:t>6</w:t>
      </w:r>
      <w:r>
        <w:rPr>
          <w:rFonts w:hint="eastAsia" w:ascii="仿宋_GB2312" w:hAnsi="Times New Roman" w:eastAsia="仿宋_GB2312" w:cs="Times New Roman"/>
          <w:sz w:val="28"/>
          <w:szCs w:val="28"/>
        </w:rPr>
        <w:t>.各</w:t>
      </w:r>
      <w:r>
        <w:rPr>
          <w:rFonts w:hint="eastAsia" w:ascii="仿宋_GB2312" w:hAnsi="Times New Roman" w:eastAsia="仿宋_GB2312" w:cs="Times New Roman"/>
          <w:sz w:val="28"/>
          <w:szCs w:val="28"/>
          <w:lang w:eastAsia="zh-CN"/>
        </w:rPr>
        <w:t>单位</w:t>
      </w:r>
      <w:r>
        <w:rPr>
          <w:rFonts w:hint="eastAsia" w:ascii="仿宋_GB2312" w:hAnsi="Times New Roman" w:eastAsia="仿宋_GB2312" w:cs="Times New Roman"/>
          <w:sz w:val="28"/>
          <w:szCs w:val="28"/>
        </w:rPr>
        <w:t>需根据自身业务职能，</w:t>
      </w:r>
      <w:r>
        <w:rPr>
          <w:rFonts w:hint="eastAsia" w:ascii="仿宋_GB2312" w:hAnsi="Times New Roman" w:eastAsia="仿宋_GB2312" w:cs="Times New Roman"/>
          <w:sz w:val="28"/>
          <w:szCs w:val="28"/>
          <w:lang w:eastAsia="zh-CN"/>
        </w:rPr>
        <w:t>补充当年</w:t>
      </w:r>
      <w:r>
        <w:rPr>
          <w:rFonts w:hint="eastAsia" w:ascii="仿宋_GB2312" w:hAnsi="Times New Roman" w:eastAsia="仿宋_GB2312" w:cs="Times New Roman"/>
          <w:sz w:val="28"/>
          <w:szCs w:val="28"/>
          <w:lang w:val="en-US" w:eastAsia="zh-CN"/>
        </w:rPr>
        <w:t>使用的所有</w:t>
      </w:r>
      <w:r>
        <w:rPr>
          <w:rFonts w:hint="eastAsia" w:ascii="仿宋_GB2312" w:hAnsi="Times New Roman" w:eastAsia="仿宋_GB2312" w:cs="Times New Roman"/>
          <w:sz w:val="28"/>
          <w:szCs w:val="28"/>
          <w:lang w:eastAsia="zh-CN"/>
        </w:rPr>
        <w:t>支出功能分类项级科目名词解释，例如：</w:t>
      </w:r>
      <w:r>
        <w:rPr>
          <w:rFonts w:hint="eastAsia" w:ascii="仿宋_GB2312" w:hAnsi="Times New Roman" w:eastAsia="仿宋_GB2312" w:cs="Times New Roman"/>
          <w:sz w:val="28"/>
          <w:szCs w:val="28"/>
          <w:lang w:val="en-US" w:eastAsia="zh-CN"/>
        </w:rPr>
        <w:t>一般公共服务支出（类）人大事务（款）行政运行（项）：反映行政单位（包括实行公务员管理的事业单位）的基本支出。</w:t>
      </w:r>
    </w:p>
    <w:p>
      <w:pPr>
        <w:ind w:firstLine="640" w:firstLineChars="200"/>
        <w:jc w:val="center"/>
        <w:rPr>
          <w:rFonts w:hint="eastAsia" w:ascii="黑体" w:eastAsia="黑体"/>
          <w:sz w:val="32"/>
          <w:szCs w:val="32"/>
        </w:rPr>
      </w:pPr>
      <w:r>
        <w:rPr>
          <w:rFonts w:hint="eastAsia" w:ascii="黑体" w:eastAsia="黑体"/>
          <w:sz w:val="32"/>
          <w:szCs w:val="32"/>
        </w:rPr>
        <w:t xml:space="preserve">第四部分  </w:t>
      </w:r>
      <w:r>
        <w:rPr>
          <w:rFonts w:hint="eastAsia" w:ascii="黑体" w:eastAsia="黑体"/>
          <w:sz w:val="32"/>
          <w:szCs w:val="32"/>
          <w:lang w:eastAsia="zh-CN"/>
        </w:rPr>
        <w:t>2025</w:t>
      </w:r>
      <w:r>
        <w:rPr>
          <w:rFonts w:hint="eastAsia" w:ascii="黑体" w:eastAsia="黑体"/>
          <w:sz w:val="32"/>
          <w:szCs w:val="32"/>
        </w:rPr>
        <w:t>年度部门绩效评价情况</w:t>
      </w:r>
    </w:p>
    <w:p>
      <w:pPr>
        <w:ind w:firstLine="560" w:firstLineChars="200"/>
        <w:rPr>
          <w:rFonts w:hint="eastAsia" w:ascii="黑体" w:eastAsia="黑体"/>
          <w:sz w:val="28"/>
          <w:szCs w:val="28"/>
          <w:highlight w:val="yellow"/>
        </w:rPr>
      </w:pPr>
    </w:p>
    <w:p>
      <w:pPr>
        <w:numPr>
          <w:ilvl w:val="0"/>
          <w:numId w:val="1"/>
        </w:numPr>
        <w:ind w:firstLine="560" w:firstLineChars="200"/>
        <w:rPr>
          <w:rFonts w:hint="eastAsia" w:ascii="黑体" w:eastAsia="黑体"/>
          <w:sz w:val="28"/>
          <w:szCs w:val="28"/>
          <w:lang w:eastAsia="zh-CN"/>
        </w:rPr>
      </w:pPr>
      <w:r>
        <w:rPr>
          <w:rFonts w:hint="eastAsia" w:ascii="黑体" w:eastAsia="黑体"/>
          <w:sz w:val="28"/>
          <w:szCs w:val="28"/>
          <w:highlight w:val="none"/>
        </w:rPr>
        <w:t>部门整体绩效评价报告</w:t>
      </w:r>
      <w:r>
        <w:rPr>
          <w:rFonts w:hint="eastAsia" w:ascii="黑体" w:eastAsia="黑体"/>
          <w:sz w:val="28"/>
          <w:szCs w:val="28"/>
        </w:rPr>
        <w:t>（参考模板详见附件）</w:t>
      </w:r>
    </w:p>
    <w:p>
      <w:pPr>
        <w:numPr>
          <w:ilvl w:val="0"/>
          <w:numId w:val="1"/>
        </w:numPr>
        <w:ind w:firstLine="560" w:firstLineChars="200"/>
        <w:rPr>
          <w:rFonts w:hint="eastAsia" w:ascii="黑体" w:eastAsia="黑体"/>
          <w:sz w:val="28"/>
          <w:szCs w:val="28"/>
          <w:lang w:eastAsia="zh-CN"/>
        </w:rPr>
      </w:pPr>
      <w:r>
        <w:rPr>
          <w:rFonts w:hint="eastAsia" w:ascii="黑体" w:eastAsia="黑体"/>
          <w:sz w:val="28"/>
          <w:szCs w:val="28"/>
        </w:rPr>
        <w:t>项目支出绩效评价报告（参考模板详见附件）</w:t>
      </w:r>
    </w:p>
    <w:p>
      <w:pPr>
        <w:numPr>
          <w:ilvl w:val="0"/>
          <w:numId w:val="1"/>
        </w:numPr>
        <w:ind w:firstLine="560" w:firstLineChars="200"/>
        <w:rPr>
          <w:rFonts w:hint="eastAsia" w:ascii="黑体" w:eastAsia="黑体"/>
          <w:sz w:val="28"/>
          <w:szCs w:val="28"/>
          <w:lang w:eastAsia="zh-CN"/>
        </w:rPr>
      </w:pPr>
      <w:r>
        <w:rPr>
          <w:rFonts w:hint="eastAsia" w:ascii="黑体" w:eastAsia="黑体"/>
          <w:sz w:val="28"/>
          <w:szCs w:val="28"/>
        </w:rPr>
        <w:t>项目</w:t>
      </w:r>
      <w:r>
        <w:rPr>
          <w:rFonts w:ascii="黑体" w:eastAsia="黑体"/>
          <w:sz w:val="28"/>
          <w:szCs w:val="28"/>
        </w:rPr>
        <w:t>支出绩效自评表</w:t>
      </w:r>
      <w:r>
        <w:rPr>
          <w:rFonts w:hint="eastAsia" w:ascii="黑体" w:eastAsia="黑体"/>
          <w:sz w:val="28"/>
          <w:szCs w:val="28"/>
        </w:rPr>
        <w:t>（参考模板详见附件）</w:t>
      </w:r>
    </w:p>
    <w:p>
      <w:pPr>
        <w:spacing w:line="480" w:lineRule="exact"/>
        <w:ind w:firstLine="420" w:firstLineChars="0"/>
        <w:rPr>
          <w:rFonts w:hint="eastAsia" w:ascii="黑体" w:eastAsia="黑体"/>
          <w:sz w:val="28"/>
          <w:szCs w:val="28"/>
        </w:rPr>
      </w:pPr>
      <w:r>
        <w:rPr>
          <w:rFonts w:hint="eastAsia" w:ascii="黑体" w:eastAsia="黑体"/>
          <w:sz w:val="28"/>
          <w:szCs w:val="28"/>
        </w:rPr>
        <w:t xml:space="preserve"> （注：</w:t>
      </w:r>
      <w:r>
        <w:rPr>
          <w:rFonts w:hint="eastAsia" w:ascii="黑体" w:eastAsia="黑体"/>
          <w:color w:val="auto"/>
          <w:sz w:val="28"/>
          <w:szCs w:val="28"/>
        </w:rPr>
        <w:t>一级预算部门公开“一、二、三”；</w:t>
      </w:r>
      <w:r>
        <w:rPr>
          <w:rFonts w:hint="eastAsia" w:ascii="黑体" w:eastAsia="黑体"/>
          <w:sz w:val="28"/>
          <w:szCs w:val="28"/>
        </w:rPr>
        <w:t>二级预算单位仅公开“三”</w:t>
      </w:r>
      <w:r>
        <w:rPr>
          <w:rFonts w:hint="eastAsia" w:ascii="黑体" w:eastAsia="黑体"/>
          <w:sz w:val="28"/>
          <w:szCs w:val="28"/>
          <w:lang w:eastAsia="zh-CN"/>
        </w:rPr>
        <w:t>。</w:t>
      </w:r>
      <w:r>
        <w:rPr>
          <w:rFonts w:hint="eastAsia" w:ascii="黑体" w:eastAsia="黑体"/>
          <w:sz w:val="28"/>
          <w:szCs w:val="28"/>
        </w:rPr>
        <w:t>）</w:t>
      </w:r>
    </w:p>
    <w:p>
      <w:pPr>
        <w:spacing w:line="480" w:lineRule="exact"/>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rPr>
          <w:rFonts w:hint="eastAsia"/>
        </w:rPr>
      </w:pPr>
    </w:p>
    <w:p>
      <w:pPr>
        <w:pStyle w:val="2"/>
        <w:rPr>
          <w:rFonts w:hint="eastAsia" w:ascii="仿宋_GB2312" w:hAnsi="仿宋_GB2312" w:eastAsia="仿宋_GB2312" w:cs="仿宋_GB2312"/>
          <w:sz w:val="32"/>
          <w:szCs w:val="32"/>
        </w:rPr>
      </w:pPr>
    </w:p>
    <w:p>
      <w:pPr>
        <w:rPr>
          <w:rFonts w:hint="eastAsia"/>
        </w:rPr>
      </w:pPr>
    </w:p>
    <w:p>
      <w:pPr>
        <w:spacing w:line="560" w:lineRule="exact"/>
        <w:jc w:val="left"/>
        <w:rPr>
          <w:rFonts w:hint="eastAsia" w:ascii="方正黑体_GBK" w:hAnsi="方正黑体_GBK" w:eastAsia="方正黑体_GBK" w:cs="方正黑体_GBK"/>
          <w:sz w:val="32"/>
          <w:szCs w:val="32"/>
        </w:rPr>
      </w:pPr>
    </w:p>
    <w:p>
      <w:pPr>
        <w:spacing w:line="560" w:lineRule="exact"/>
        <w:jc w:val="left"/>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eastAsia="方正小标宋简体"/>
          <w:sz w:val="36"/>
          <w:szCs w:val="36"/>
          <w:highlight w:val="none"/>
        </w:rPr>
      </w:pPr>
      <w:r>
        <w:rPr>
          <w:rFonts w:hint="eastAsia" w:ascii="方正小标宋简体" w:eastAsia="方正小标宋简体"/>
          <w:sz w:val="36"/>
          <w:szCs w:val="36"/>
          <w:highlight w:val="none"/>
        </w:rPr>
        <w:t>部门整体绩效</w:t>
      </w:r>
      <w:r>
        <w:rPr>
          <w:rFonts w:hint="eastAsia" w:ascii="方正小标宋简体" w:eastAsia="方正小标宋简体"/>
          <w:sz w:val="36"/>
          <w:szCs w:val="36"/>
          <w:highlight w:val="none"/>
          <w:lang w:eastAsia="zh-CN"/>
        </w:rPr>
        <w:t>评价</w:t>
      </w:r>
      <w:r>
        <w:rPr>
          <w:rFonts w:hint="eastAsia" w:ascii="方正小标宋简体" w:eastAsia="方正小标宋简体"/>
          <w:sz w:val="36"/>
          <w:szCs w:val="36"/>
          <w:highlight w:val="none"/>
        </w:rPr>
        <w:t>报告</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仿宋_GB2312"/>
          <w:szCs w:val="30"/>
          <w:highlight w:val="none"/>
        </w:rPr>
      </w:pP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黑体" w:hAnsi="黑体" w:eastAsia="黑体" w:cs="宋体"/>
          <w:color w:val="000000"/>
          <w:kern w:val="0"/>
          <w:sz w:val="32"/>
          <w:szCs w:val="32"/>
          <w:highlight w:val="none"/>
        </w:rPr>
      </w:pPr>
      <w:r>
        <w:rPr>
          <w:rFonts w:hint="eastAsia" w:ascii="黑体" w:hAnsi="黑体" w:eastAsia="黑体" w:cs="宋体"/>
          <w:color w:val="000000"/>
          <w:kern w:val="0"/>
          <w:sz w:val="32"/>
          <w:szCs w:val="32"/>
          <w:highlight w:val="none"/>
        </w:rPr>
        <w:t>一、部门概况</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楷体_GB2312" w:eastAsia="楷体_GB2312"/>
          <w:sz w:val="32"/>
          <w:szCs w:val="32"/>
          <w:highlight w:val="none"/>
        </w:rPr>
      </w:pPr>
      <w:r>
        <w:rPr>
          <w:rFonts w:hint="eastAsia" w:ascii="楷体_GB2312" w:eastAsia="楷体_GB2312"/>
          <w:sz w:val="32"/>
          <w:szCs w:val="32"/>
          <w:highlight w:val="none"/>
        </w:rPr>
        <w:t>（一）机构设置及职责工作任务情况</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1.执行本级人民代表大会的决议和上级国家机关的决议和命令，发布决定和命令。</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2.执行本镇的经济和社会发展规划、预算，管理本镇的经济、教育、科学、文化、卫生、体育事业和财政、社会事务、公安、司法行政、计划生育、安全生产、农村集体资产管理等行政工作。</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3.推动产业结构调整，转变农业发展方式，优化发展环境，大力发展环境友好型工业、休闲旅游业、都市型现代农业和现代服务业，着力构建绿色高端高效经济体系。</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4.关注和改善民生，加快社会事业发展，推动公共服务均等化。全面落实支农惠农政策，增加农民收入。</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5.加强生态建设和保护，加大环境整治，完善和落实护水、护河、护山、护林、护地、护环境的“六护”机制。</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6.保护合法财产，维护社会秩序，保障公民的人身权利、民主权利和其他权利。</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7.保护各种经济组织的合法权益。</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8.尊重少数民族的风俗习惯和保障少数民族的权利。</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9.保障宪法和法律赋予妇女的男女平等、同工同酬和婚姻自由等各项权利。</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10.不断强化社会维稳体系，加强农村社会治安综合治理，防范和化解农村社会矛盾，确保社会稳定。</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11.完成上级交办的其他事项。</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楷体_GB2312" w:eastAsia="楷体_GB2312"/>
          <w:sz w:val="32"/>
          <w:szCs w:val="32"/>
          <w:highlight w:val="none"/>
        </w:rPr>
      </w:pPr>
      <w:r>
        <w:rPr>
          <w:rFonts w:hint="eastAsia" w:ascii="楷体_GB2312" w:eastAsia="楷体_GB2312"/>
          <w:sz w:val="32"/>
          <w:szCs w:val="32"/>
          <w:highlight w:val="none"/>
        </w:rPr>
        <w:t>（二）部门整体绩效目标设立情况</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202</w:t>
      </w:r>
      <w:r>
        <w:rPr>
          <w:rFonts w:hint="eastAsia" w:ascii="仿宋_GB2312" w:hAnsi="宋体" w:eastAsia="仿宋_GB2312" w:cs="宋体"/>
          <w:color w:val="000000"/>
          <w:kern w:val="0"/>
          <w:sz w:val="32"/>
          <w:szCs w:val="32"/>
          <w:highlight w:val="none"/>
          <w:lang w:val="en-US" w:eastAsia="zh-CN"/>
        </w:rPr>
        <w:t>6</w:t>
      </w:r>
      <w:r>
        <w:rPr>
          <w:rFonts w:hint="eastAsia" w:ascii="仿宋_GB2312" w:hAnsi="宋体" w:eastAsia="仿宋_GB2312" w:cs="宋体"/>
          <w:color w:val="000000"/>
          <w:kern w:val="0"/>
          <w:sz w:val="32"/>
          <w:szCs w:val="32"/>
          <w:highlight w:val="none"/>
        </w:rPr>
        <w:t>年，</w:t>
      </w:r>
      <w:r>
        <w:rPr>
          <w:rFonts w:hint="eastAsia" w:ascii="仿宋_GB2312" w:hAnsi="宋体" w:eastAsia="仿宋_GB2312" w:cs="宋体"/>
          <w:color w:val="000000"/>
          <w:kern w:val="0"/>
          <w:sz w:val="32"/>
          <w:szCs w:val="32"/>
          <w:highlight w:val="none"/>
          <w:lang w:eastAsia="zh-CN"/>
        </w:rPr>
        <w:t>太师屯镇人民政府</w:t>
      </w:r>
      <w:r>
        <w:rPr>
          <w:rFonts w:hint="eastAsia" w:ascii="仿宋_GB2312" w:hAnsi="宋体" w:eastAsia="仿宋_GB2312" w:cs="宋体"/>
          <w:color w:val="000000"/>
          <w:kern w:val="0"/>
          <w:sz w:val="32"/>
          <w:szCs w:val="32"/>
          <w:highlight w:val="none"/>
        </w:rPr>
        <w:t>对20</w:t>
      </w:r>
      <w:r>
        <w:rPr>
          <w:rFonts w:hint="eastAsia" w:ascii="仿宋_GB2312" w:hAnsi="宋体" w:eastAsia="仿宋_GB2312" w:cs="宋体"/>
          <w:color w:val="000000"/>
          <w:kern w:val="0"/>
          <w:sz w:val="32"/>
          <w:szCs w:val="32"/>
          <w:highlight w:val="none"/>
          <w:lang w:val="en-US" w:eastAsia="zh-CN"/>
        </w:rPr>
        <w:t>25</w:t>
      </w:r>
      <w:r>
        <w:rPr>
          <w:rFonts w:hint="eastAsia" w:ascii="仿宋_GB2312" w:hAnsi="宋体" w:eastAsia="仿宋_GB2312" w:cs="宋体"/>
          <w:color w:val="000000"/>
          <w:kern w:val="0"/>
          <w:sz w:val="32"/>
          <w:szCs w:val="32"/>
          <w:highlight w:val="none"/>
        </w:rPr>
        <w:t>年度部门项目支出实施了绩效评价，评价项目</w:t>
      </w:r>
      <w:r>
        <w:rPr>
          <w:rFonts w:hint="eastAsia" w:ascii="仿宋_GB2312" w:hAnsi="宋体" w:eastAsia="仿宋_GB2312" w:cs="宋体"/>
          <w:color w:val="000000"/>
          <w:kern w:val="0"/>
          <w:sz w:val="32"/>
          <w:szCs w:val="32"/>
          <w:highlight w:val="none"/>
          <w:lang w:val="en-US" w:eastAsia="zh-CN"/>
        </w:rPr>
        <w:t>8</w:t>
      </w:r>
      <w:r>
        <w:rPr>
          <w:rFonts w:hint="eastAsia" w:ascii="仿宋_GB2312" w:hAnsi="宋体" w:eastAsia="仿宋_GB2312" w:cs="宋体"/>
          <w:color w:val="000000"/>
          <w:kern w:val="0"/>
          <w:sz w:val="32"/>
          <w:szCs w:val="32"/>
          <w:highlight w:val="none"/>
        </w:rPr>
        <w:t>个，占部门项目总数的</w:t>
      </w:r>
      <w:r>
        <w:rPr>
          <w:rFonts w:hint="eastAsia" w:ascii="仿宋_GB2312" w:hAnsi="宋体" w:eastAsia="仿宋_GB2312" w:cs="宋体"/>
          <w:color w:val="000000"/>
          <w:kern w:val="0"/>
          <w:sz w:val="32"/>
          <w:szCs w:val="32"/>
          <w:highlight w:val="none"/>
          <w:lang w:val="en-US" w:eastAsia="zh-CN"/>
        </w:rPr>
        <w:t>100</w:t>
      </w:r>
      <w:r>
        <w:rPr>
          <w:rFonts w:hint="eastAsia" w:ascii="仿宋_GB2312" w:hAnsi="宋体" w:eastAsia="仿宋_GB2312" w:cs="宋体"/>
          <w:color w:val="000000"/>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ascii="黑体" w:hAnsi="黑体" w:eastAsia="黑体" w:cs="宋体"/>
          <w:color w:val="000000"/>
          <w:kern w:val="0"/>
          <w:sz w:val="32"/>
          <w:szCs w:val="32"/>
          <w:highlight w:val="none"/>
        </w:rPr>
      </w:pPr>
      <w:r>
        <w:rPr>
          <w:rFonts w:hint="eastAsia" w:ascii="黑体" w:hAnsi="黑体" w:eastAsia="黑体" w:cs="宋体"/>
          <w:color w:val="000000"/>
          <w:kern w:val="0"/>
          <w:sz w:val="32"/>
          <w:szCs w:val="32"/>
          <w:highlight w:val="none"/>
        </w:rPr>
        <w:t>二</w:t>
      </w:r>
      <w:r>
        <w:rPr>
          <w:rFonts w:ascii="黑体" w:hAnsi="黑体" w:eastAsia="黑体" w:cs="宋体"/>
          <w:color w:val="000000"/>
          <w:kern w:val="0"/>
          <w:sz w:val="32"/>
          <w:szCs w:val="32"/>
          <w:highlight w:val="none"/>
        </w:rPr>
        <w:t>、</w:t>
      </w:r>
      <w:r>
        <w:rPr>
          <w:rFonts w:hint="eastAsia" w:ascii="黑体" w:hAnsi="黑体" w:eastAsia="黑体" w:cs="宋体"/>
          <w:color w:val="000000"/>
          <w:kern w:val="0"/>
          <w:sz w:val="32"/>
          <w:szCs w:val="32"/>
          <w:highlight w:val="none"/>
        </w:rPr>
        <w:t>当年</w:t>
      </w:r>
      <w:r>
        <w:rPr>
          <w:rFonts w:ascii="黑体" w:hAnsi="黑体" w:eastAsia="黑体" w:cs="宋体"/>
          <w:color w:val="000000"/>
          <w:kern w:val="0"/>
          <w:sz w:val="32"/>
          <w:szCs w:val="32"/>
          <w:highlight w:val="none"/>
        </w:rPr>
        <w:t>预算执行情况</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rPr>
        <w:t>202</w:t>
      </w:r>
      <w:r>
        <w:rPr>
          <w:rFonts w:hint="eastAsia" w:ascii="仿宋_GB2312" w:hAnsi="宋体" w:eastAsia="仿宋_GB2312" w:cs="宋体"/>
          <w:color w:val="000000"/>
          <w:kern w:val="0"/>
          <w:sz w:val="32"/>
          <w:szCs w:val="32"/>
          <w:lang w:val="en-US" w:eastAsia="zh-CN"/>
        </w:rPr>
        <w:t>5</w:t>
      </w:r>
      <w:r>
        <w:rPr>
          <w:rFonts w:hint="eastAsia" w:ascii="仿宋_GB2312" w:hAnsi="宋体" w:eastAsia="仿宋_GB2312" w:cs="宋体"/>
          <w:color w:val="000000"/>
          <w:kern w:val="0"/>
          <w:sz w:val="32"/>
          <w:szCs w:val="32"/>
        </w:rPr>
        <w:t>年</w:t>
      </w:r>
      <w:r>
        <w:rPr>
          <w:rFonts w:ascii="仿宋_GB2312" w:hAnsi="宋体" w:eastAsia="仿宋_GB2312" w:cs="宋体"/>
          <w:color w:val="000000"/>
          <w:kern w:val="0"/>
          <w:sz w:val="32"/>
          <w:szCs w:val="32"/>
        </w:rPr>
        <w:t>全年</w:t>
      </w:r>
      <w:r>
        <w:rPr>
          <w:rFonts w:hint="eastAsia" w:ascii="仿宋_GB2312" w:hAnsi="宋体" w:eastAsia="仿宋_GB2312" w:cs="宋体"/>
          <w:color w:val="000000"/>
          <w:kern w:val="0"/>
          <w:sz w:val="32"/>
          <w:szCs w:val="32"/>
        </w:rPr>
        <w:t>预算数</w:t>
      </w:r>
      <w:r>
        <w:rPr>
          <w:rFonts w:hint="eastAsia" w:ascii="仿宋_GB2312" w:hAnsi="宋体" w:eastAsia="仿宋_GB2312" w:cs="宋体"/>
          <w:color w:val="000000"/>
          <w:kern w:val="0"/>
          <w:sz w:val="32"/>
          <w:szCs w:val="32"/>
          <w:lang w:val="en-US" w:eastAsia="zh-CN"/>
        </w:rPr>
        <w:t>10578.43</w:t>
      </w:r>
      <w:r>
        <w:rPr>
          <w:rFonts w:hint="eastAsia" w:ascii="仿宋_GB2312" w:hAnsi="宋体" w:eastAsia="仿宋_GB2312" w:cs="宋体"/>
          <w:color w:val="000000"/>
          <w:kern w:val="0"/>
          <w:sz w:val="32"/>
          <w:szCs w:val="32"/>
        </w:rPr>
        <w:t>万元</w:t>
      </w:r>
      <w:r>
        <w:rPr>
          <w:rFonts w:ascii="仿宋_GB2312" w:hAnsi="宋体" w:eastAsia="仿宋_GB2312" w:cs="宋体"/>
          <w:color w:val="000000"/>
          <w:kern w:val="0"/>
          <w:sz w:val="32"/>
          <w:szCs w:val="32"/>
        </w:rPr>
        <w:t>，</w:t>
      </w:r>
      <w:r>
        <w:rPr>
          <w:rFonts w:hint="eastAsia" w:ascii="仿宋_GB2312" w:hAnsi="宋体" w:eastAsia="仿宋_GB2312" w:cs="宋体"/>
          <w:color w:val="000000"/>
          <w:kern w:val="0"/>
          <w:sz w:val="32"/>
          <w:szCs w:val="32"/>
        </w:rPr>
        <w:t>其中</w:t>
      </w:r>
      <w:r>
        <w:rPr>
          <w:rFonts w:ascii="仿宋_GB2312" w:hAnsi="宋体" w:eastAsia="仿宋_GB2312" w:cs="宋体"/>
          <w:color w:val="000000"/>
          <w:kern w:val="0"/>
          <w:sz w:val="32"/>
          <w:szCs w:val="32"/>
        </w:rPr>
        <w:t>，基本</w:t>
      </w:r>
      <w:r>
        <w:rPr>
          <w:rFonts w:hint="eastAsia" w:ascii="仿宋_GB2312" w:hAnsi="宋体" w:eastAsia="仿宋_GB2312" w:cs="宋体"/>
          <w:color w:val="000000"/>
          <w:kern w:val="0"/>
          <w:sz w:val="32"/>
          <w:szCs w:val="32"/>
        </w:rPr>
        <w:t>支出</w:t>
      </w:r>
      <w:r>
        <w:rPr>
          <w:rFonts w:ascii="仿宋_GB2312" w:hAnsi="宋体" w:eastAsia="仿宋_GB2312" w:cs="宋体"/>
          <w:color w:val="000000"/>
          <w:kern w:val="0"/>
          <w:sz w:val="32"/>
          <w:szCs w:val="32"/>
        </w:rPr>
        <w:t>预算数</w:t>
      </w:r>
      <w:r>
        <w:rPr>
          <w:rFonts w:hint="eastAsia" w:ascii="仿宋_GB2312" w:hAnsi="宋体" w:eastAsia="仿宋_GB2312" w:cs="宋体"/>
          <w:color w:val="000000"/>
          <w:kern w:val="0"/>
          <w:sz w:val="32"/>
          <w:szCs w:val="32"/>
          <w:lang w:val="en-US" w:eastAsia="zh-CN"/>
        </w:rPr>
        <w:t>3868.88</w:t>
      </w:r>
      <w:r>
        <w:rPr>
          <w:rFonts w:ascii="仿宋_GB2312" w:hAnsi="宋体" w:eastAsia="仿宋_GB2312" w:cs="宋体"/>
          <w:color w:val="000000"/>
          <w:kern w:val="0"/>
          <w:sz w:val="32"/>
          <w:szCs w:val="32"/>
        </w:rPr>
        <w:t>万元，</w:t>
      </w:r>
      <w:r>
        <w:rPr>
          <w:rFonts w:hint="eastAsia" w:ascii="仿宋_GB2312" w:hAnsi="宋体" w:eastAsia="仿宋_GB2312" w:cs="宋体"/>
          <w:color w:val="000000"/>
          <w:kern w:val="0"/>
          <w:sz w:val="32"/>
          <w:szCs w:val="32"/>
        </w:rPr>
        <w:t>项目支出预算数</w:t>
      </w:r>
      <w:r>
        <w:rPr>
          <w:rFonts w:hint="eastAsia" w:ascii="仿宋_GB2312" w:hAnsi="宋体" w:eastAsia="仿宋_GB2312" w:cs="宋体"/>
          <w:color w:val="000000"/>
          <w:kern w:val="0"/>
          <w:sz w:val="32"/>
          <w:szCs w:val="32"/>
          <w:lang w:val="en-US" w:eastAsia="zh-CN"/>
        </w:rPr>
        <w:t>6709.55</w:t>
      </w:r>
      <w:r>
        <w:rPr>
          <w:rFonts w:ascii="仿宋_GB2312" w:hAnsi="宋体" w:eastAsia="仿宋_GB2312" w:cs="宋体"/>
          <w:color w:val="000000"/>
          <w:kern w:val="0"/>
          <w:sz w:val="32"/>
          <w:szCs w:val="32"/>
        </w:rPr>
        <w:t>万元，其他支出</w:t>
      </w:r>
      <w:r>
        <w:rPr>
          <w:rFonts w:hint="eastAsia" w:ascii="仿宋_GB2312" w:hAnsi="宋体" w:eastAsia="仿宋_GB2312" w:cs="宋体"/>
          <w:color w:val="000000"/>
          <w:kern w:val="0"/>
          <w:sz w:val="32"/>
          <w:szCs w:val="32"/>
        </w:rPr>
        <w:t>预算数</w:t>
      </w:r>
      <w:r>
        <w:rPr>
          <w:rFonts w:hint="eastAsia" w:ascii="仿宋_GB2312" w:hAnsi="宋体" w:eastAsia="仿宋_GB2312" w:cs="宋体"/>
          <w:color w:val="000000"/>
          <w:kern w:val="0"/>
          <w:sz w:val="32"/>
          <w:szCs w:val="32"/>
          <w:lang w:val="en-US" w:eastAsia="zh-CN"/>
        </w:rPr>
        <w:t>0</w:t>
      </w:r>
      <w:r>
        <w:rPr>
          <w:rFonts w:ascii="仿宋_GB2312" w:hAnsi="宋体" w:eastAsia="仿宋_GB2312" w:cs="宋体"/>
          <w:color w:val="000000"/>
          <w:kern w:val="0"/>
          <w:sz w:val="32"/>
          <w:szCs w:val="32"/>
        </w:rPr>
        <w:t>万元</w:t>
      </w:r>
      <w:r>
        <w:rPr>
          <w:rFonts w:hint="eastAsia" w:ascii="仿宋_GB2312" w:hAnsi="宋体" w:eastAsia="仿宋_GB2312" w:cs="宋体"/>
          <w:color w:val="000000"/>
          <w:kern w:val="0"/>
          <w:sz w:val="32"/>
          <w:szCs w:val="32"/>
        </w:rPr>
        <w:t>。</w:t>
      </w:r>
      <w:r>
        <w:rPr>
          <w:rFonts w:ascii="仿宋_GB2312" w:hAnsi="宋体" w:eastAsia="仿宋_GB2312" w:cs="宋体"/>
          <w:color w:val="000000"/>
          <w:kern w:val="0"/>
          <w:sz w:val="32"/>
          <w:szCs w:val="32"/>
        </w:rPr>
        <w:t>资金总体</w:t>
      </w:r>
      <w:r>
        <w:rPr>
          <w:rFonts w:hint="eastAsia" w:ascii="仿宋_GB2312" w:hAnsi="宋体" w:eastAsia="仿宋_GB2312" w:cs="宋体"/>
          <w:color w:val="000000"/>
          <w:kern w:val="0"/>
          <w:sz w:val="32"/>
          <w:szCs w:val="32"/>
        </w:rPr>
        <w:t>支出</w:t>
      </w:r>
      <w:r>
        <w:rPr>
          <w:rFonts w:hint="eastAsia" w:ascii="仿宋_GB2312" w:hAnsi="宋体" w:eastAsia="仿宋_GB2312" w:cs="宋体"/>
          <w:color w:val="000000"/>
          <w:kern w:val="0"/>
          <w:sz w:val="32"/>
          <w:szCs w:val="32"/>
          <w:lang w:val="en-US" w:eastAsia="zh-CN"/>
        </w:rPr>
        <w:t>32976.58</w:t>
      </w:r>
      <w:r>
        <w:rPr>
          <w:rFonts w:ascii="仿宋_GB2312" w:hAnsi="宋体" w:eastAsia="仿宋_GB2312" w:cs="宋体"/>
          <w:color w:val="000000"/>
          <w:kern w:val="0"/>
          <w:sz w:val="32"/>
          <w:szCs w:val="32"/>
        </w:rPr>
        <w:t>万元，其中，基本支出</w:t>
      </w:r>
      <w:r>
        <w:rPr>
          <w:rFonts w:hint="eastAsia" w:ascii="仿宋_GB2312" w:hAnsi="宋体" w:eastAsia="仿宋_GB2312" w:cs="宋体"/>
          <w:color w:val="000000"/>
          <w:kern w:val="0"/>
          <w:sz w:val="32"/>
          <w:szCs w:val="32"/>
          <w:lang w:val="en-US" w:eastAsia="zh-CN"/>
        </w:rPr>
        <w:t>3241.46</w:t>
      </w:r>
      <w:r>
        <w:rPr>
          <w:rFonts w:ascii="仿宋_GB2312" w:hAnsi="宋体" w:eastAsia="仿宋_GB2312" w:cs="宋体"/>
          <w:color w:val="000000"/>
          <w:kern w:val="0"/>
          <w:sz w:val="32"/>
          <w:szCs w:val="32"/>
        </w:rPr>
        <w:t>万元，项目</w:t>
      </w:r>
      <w:r>
        <w:rPr>
          <w:rFonts w:hint="eastAsia" w:ascii="仿宋_GB2312" w:hAnsi="宋体" w:eastAsia="仿宋_GB2312" w:cs="宋体"/>
          <w:color w:val="000000"/>
          <w:kern w:val="0"/>
          <w:sz w:val="32"/>
          <w:szCs w:val="32"/>
        </w:rPr>
        <w:t>支出</w:t>
      </w:r>
      <w:r>
        <w:rPr>
          <w:rFonts w:hint="eastAsia" w:ascii="仿宋_GB2312" w:hAnsi="宋体" w:eastAsia="仿宋_GB2312" w:cs="宋体"/>
          <w:color w:val="000000"/>
          <w:kern w:val="0"/>
          <w:sz w:val="32"/>
          <w:szCs w:val="32"/>
          <w:lang w:val="en-US" w:eastAsia="zh-CN"/>
        </w:rPr>
        <w:t>29735.12</w:t>
      </w:r>
      <w:r>
        <w:rPr>
          <w:rFonts w:ascii="仿宋_GB2312" w:hAnsi="宋体" w:eastAsia="仿宋_GB2312" w:cs="宋体"/>
          <w:color w:val="000000"/>
          <w:kern w:val="0"/>
          <w:sz w:val="32"/>
          <w:szCs w:val="32"/>
        </w:rPr>
        <w:t>万元，其他支出</w:t>
      </w:r>
      <w:r>
        <w:rPr>
          <w:rFonts w:hint="eastAsia" w:ascii="仿宋_GB2312" w:hAnsi="宋体" w:eastAsia="仿宋_GB2312" w:cs="宋体"/>
          <w:color w:val="000000"/>
          <w:kern w:val="0"/>
          <w:sz w:val="32"/>
          <w:szCs w:val="32"/>
          <w:lang w:val="en-US" w:eastAsia="zh-CN"/>
        </w:rPr>
        <w:t>0</w:t>
      </w:r>
      <w:r>
        <w:rPr>
          <w:rFonts w:ascii="仿宋_GB2312" w:hAnsi="宋体" w:eastAsia="仿宋_GB2312" w:cs="宋体"/>
          <w:color w:val="000000"/>
          <w:kern w:val="0"/>
          <w:sz w:val="32"/>
          <w:szCs w:val="32"/>
        </w:rPr>
        <w:t>万元。</w:t>
      </w:r>
      <w:r>
        <w:rPr>
          <w:rFonts w:hint="eastAsia" w:ascii="仿宋_GB2312" w:hAnsi="宋体" w:eastAsia="仿宋_GB2312" w:cs="宋体"/>
          <w:color w:val="000000"/>
          <w:kern w:val="0"/>
          <w:sz w:val="32"/>
          <w:szCs w:val="32"/>
        </w:rPr>
        <w:t>预算</w:t>
      </w:r>
      <w:r>
        <w:rPr>
          <w:rFonts w:ascii="仿宋_GB2312" w:hAnsi="宋体" w:eastAsia="仿宋_GB2312" w:cs="宋体"/>
          <w:color w:val="000000"/>
          <w:kern w:val="0"/>
          <w:sz w:val="32"/>
          <w:szCs w:val="32"/>
        </w:rPr>
        <w:t>执行率为</w:t>
      </w:r>
      <w:r>
        <w:rPr>
          <w:rFonts w:hint="eastAsia" w:ascii="仿宋_GB2312" w:hAnsi="宋体" w:eastAsia="仿宋_GB2312" w:cs="宋体"/>
          <w:color w:val="000000"/>
          <w:kern w:val="0"/>
          <w:sz w:val="32"/>
          <w:szCs w:val="32"/>
          <w:lang w:val="en-US" w:eastAsia="zh-CN"/>
        </w:rPr>
        <w:t>100%</w:t>
      </w:r>
      <w:r>
        <w:rPr>
          <w:rFonts w:hint="eastAsia" w:ascii="仿宋_GB2312" w:hAnsi="宋体" w:eastAsia="仿宋_GB2312" w:cs="宋体"/>
          <w:color w:val="000000"/>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480" w:lineRule="exact"/>
        <w:ind w:left="105" w:leftChars="50" w:firstLine="480" w:firstLineChars="150"/>
        <w:textAlignment w:val="auto"/>
        <w:rPr>
          <w:rFonts w:ascii="黑体" w:hAnsi="黑体" w:eastAsia="黑体" w:cs="宋体"/>
          <w:color w:val="000000"/>
          <w:kern w:val="0"/>
          <w:sz w:val="32"/>
          <w:szCs w:val="32"/>
          <w:highlight w:val="none"/>
        </w:rPr>
      </w:pPr>
      <w:r>
        <w:rPr>
          <w:rFonts w:hint="eastAsia" w:ascii="黑体" w:hAnsi="黑体" w:eastAsia="黑体" w:cs="宋体"/>
          <w:color w:val="000000"/>
          <w:kern w:val="0"/>
          <w:sz w:val="32"/>
          <w:szCs w:val="32"/>
          <w:highlight w:val="none"/>
        </w:rPr>
        <w:t>三</w:t>
      </w:r>
      <w:r>
        <w:rPr>
          <w:rFonts w:ascii="黑体" w:hAnsi="黑体" w:eastAsia="黑体" w:cs="宋体"/>
          <w:color w:val="000000"/>
          <w:kern w:val="0"/>
          <w:sz w:val="32"/>
          <w:szCs w:val="32"/>
          <w:highlight w:val="none"/>
        </w:rPr>
        <w:t>、整体绩效目标实现情况</w:t>
      </w:r>
      <w:bookmarkStart w:id="0" w:name="_GoBack"/>
      <w:bookmarkEnd w:id="0"/>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202</w:t>
      </w:r>
      <w:r>
        <w:rPr>
          <w:rFonts w:hint="eastAsia" w:ascii="仿宋_GB2312" w:hAnsi="宋体" w:eastAsia="仿宋_GB2312" w:cs="宋体"/>
          <w:color w:val="000000"/>
          <w:kern w:val="0"/>
          <w:sz w:val="32"/>
          <w:szCs w:val="32"/>
          <w:lang w:val="en-US" w:eastAsia="zh-CN"/>
        </w:rPr>
        <w:t>6</w:t>
      </w:r>
      <w:r>
        <w:rPr>
          <w:rFonts w:hint="eastAsia" w:ascii="仿宋_GB2312" w:hAnsi="宋体" w:eastAsia="仿宋_GB2312" w:cs="宋体"/>
          <w:color w:val="000000"/>
          <w:kern w:val="0"/>
          <w:sz w:val="32"/>
          <w:szCs w:val="32"/>
        </w:rPr>
        <w:t>年北京市密云区</w:t>
      </w:r>
      <w:r>
        <w:rPr>
          <w:rFonts w:hint="eastAsia" w:ascii="仿宋_GB2312" w:hAnsi="宋体" w:eastAsia="仿宋_GB2312" w:cs="宋体"/>
          <w:color w:val="000000"/>
          <w:kern w:val="0"/>
          <w:sz w:val="32"/>
          <w:szCs w:val="32"/>
          <w:lang w:eastAsia="zh-CN"/>
        </w:rPr>
        <w:t>太师屯镇人民政府</w:t>
      </w:r>
      <w:r>
        <w:rPr>
          <w:rFonts w:hint="eastAsia" w:ascii="仿宋_GB2312" w:hAnsi="宋体" w:eastAsia="仿宋_GB2312" w:cs="宋体"/>
          <w:color w:val="000000"/>
          <w:kern w:val="0"/>
          <w:sz w:val="32"/>
          <w:szCs w:val="32"/>
        </w:rPr>
        <w:t>对202</w:t>
      </w:r>
      <w:r>
        <w:rPr>
          <w:rFonts w:hint="eastAsia" w:ascii="仿宋_GB2312" w:hAnsi="宋体" w:eastAsia="仿宋_GB2312" w:cs="宋体"/>
          <w:color w:val="000000"/>
          <w:kern w:val="0"/>
          <w:sz w:val="32"/>
          <w:szCs w:val="32"/>
          <w:lang w:val="en-US" w:eastAsia="zh-CN"/>
        </w:rPr>
        <w:t>5</w:t>
      </w:r>
      <w:r>
        <w:rPr>
          <w:rFonts w:hint="eastAsia" w:ascii="仿宋_GB2312" w:hAnsi="宋体" w:eastAsia="仿宋_GB2312" w:cs="宋体"/>
          <w:color w:val="000000"/>
          <w:kern w:val="0"/>
          <w:sz w:val="32"/>
          <w:szCs w:val="32"/>
        </w:rPr>
        <w:t>年度部门项目支出实施了绩效评价，评价项目</w:t>
      </w:r>
      <w:r>
        <w:rPr>
          <w:rFonts w:hint="eastAsia" w:ascii="仿宋_GB2312" w:hAnsi="宋体" w:eastAsia="仿宋_GB2312" w:cs="宋体"/>
          <w:color w:val="000000"/>
          <w:kern w:val="0"/>
          <w:sz w:val="32"/>
          <w:szCs w:val="32"/>
          <w:lang w:val="en-US" w:eastAsia="zh-CN"/>
        </w:rPr>
        <w:t>8</w:t>
      </w:r>
      <w:r>
        <w:rPr>
          <w:rFonts w:hint="eastAsia" w:ascii="仿宋_GB2312" w:hAnsi="宋体" w:eastAsia="仿宋_GB2312" w:cs="宋体"/>
          <w:color w:val="000000"/>
          <w:kern w:val="0"/>
          <w:sz w:val="32"/>
          <w:szCs w:val="32"/>
        </w:rPr>
        <w:t>个，占部门项目总数的</w:t>
      </w:r>
      <w:r>
        <w:rPr>
          <w:rFonts w:hint="eastAsia" w:ascii="仿宋_GB2312" w:hAnsi="宋体" w:eastAsia="仿宋_GB2312" w:cs="宋体"/>
          <w:color w:val="000000"/>
          <w:kern w:val="0"/>
          <w:sz w:val="32"/>
          <w:szCs w:val="32"/>
          <w:lang w:val="en-US" w:eastAsia="zh-CN"/>
        </w:rPr>
        <w:t>100</w:t>
      </w:r>
      <w:r>
        <w:rPr>
          <w:rFonts w:hint="eastAsia" w:ascii="仿宋_GB2312" w:hAnsi="宋体" w:eastAsia="仿宋_GB2312" w:cs="宋体"/>
          <w:color w:val="000000"/>
          <w:kern w:val="0"/>
          <w:sz w:val="32"/>
          <w:szCs w:val="32"/>
        </w:rPr>
        <w:t>%，涉及金额</w:t>
      </w:r>
      <w:r>
        <w:rPr>
          <w:rFonts w:hint="eastAsia" w:ascii="仿宋_GB2312" w:hAnsi="宋体" w:eastAsia="仿宋_GB2312" w:cs="宋体"/>
          <w:color w:val="000000"/>
          <w:kern w:val="0"/>
          <w:sz w:val="32"/>
          <w:szCs w:val="32"/>
          <w:lang w:val="en-US" w:eastAsia="zh-CN"/>
        </w:rPr>
        <w:t>6709.55</w:t>
      </w:r>
      <w:r>
        <w:rPr>
          <w:rFonts w:hint="eastAsia" w:ascii="仿宋_GB2312" w:hAnsi="宋体" w:eastAsia="仿宋_GB2312" w:cs="宋体"/>
          <w:color w:val="000000"/>
          <w:kern w:val="0"/>
          <w:sz w:val="32"/>
          <w:szCs w:val="32"/>
        </w:rPr>
        <w:t>万元。各业务部门结合实际情况，对项目开展情况进行梳理，对照项目绩效评价标准，以资金使用结果为导向，重点对绩效目标及完成情况、效益实现情况进行综合评价。在各部门的努力下，部门自评结果整体情况较好，设定的绩效目标基本完成，与预期完成情况相差极小。通过自评打分，90分(含)以上有</w:t>
      </w:r>
      <w:r>
        <w:rPr>
          <w:rFonts w:hint="eastAsia" w:ascii="仿宋_GB2312" w:hAnsi="宋体" w:eastAsia="仿宋_GB2312" w:cs="宋体"/>
          <w:color w:val="000000"/>
          <w:kern w:val="0"/>
          <w:sz w:val="32"/>
          <w:szCs w:val="32"/>
          <w:lang w:val="en-US" w:eastAsia="zh-CN"/>
        </w:rPr>
        <w:t>8</w:t>
      </w:r>
      <w:r>
        <w:rPr>
          <w:rFonts w:hint="eastAsia" w:ascii="仿宋_GB2312" w:hAnsi="宋体" w:eastAsia="仿宋_GB2312" w:cs="宋体"/>
          <w:color w:val="000000"/>
          <w:kern w:val="0"/>
          <w:sz w:val="32"/>
          <w:szCs w:val="32"/>
        </w:rPr>
        <w:t>个项目，占</w:t>
      </w:r>
      <w:r>
        <w:rPr>
          <w:rFonts w:hint="eastAsia" w:ascii="仿宋_GB2312" w:hAnsi="宋体" w:eastAsia="仿宋_GB2312" w:cs="宋体"/>
          <w:color w:val="000000"/>
          <w:kern w:val="0"/>
          <w:sz w:val="32"/>
          <w:szCs w:val="32"/>
          <w:lang w:val="en-US" w:eastAsia="zh-CN"/>
        </w:rPr>
        <w:t>100</w:t>
      </w:r>
      <w:r>
        <w:rPr>
          <w:rFonts w:hint="eastAsia" w:ascii="仿宋_GB2312" w:hAnsi="宋体" w:eastAsia="仿宋_GB2312" w:cs="宋体"/>
          <w:color w:val="000000"/>
          <w:kern w:val="0"/>
          <w:sz w:val="32"/>
          <w:szCs w:val="32"/>
        </w:rPr>
        <w:t>%。</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1.评价得分情况</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202</w:t>
      </w:r>
      <w:r>
        <w:rPr>
          <w:rFonts w:hint="eastAsia" w:ascii="仿宋_GB2312" w:hAnsi="宋体" w:eastAsia="仿宋_GB2312" w:cs="宋体"/>
          <w:color w:val="000000"/>
          <w:kern w:val="0"/>
          <w:sz w:val="32"/>
          <w:szCs w:val="32"/>
          <w:lang w:val="en-US" w:eastAsia="zh-CN"/>
        </w:rPr>
        <w:t>5</w:t>
      </w:r>
      <w:r>
        <w:rPr>
          <w:rFonts w:hint="eastAsia" w:ascii="仿宋_GB2312" w:hAnsi="宋体" w:eastAsia="仿宋_GB2312" w:cs="宋体"/>
          <w:color w:val="000000"/>
          <w:kern w:val="0"/>
          <w:sz w:val="32"/>
          <w:szCs w:val="32"/>
        </w:rPr>
        <w:t>年绩效指标整体完成情况良好，整体得分在80-100分之间的项目</w:t>
      </w:r>
      <w:r>
        <w:rPr>
          <w:rFonts w:hint="eastAsia" w:ascii="仿宋_GB2312" w:hAnsi="宋体" w:eastAsia="仿宋_GB2312" w:cs="宋体"/>
          <w:color w:val="000000"/>
          <w:kern w:val="0"/>
          <w:sz w:val="32"/>
          <w:szCs w:val="32"/>
          <w:lang w:val="en-US" w:eastAsia="zh-CN"/>
        </w:rPr>
        <w:t>8</w:t>
      </w:r>
      <w:r>
        <w:rPr>
          <w:rFonts w:hint="eastAsia" w:ascii="仿宋_GB2312" w:hAnsi="宋体" w:eastAsia="仿宋_GB2312" w:cs="宋体"/>
          <w:color w:val="000000"/>
          <w:kern w:val="0"/>
          <w:sz w:val="32"/>
          <w:szCs w:val="32"/>
        </w:rPr>
        <w:t>个，占所有项目的</w:t>
      </w:r>
      <w:r>
        <w:rPr>
          <w:rFonts w:hint="eastAsia" w:ascii="仿宋_GB2312" w:hAnsi="宋体" w:eastAsia="仿宋_GB2312" w:cs="宋体"/>
          <w:color w:val="000000"/>
          <w:kern w:val="0"/>
          <w:sz w:val="32"/>
          <w:szCs w:val="32"/>
          <w:lang w:val="en-US" w:eastAsia="zh-CN"/>
        </w:rPr>
        <w:t>100</w:t>
      </w:r>
      <w:r>
        <w:rPr>
          <w:rFonts w:hint="eastAsia" w:ascii="仿宋_GB2312" w:hAnsi="宋体" w:eastAsia="仿宋_GB2312" w:cs="宋体"/>
          <w:color w:val="000000"/>
          <w:kern w:val="0"/>
          <w:sz w:val="32"/>
          <w:szCs w:val="32"/>
        </w:rPr>
        <w:t>%</w:t>
      </w:r>
      <w:r>
        <w:rPr>
          <w:rFonts w:hint="eastAsia" w:ascii="仿宋_GB2312" w:hAnsi="宋体" w:eastAsia="仿宋_GB2312" w:cs="宋体"/>
          <w:color w:val="000000"/>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2.存在的问题及原因分析</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根据各科室工作申报项目，合理分配资金，做到突出重点，公平公正，资金分配和使用方向符合资金管理办法，项目资金使用严格遵守各项财经纪律，符合规范。</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lang w:eastAsia="zh-CN"/>
        </w:rPr>
      </w:pPr>
      <w:r>
        <w:rPr>
          <w:rFonts w:hint="eastAsia" w:ascii="仿宋_GB2312" w:hAnsi="宋体" w:eastAsia="仿宋_GB2312" w:cs="宋体"/>
          <w:color w:val="000000"/>
          <w:kern w:val="0"/>
          <w:sz w:val="32"/>
          <w:szCs w:val="32"/>
          <w:lang w:val="en-US" w:eastAsia="zh-CN"/>
        </w:rPr>
        <w:t>绩效管理存在的问题：绩效管理工作缺乏监督、检查影响绩效管理的效率，缺乏前瞻性，不能更好地做一个客观、准确的预计</w:t>
      </w:r>
    </w:p>
    <w:p>
      <w:pPr>
        <w:keepNext w:val="0"/>
        <w:keepLines w:val="0"/>
        <w:pageBreakBefore w:val="0"/>
        <w:widowControl w:val="0"/>
        <w:kinsoku/>
        <w:wordWrap/>
        <w:overflowPunct/>
        <w:topLinePunct w:val="0"/>
        <w:autoSpaceDE/>
        <w:autoSpaceDN/>
        <w:bidi w:val="0"/>
        <w:adjustRightInd/>
        <w:snapToGrid/>
        <w:spacing w:line="480" w:lineRule="exact"/>
        <w:ind w:left="105" w:leftChars="50" w:firstLine="480" w:firstLineChars="150"/>
        <w:textAlignment w:val="auto"/>
        <w:rPr>
          <w:rFonts w:hint="eastAsia" w:ascii="仿宋_GB2312" w:hAnsi="宋体" w:eastAsia="仿宋_GB2312" w:cs="宋体"/>
          <w:color w:val="000000"/>
          <w:kern w:val="0"/>
          <w:sz w:val="32"/>
          <w:szCs w:val="32"/>
          <w:highlight w:val="none"/>
        </w:rPr>
      </w:pPr>
      <w:r>
        <w:rPr>
          <w:rFonts w:hint="eastAsia" w:ascii="黑体" w:hAnsi="黑体" w:eastAsia="黑体" w:cs="宋体"/>
          <w:color w:val="000000"/>
          <w:kern w:val="0"/>
          <w:sz w:val="32"/>
          <w:szCs w:val="32"/>
          <w:highlight w:val="none"/>
        </w:rPr>
        <w:t>四</w:t>
      </w:r>
      <w:r>
        <w:rPr>
          <w:rFonts w:ascii="黑体" w:hAnsi="黑体" w:eastAsia="黑体" w:cs="宋体"/>
          <w:color w:val="000000"/>
          <w:kern w:val="0"/>
          <w:sz w:val="32"/>
          <w:szCs w:val="32"/>
          <w:highlight w:val="none"/>
        </w:rPr>
        <w:t>、</w:t>
      </w:r>
      <w:r>
        <w:rPr>
          <w:rFonts w:hint="eastAsia" w:ascii="黑体" w:hAnsi="黑体" w:eastAsia="黑体" w:cs="宋体"/>
          <w:color w:val="000000"/>
          <w:kern w:val="0"/>
          <w:sz w:val="32"/>
          <w:szCs w:val="32"/>
          <w:highlight w:val="none"/>
        </w:rPr>
        <w:t>措施建议</w:t>
      </w:r>
      <w:r>
        <w:rPr>
          <w:rFonts w:hint="eastAsia" w:ascii="仿宋_GB2312" w:hAnsi="宋体" w:eastAsia="仿宋_GB2312" w:cs="宋体"/>
          <w:color w:val="000000"/>
          <w:kern w:val="0"/>
          <w:sz w:val="32"/>
          <w:szCs w:val="32"/>
          <w:highlight w:val="none"/>
        </w:rPr>
        <w:t>（整改措施、下一步工作举措）</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1、建立完善的管理制度，强化绩效目标管理，把绩效目标作为项目实施的前置条件，提高资金使用的合理性和科学性。</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2、加强重大项目的事前、事中、事后监督管理，将资金同项目实施质量挂钩，提高资金使用效能。</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3、倾听服务对象的声音和需求，提高财政资金的绩效水平。通过不同的手段和方法做好绩效评价，认真做好各方面的满意度调查。</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目前绩效评价工作还在进行中，将陆续完善绩效工作</w:t>
      </w:r>
    </w:p>
    <w:p>
      <w:pPr>
        <w:rPr>
          <w:rFonts w:hint="eastAsia"/>
          <w:b/>
          <w:bCs/>
          <w:highlight w:val="none"/>
          <w:lang w:val="en-US" w:eastAsia="zh-CN"/>
        </w:rPr>
      </w:pPr>
    </w:p>
    <w:p>
      <w:pPr>
        <w:jc w:val="center"/>
        <w:rPr>
          <w:rFonts w:hint="eastAsia" w:ascii="楷体_GB2312" w:hAnsi="楷体_GB2312" w:eastAsia="楷体_GB2312" w:cs="楷体_GB2312"/>
          <w:b/>
          <w:bCs/>
          <w:sz w:val="44"/>
          <w:szCs w:val="44"/>
          <w:highlight w:val="none"/>
        </w:rPr>
      </w:pPr>
      <w:r>
        <w:rPr>
          <w:rFonts w:hint="eastAsia" w:ascii="楷体_GB2312" w:hAnsi="楷体_GB2312" w:eastAsia="楷体_GB2312" w:cs="楷体_GB2312"/>
          <w:b/>
          <w:bCs/>
          <w:sz w:val="44"/>
          <w:szCs w:val="44"/>
        </w:rPr>
        <w:br w:type="page"/>
      </w:r>
      <w:r>
        <w:rPr>
          <w:rFonts w:hint="eastAsia" w:ascii="楷体_GB2312" w:hAnsi="楷体_GB2312" w:eastAsia="楷体_GB2312" w:cs="楷体_GB2312"/>
          <w:b/>
          <w:bCs/>
          <w:sz w:val="44"/>
          <w:szCs w:val="44"/>
          <w:highlight w:val="none"/>
        </w:rPr>
        <w:t>项目支出绩效评价报告</w:t>
      </w:r>
    </w:p>
    <w:p>
      <w:pPr>
        <w:jc w:val="both"/>
        <w:rPr>
          <w:rFonts w:ascii="仿宋_GB2312"/>
          <w:szCs w:val="30"/>
          <w:highlight w:val="none"/>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rPr>
          <w:rFonts w:hint="eastAsia" w:ascii="仿宋_GB2312" w:hAnsi="仿宋_GB2312" w:eastAsia="仿宋_GB2312" w:cs="仿宋_GB2312"/>
          <w:color w:val="000000"/>
          <w:kern w:val="0"/>
          <w:sz w:val="32"/>
          <w:szCs w:val="32"/>
          <w:highlight w:val="none"/>
        </w:rPr>
      </w:pPr>
      <w:r>
        <w:rPr>
          <w:rFonts w:hint="eastAsia" w:ascii="黑体" w:hAnsi="黑体" w:eastAsia="黑体" w:cs="黑体"/>
          <w:b w:val="0"/>
          <w:bCs/>
          <w:color w:val="000000"/>
          <w:kern w:val="0"/>
          <w:sz w:val="32"/>
          <w:szCs w:val="32"/>
          <w:highlight w:val="none"/>
        </w:rPr>
        <w:t>一、基本情况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（一）项目概况。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1、项目立项背景</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lang w:eastAsia="zh-CN"/>
        </w:rPr>
        <w:t>村级</w:t>
      </w:r>
      <w:r>
        <w:rPr>
          <w:rFonts w:hint="eastAsia" w:ascii="仿宋_GB2312" w:hAnsi="仿宋_GB2312" w:eastAsia="仿宋_GB2312" w:cs="仿宋_GB2312"/>
          <w:color w:val="000000"/>
          <w:kern w:val="0"/>
          <w:sz w:val="32"/>
          <w:szCs w:val="32"/>
          <w:highlight w:val="none"/>
        </w:rPr>
        <w:t>公益金是公益事业发展基金，</w:t>
      </w:r>
      <w:r>
        <w:rPr>
          <w:rFonts w:hint="eastAsia" w:ascii="仿宋_GB2312" w:hAnsi="仿宋_GB2312" w:eastAsia="仿宋_GB2312" w:cs="仿宋_GB2312"/>
          <w:color w:val="000000"/>
          <w:kern w:val="0"/>
          <w:sz w:val="32"/>
          <w:szCs w:val="32"/>
          <w:highlight w:val="none"/>
          <w:lang w:eastAsia="zh-CN"/>
        </w:rPr>
        <w:t>每村公益事业金补助金额为基数补助、山区倾斜补助和按人口分配资金三项之和</w:t>
      </w:r>
      <w:r>
        <w:rPr>
          <w:rFonts w:hint="eastAsia" w:ascii="仿宋_GB2312" w:hAnsi="仿宋_GB2312" w:eastAsia="仿宋_GB2312" w:cs="仿宋_GB2312"/>
          <w:color w:val="000000"/>
          <w:kern w:val="0"/>
          <w:sz w:val="32"/>
          <w:szCs w:val="32"/>
          <w:highlight w:val="none"/>
        </w:rPr>
        <w:t>,用于</w:t>
      </w:r>
      <w:r>
        <w:rPr>
          <w:rFonts w:hint="eastAsia" w:ascii="仿宋_GB2312" w:hAnsi="仿宋_GB2312" w:eastAsia="仿宋_GB2312" w:cs="仿宋_GB2312"/>
          <w:color w:val="000000"/>
          <w:kern w:val="0"/>
          <w:sz w:val="32"/>
          <w:szCs w:val="32"/>
          <w:highlight w:val="none"/>
          <w:lang w:eastAsia="zh-CN"/>
        </w:rPr>
        <w:t>改善人居环境</w:t>
      </w:r>
      <w:r>
        <w:rPr>
          <w:rFonts w:hint="eastAsia" w:ascii="仿宋_GB2312" w:hAnsi="仿宋_GB2312" w:eastAsia="仿宋_GB2312" w:cs="仿宋_GB2312"/>
          <w:color w:val="000000"/>
          <w:kern w:val="0"/>
          <w:sz w:val="32"/>
          <w:szCs w:val="32"/>
          <w:highlight w:val="none"/>
        </w:rPr>
        <w:t>，</w:t>
      </w:r>
      <w:r>
        <w:rPr>
          <w:rFonts w:hint="eastAsia" w:ascii="仿宋_GB2312" w:hAnsi="仿宋_GB2312" w:eastAsia="仿宋_GB2312" w:cs="仿宋_GB2312"/>
          <w:color w:val="000000"/>
          <w:kern w:val="0"/>
          <w:sz w:val="32"/>
          <w:szCs w:val="32"/>
          <w:highlight w:val="none"/>
          <w:lang w:eastAsia="zh-CN"/>
        </w:rPr>
        <w:t>加强农村社会管理，发展农村社会事业</w:t>
      </w:r>
      <w:r>
        <w:rPr>
          <w:rFonts w:hint="eastAsia" w:ascii="仿宋_GB2312" w:hAnsi="仿宋_GB2312" w:eastAsia="仿宋_GB2312" w:cs="仿宋_GB2312"/>
          <w:color w:val="000000"/>
          <w:kern w:val="0"/>
          <w:sz w:val="32"/>
          <w:szCs w:val="32"/>
          <w:highlight w:val="none"/>
        </w:rPr>
        <w:t>。依据《</w:t>
      </w:r>
      <w:r>
        <w:rPr>
          <w:rFonts w:hint="eastAsia" w:ascii="仿宋_GB2312" w:hAnsi="仿宋_GB2312" w:eastAsia="仿宋_GB2312" w:cs="仿宋_GB2312"/>
          <w:color w:val="000000"/>
          <w:kern w:val="0"/>
          <w:sz w:val="32"/>
          <w:szCs w:val="32"/>
          <w:highlight w:val="none"/>
          <w:lang w:eastAsia="zh-CN"/>
        </w:rPr>
        <w:t>密云县村级</w:t>
      </w:r>
      <w:r>
        <w:rPr>
          <w:rFonts w:hint="eastAsia" w:ascii="仿宋_GB2312" w:hAnsi="仿宋_GB2312" w:eastAsia="仿宋_GB2312" w:cs="仿宋_GB2312"/>
          <w:color w:val="000000"/>
          <w:kern w:val="0"/>
          <w:sz w:val="32"/>
          <w:szCs w:val="32"/>
          <w:highlight w:val="none"/>
        </w:rPr>
        <w:t>公益事业专项补助资金管理办法》（</w:t>
      </w:r>
      <w:r>
        <w:rPr>
          <w:rFonts w:hint="eastAsia" w:ascii="仿宋_GB2312" w:hAnsi="仿宋_GB2312" w:eastAsia="仿宋_GB2312" w:cs="仿宋_GB2312"/>
          <w:color w:val="000000"/>
          <w:kern w:val="0"/>
          <w:sz w:val="32"/>
          <w:szCs w:val="32"/>
          <w:highlight w:val="none"/>
          <w:lang w:eastAsia="zh-CN"/>
        </w:rPr>
        <w:t>密政发</w:t>
      </w:r>
      <w:r>
        <w:rPr>
          <w:rFonts w:hint="eastAsia" w:ascii="仿宋_GB2312" w:hAnsi="仿宋_GB2312" w:eastAsia="仿宋_GB2312" w:cs="仿宋_GB2312"/>
          <w:color w:val="000000"/>
          <w:kern w:val="0"/>
          <w:sz w:val="32"/>
          <w:szCs w:val="32"/>
          <w:highlight w:val="none"/>
        </w:rPr>
        <w:t>[20</w:t>
      </w:r>
      <w:r>
        <w:rPr>
          <w:rFonts w:hint="eastAsia" w:ascii="仿宋_GB2312" w:hAnsi="仿宋_GB2312" w:eastAsia="仿宋_GB2312" w:cs="仿宋_GB2312"/>
          <w:color w:val="000000"/>
          <w:kern w:val="0"/>
          <w:sz w:val="32"/>
          <w:szCs w:val="32"/>
          <w:highlight w:val="none"/>
          <w:lang w:val="en-US" w:eastAsia="zh-CN"/>
        </w:rPr>
        <w:t>14</w:t>
      </w:r>
      <w:r>
        <w:rPr>
          <w:rFonts w:hint="eastAsia" w:ascii="仿宋_GB2312" w:hAnsi="仿宋_GB2312" w:eastAsia="仿宋_GB2312" w:cs="仿宋_GB2312"/>
          <w:color w:val="000000"/>
          <w:kern w:val="0"/>
          <w:sz w:val="32"/>
          <w:szCs w:val="32"/>
          <w:highlight w:val="none"/>
        </w:rPr>
        <w:t>]</w:t>
      </w:r>
      <w:r>
        <w:rPr>
          <w:rFonts w:hint="eastAsia" w:ascii="仿宋_GB2312" w:hAnsi="仿宋_GB2312" w:eastAsia="仿宋_GB2312" w:cs="仿宋_GB2312"/>
          <w:color w:val="000000"/>
          <w:kern w:val="0"/>
          <w:sz w:val="32"/>
          <w:szCs w:val="32"/>
          <w:highlight w:val="none"/>
          <w:lang w:val="en-US" w:eastAsia="zh-CN"/>
        </w:rPr>
        <w:t>25</w:t>
      </w:r>
      <w:r>
        <w:rPr>
          <w:rFonts w:hint="eastAsia" w:ascii="仿宋_GB2312" w:hAnsi="仿宋_GB2312" w:eastAsia="仿宋_GB2312" w:cs="仿宋_GB2312"/>
          <w:color w:val="000000"/>
          <w:kern w:val="0"/>
          <w:sz w:val="32"/>
          <w:szCs w:val="32"/>
          <w:highlight w:val="none"/>
        </w:rPr>
        <w:t>号）文件进行立项。</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该项目为政策性项目，依据北京市及</w:t>
      </w:r>
      <w:r>
        <w:rPr>
          <w:rFonts w:hint="eastAsia" w:ascii="仿宋_GB2312" w:hAnsi="仿宋_GB2312" w:eastAsia="仿宋_GB2312" w:cs="仿宋_GB2312"/>
          <w:color w:val="000000"/>
          <w:kern w:val="0"/>
          <w:sz w:val="32"/>
          <w:szCs w:val="32"/>
          <w:highlight w:val="none"/>
          <w:lang w:eastAsia="zh-CN"/>
        </w:rPr>
        <w:t>密云</w:t>
      </w:r>
      <w:r>
        <w:rPr>
          <w:rFonts w:hint="eastAsia" w:ascii="仿宋_GB2312" w:hAnsi="仿宋_GB2312" w:eastAsia="仿宋_GB2312" w:cs="仿宋_GB2312"/>
          <w:color w:val="000000"/>
          <w:kern w:val="0"/>
          <w:sz w:val="32"/>
          <w:szCs w:val="32"/>
          <w:highlight w:val="none"/>
        </w:rPr>
        <w:t>区相关要求进行立项。</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lang w:val="en-US" w:eastAsia="zh-CN"/>
        </w:rPr>
        <w:t>2、主要内容及实施情况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lang w:eastAsia="zh-CN"/>
        </w:rPr>
        <w:t>村级</w:t>
      </w:r>
      <w:r>
        <w:rPr>
          <w:rFonts w:hint="eastAsia" w:ascii="仿宋_GB2312" w:hAnsi="仿宋_GB2312" w:eastAsia="仿宋_GB2312" w:cs="仿宋_GB2312"/>
          <w:color w:val="000000"/>
          <w:kern w:val="0"/>
          <w:sz w:val="32"/>
          <w:szCs w:val="32"/>
          <w:highlight w:val="none"/>
        </w:rPr>
        <w:t>公益</w:t>
      </w:r>
      <w:r>
        <w:rPr>
          <w:rFonts w:hint="eastAsia" w:ascii="仿宋_GB2312" w:hAnsi="仿宋_GB2312" w:eastAsia="仿宋_GB2312" w:cs="仿宋_GB2312"/>
          <w:color w:val="000000"/>
          <w:kern w:val="0"/>
          <w:sz w:val="32"/>
          <w:szCs w:val="32"/>
          <w:highlight w:val="none"/>
          <w:lang w:eastAsia="zh-CN"/>
        </w:rPr>
        <w:t>事业</w:t>
      </w:r>
      <w:r>
        <w:rPr>
          <w:rFonts w:hint="eastAsia" w:ascii="仿宋_GB2312" w:hAnsi="仿宋_GB2312" w:eastAsia="仿宋_GB2312" w:cs="仿宋_GB2312"/>
          <w:color w:val="000000"/>
          <w:kern w:val="0"/>
          <w:sz w:val="32"/>
          <w:szCs w:val="32"/>
          <w:highlight w:val="none"/>
        </w:rPr>
        <w:t>金主要用于</w:t>
      </w:r>
      <w:r>
        <w:rPr>
          <w:rFonts w:hint="eastAsia" w:ascii="仿宋_GB2312" w:hAnsi="仿宋_GB2312" w:eastAsia="仿宋_GB2312" w:cs="仿宋_GB2312"/>
          <w:color w:val="000000"/>
          <w:kern w:val="0"/>
          <w:sz w:val="32"/>
          <w:szCs w:val="32"/>
          <w:highlight w:val="none"/>
          <w:lang w:eastAsia="zh-CN"/>
        </w:rPr>
        <w:t>村级污水电费，安装护栏、维修管道、清扫卫生、垃圾清运、安保执勤，维修管道，路灯维修，村级零星用工，清扫工具等公益事业，</w:t>
      </w:r>
      <w:r>
        <w:rPr>
          <w:rFonts w:hint="eastAsia" w:ascii="仿宋_GB2312" w:hAnsi="仿宋_GB2312" w:eastAsia="仿宋_GB2312" w:cs="仿宋_GB2312"/>
          <w:color w:val="000000"/>
          <w:kern w:val="0"/>
          <w:sz w:val="32"/>
          <w:szCs w:val="32"/>
          <w:highlight w:val="none"/>
        </w:rPr>
        <w:t>以支持</w:t>
      </w:r>
      <w:r>
        <w:rPr>
          <w:rFonts w:hint="eastAsia" w:ascii="仿宋_GB2312" w:hAnsi="仿宋_GB2312" w:eastAsia="仿宋_GB2312" w:cs="仿宋_GB2312"/>
          <w:color w:val="000000"/>
          <w:kern w:val="0"/>
          <w:sz w:val="32"/>
          <w:szCs w:val="32"/>
          <w:highlight w:val="none"/>
          <w:lang w:eastAsia="zh-CN"/>
        </w:rPr>
        <w:t>村级</w:t>
      </w:r>
      <w:r>
        <w:rPr>
          <w:rFonts w:hint="eastAsia" w:ascii="仿宋_GB2312" w:hAnsi="仿宋_GB2312" w:eastAsia="仿宋_GB2312" w:cs="仿宋_GB2312"/>
          <w:color w:val="000000"/>
          <w:kern w:val="0"/>
          <w:sz w:val="32"/>
          <w:szCs w:val="32"/>
          <w:highlight w:val="none"/>
        </w:rPr>
        <w:t>建设，</w:t>
      </w:r>
      <w:r>
        <w:rPr>
          <w:rFonts w:hint="eastAsia" w:ascii="仿宋_GB2312" w:hAnsi="仿宋_GB2312" w:eastAsia="仿宋_GB2312" w:cs="仿宋_GB2312"/>
          <w:color w:val="000000"/>
          <w:kern w:val="0"/>
          <w:sz w:val="32"/>
          <w:szCs w:val="32"/>
          <w:highlight w:val="none"/>
          <w:lang w:eastAsia="zh-CN"/>
        </w:rPr>
        <w:t>提高村民生活及居住环境质量，</w:t>
      </w:r>
      <w:r>
        <w:rPr>
          <w:rFonts w:hint="eastAsia" w:ascii="仿宋_GB2312" w:hAnsi="仿宋_GB2312" w:eastAsia="仿宋_GB2312" w:cs="仿宋_GB2312"/>
          <w:color w:val="000000"/>
          <w:kern w:val="0"/>
          <w:sz w:val="32"/>
          <w:szCs w:val="32"/>
          <w:highlight w:val="none"/>
        </w:rPr>
        <w:t>促进</w:t>
      </w:r>
      <w:r>
        <w:rPr>
          <w:rFonts w:hint="eastAsia" w:ascii="仿宋_GB2312" w:hAnsi="仿宋_GB2312" w:eastAsia="仿宋_GB2312" w:cs="仿宋_GB2312"/>
          <w:color w:val="000000"/>
          <w:kern w:val="0"/>
          <w:sz w:val="32"/>
          <w:szCs w:val="32"/>
          <w:highlight w:val="none"/>
          <w:lang w:eastAsia="zh-CN"/>
        </w:rPr>
        <w:t>社会</w:t>
      </w:r>
      <w:r>
        <w:rPr>
          <w:rFonts w:hint="eastAsia" w:ascii="仿宋_GB2312" w:hAnsi="仿宋_GB2312" w:eastAsia="仿宋_GB2312" w:cs="仿宋_GB2312"/>
          <w:color w:val="000000"/>
          <w:kern w:val="0"/>
          <w:sz w:val="32"/>
          <w:szCs w:val="32"/>
          <w:highlight w:val="none"/>
        </w:rPr>
        <w:t>和谐稳定发展。</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lang w:val="en-US" w:eastAsia="zh-CN"/>
        </w:rPr>
        <w:t>3、资金投入和使用情况</w:t>
      </w:r>
      <w:r>
        <w:rPr>
          <w:rFonts w:hint="eastAsia" w:ascii="仿宋_GB2312" w:hAnsi="仿宋_GB2312" w:eastAsia="仿宋_GB2312" w:cs="仿宋_GB2312"/>
          <w:color w:val="000000"/>
          <w:kern w:val="0"/>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项目总体预算资金</w:t>
      </w:r>
      <w:r>
        <w:rPr>
          <w:rFonts w:hint="eastAsia" w:ascii="仿宋_GB2312" w:hAnsi="仿宋_GB2312" w:eastAsia="仿宋_GB2312" w:cs="仿宋_GB2312"/>
          <w:color w:val="000000"/>
          <w:kern w:val="0"/>
          <w:sz w:val="32"/>
          <w:szCs w:val="32"/>
          <w:highlight w:val="none"/>
          <w:lang w:val="en-US" w:eastAsia="zh-CN"/>
        </w:rPr>
        <w:t>912.56</w:t>
      </w:r>
      <w:r>
        <w:rPr>
          <w:rFonts w:hint="eastAsia" w:ascii="仿宋_GB2312" w:hAnsi="仿宋_GB2312" w:eastAsia="仿宋_GB2312" w:cs="仿宋_GB2312"/>
          <w:color w:val="000000"/>
          <w:kern w:val="0"/>
          <w:sz w:val="32"/>
          <w:szCs w:val="32"/>
          <w:highlight w:val="none"/>
        </w:rPr>
        <w:t>万元，全部为财政资金</w:t>
      </w:r>
      <w:r>
        <w:rPr>
          <w:rFonts w:hint="eastAsia" w:ascii="仿宋_GB2312" w:hAnsi="仿宋_GB2312" w:eastAsia="仿宋_GB2312" w:cs="仿宋_GB2312"/>
          <w:color w:val="000000"/>
          <w:kern w:val="0"/>
          <w:sz w:val="32"/>
          <w:szCs w:val="32"/>
          <w:highlight w:val="none"/>
          <w:lang w:eastAsia="zh-CN"/>
        </w:rPr>
        <w:t>，</w:t>
      </w:r>
      <w:r>
        <w:rPr>
          <w:rFonts w:hint="eastAsia" w:ascii="仿宋_GB2312" w:hAnsi="仿宋_GB2312" w:eastAsia="仿宋_GB2312" w:cs="仿宋_GB2312"/>
          <w:color w:val="000000"/>
          <w:kern w:val="0"/>
          <w:sz w:val="32"/>
          <w:szCs w:val="32"/>
          <w:highlight w:val="none"/>
          <w:lang w:val="en-US" w:eastAsia="zh-CN"/>
        </w:rPr>
        <w:t>已全部拨付到我镇34个村的村级账户</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包括项目背景、主要内容及实施情况、资金投入和使用情况等。</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（二）项目绩效目标。</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1、</w:t>
      </w:r>
      <w:r>
        <w:rPr>
          <w:rFonts w:hint="eastAsia" w:ascii="仿宋_GB2312" w:hAnsi="仿宋_GB2312" w:eastAsia="仿宋_GB2312" w:cs="仿宋_GB2312"/>
          <w:color w:val="000000"/>
          <w:kern w:val="0"/>
          <w:sz w:val="32"/>
          <w:szCs w:val="32"/>
          <w:highlight w:val="none"/>
          <w:lang w:val="en-US" w:eastAsia="zh-CN"/>
        </w:rPr>
        <w:t>总体</w:t>
      </w:r>
      <w:r>
        <w:rPr>
          <w:rFonts w:hint="eastAsia" w:ascii="仿宋_GB2312" w:hAnsi="仿宋_GB2312" w:eastAsia="仿宋_GB2312" w:cs="仿宋_GB2312"/>
          <w:color w:val="000000"/>
          <w:kern w:val="0"/>
          <w:sz w:val="32"/>
          <w:szCs w:val="32"/>
          <w:highlight w:val="none"/>
        </w:rPr>
        <w:t>目标</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通过规范</w:t>
      </w:r>
      <w:r>
        <w:rPr>
          <w:rFonts w:hint="eastAsia" w:ascii="仿宋_GB2312" w:hAnsi="仿宋_GB2312" w:eastAsia="仿宋_GB2312" w:cs="仿宋_GB2312"/>
          <w:color w:val="000000"/>
          <w:kern w:val="0"/>
          <w:sz w:val="32"/>
          <w:szCs w:val="32"/>
          <w:highlight w:val="none"/>
          <w:lang w:eastAsia="zh-CN"/>
        </w:rPr>
        <w:t>村级</w:t>
      </w:r>
      <w:r>
        <w:rPr>
          <w:rFonts w:hint="eastAsia" w:ascii="仿宋_GB2312" w:hAnsi="仿宋_GB2312" w:eastAsia="仿宋_GB2312" w:cs="仿宋_GB2312"/>
          <w:color w:val="000000"/>
          <w:kern w:val="0"/>
          <w:sz w:val="32"/>
          <w:szCs w:val="32"/>
          <w:highlight w:val="none"/>
        </w:rPr>
        <w:t>公益金的使用，明确</w:t>
      </w:r>
      <w:r>
        <w:rPr>
          <w:rFonts w:hint="eastAsia" w:ascii="仿宋_GB2312" w:hAnsi="仿宋_GB2312" w:eastAsia="仿宋_GB2312" w:cs="仿宋_GB2312"/>
          <w:color w:val="000000"/>
          <w:kern w:val="0"/>
          <w:sz w:val="32"/>
          <w:szCs w:val="32"/>
          <w:highlight w:val="none"/>
          <w:lang w:eastAsia="zh-CN"/>
        </w:rPr>
        <w:t>公益事业</w:t>
      </w:r>
      <w:r>
        <w:rPr>
          <w:rFonts w:hint="eastAsia" w:ascii="仿宋_GB2312" w:hAnsi="仿宋_GB2312" w:eastAsia="仿宋_GB2312" w:cs="仿宋_GB2312"/>
          <w:color w:val="000000"/>
          <w:kern w:val="0"/>
          <w:sz w:val="32"/>
          <w:szCs w:val="32"/>
          <w:highlight w:val="none"/>
        </w:rPr>
        <w:t>金使用目的，实现</w:t>
      </w:r>
      <w:r>
        <w:rPr>
          <w:rFonts w:hint="eastAsia" w:ascii="仿宋_GB2312" w:hAnsi="仿宋_GB2312" w:eastAsia="仿宋_GB2312" w:cs="仿宋_GB2312"/>
          <w:color w:val="000000"/>
          <w:kern w:val="0"/>
          <w:sz w:val="32"/>
          <w:szCs w:val="32"/>
          <w:highlight w:val="none"/>
          <w:lang w:eastAsia="zh-CN"/>
        </w:rPr>
        <w:t>村级</w:t>
      </w:r>
      <w:r>
        <w:rPr>
          <w:rFonts w:hint="eastAsia" w:ascii="仿宋_GB2312" w:hAnsi="仿宋_GB2312" w:eastAsia="仿宋_GB2312" w:cs="仿宋_GB2312"/>
          <w:color w:val="000000"/>
          <w:kern w:val="0"/>
          <w:sz w:val="32"/>
          <w:szCs w:val="32"/>
          <w:highlight w:val="none"/>
        </w:rPr>
        <w:t>公益金科学管理，充分发挥</w:t>
      </w:r>
      <w:r>
        <w:rPr>
          <w:rFonts w:hint="eastAsia" w:ascii="仿宋_GB2312" w:hAnsi="仿宋_GB2312" w:eastAsia="仿宋_GB2312" w:cs="仿宋_GB2312"/>
          <w:color w:val="000000"/>
          <w:kern w:val="0"/>
          <w:sz w:val="32"/>
          <w:szCs w:val="32"/>
          <w:highlight w:val="none"/>
          <w:lang w:eastAsia="zh-CN"/>
        </w:rPr>
        <w:t>村级</w:t>
      </w:r>
      <w:r>
        <w:rPr>
          <w:rFonts w:hint="eastAsia" w:ascii="仿宋_GB2312" w:hAnsi="仿宋_GB2312" w:eastAsia="仿宋_GB2312" w:cs="仿宋_GB2312"/>
          <w:color w:val="000000"/>
          <w:kern w:val="0"/>
          <w:sz w:val="32"/>
          <w:szCs w:val="32"/>
          <w:highlight w:val="none"/>
        </w:rPr>
        <w:t>公益金在</w:t>
      </w:r>
      <w:r>
        <w:rPr>
          <w:rFonts w:hint="eastAsia" w:ascii="仿宋_GB2312" w:hAnsi="仿宋_GB2312" w:eastAsia="仿宋_GB2312" w:cs="仿宋_GB2312"/>
          <w:color w:val="000000"/>
          <w:kern w:val="0"/>
          <w:sz w:val="32"/>
          <w:szCs w:val="32"/>
          <w:highlight w:val="none"/>
          <w:lang w:eastAsia="zh-CN"/>
        </w:rPr>
        <w:t>村级建设中的作用</w:t>
      </w:r>
      <w:r>
        <w:rPr>
          <w:rFonts w:hint="eastAsia" w:ascii="仿宋_GB2312" w:hAnsi="仿宋_GB2312" w:eastAsia="仿宋_GB2312" w:cs="仿宋_GB2312"/>
          <w:color w:val="000000"/>
          <w:kern w:val="0"/>
          <w:sz w:val="32"/>
          <w:szCs w:val="32"/>
          <w:highlight w:val="none"/>
        </w:rPr>
        <w:t>，更好的服务于本地区政治经济文化等各项事业的发展。</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2、阶段性目标</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lang w:val="en-US" w:eastAsia="zh-CN"/>
        </w:rPr>
        <w:t>完成2025年度本项目的拨付使用工作，达到设定的各项绩效指标</w:t>
      </w:r>
      <w:r>
        <w:rPr>
          <w:rFonts w:hint="eastAsia" w:ascii="仿宋_GB2312" w:hAnsi="仿宋_GB2312" w:eastAsia="仿宋_GB2312" w:cs="仿宋_GB2312"/>
          <w:color w:val="000000"/>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黑体" w:hAnsi="黑体" w:eastAsia="黑体" w:cs="黑体"/>
          <w:b w:val="0"/>
          <w:bCs/>
          <w:color w:val="000000"/>
          <w:kern w:val="0"/>
          <w:sz w:val="32"/>
          <w:szCs w:val="32"/>
          <w:highlight w:val="none"/>
        </w:rPr>
        <w:t>二、绩效评价工作开展情况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（一）绩效评价目的、对象和范围</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default"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通过绩效评价对村级公益事业金项目资金使用效果进行监督，主要对项目的项目决策、项目管理、产出、效益等各项指标的完成情况进行评价。</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（二）绩效评价原则、评价指标体系（附表说明）、评价方法、评价标准</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1、绩效评价原则：</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（1）科学公正。运用科学合理的方法，按照规范程序，对项目绩效进行客观、公正的反映。</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default"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（2）统筹兼顾。单位自评、部门评价和财政评价职责明确，各有侧重，相互衔接。</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（3）激励约束。绩效评价结果应用与预算安排、政策调整、改进管理实质性挂钩，体现奖优罚劣和激励相容导向。</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default"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2、评价指标体系：详见附表。</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3、绩效评价方法：采用定量和定性相结合的比较法。</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4、绩效评价标准：项目决策权重10%，项目管理权重20%，项目产出权重40%，项目效益权重30%。</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（三）绩效评价工作过程</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lang w:val="en-US" w:eastAsia="zh-CN"/>
        </w:rPr>
        <w:t>选取我镇2025年重点项目为评价对象，组织绩效评价小组，依据我单位的绩效评价原则、方法、评分体系及标准对村级公益事业金项目进行评价</w:t>
      </w:r>
      <w:r>
        <w:rPr>
          <w:rFonts w:hint="eastAsia" w:ascii="仿宋_GB2312" w:hAnsi="仿宋_GB2312" w:eastAsia="仿宋_GB2312" w:cs="仿宋_GB2312"/>
          <w:color w:val="000000"/>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rPr>
          <w:rFonts w:hint="eastAsia" w:ascii="黑体" w:hAnsi="黑体" w:eastAsia="黑体" w:cs="黑体"/>
          <w:b w:val="0"/>
          <w:bCs/>
          <w:color w:val="000000"/>
          <w:kern w:val="0"/>
          <w:sz w:val="32"/>
          <w:szCs w:val="32"/>
          <w:highlight w:val="none"/>
        </w:rPr>
      </w:pPr>
      <w:r>
        <w:rPr>
          <w:rFonts w:hint="eastAsia" w:ascii="黑体" w:hAnsi="黑体" w:eastAsia="黑体" w:cs="黑体"/>
          <w:b w:val="0"/>
          <w:bCs/>
          <w:color w:val="000000"/>
          <w:kern w:val="0"/>
          <w:sz w:val="32"/>
          <w:szCs w:val="32"/>
          <w:highlight w:val="none"/>
        </w:rPr>
        <w:t>三、综合评价情况及评价结论（附相关评分表）</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rPr>
          <w:rFonts w:hint="eastAsia" w:ascii="仿宋_GB2312" w:hAnsi="仿宋_GB2312" w:eastAsia="仿宋_GB2312" w:cs="仿宋_GB2312"/>
          <w:b w:val="0"/>
          <w:bCs/>
          <w:color w:val="000000"/>
          <w:kern w:val="0"/>
          <w:sz w:val="32"/>
          <w:szCs w:val="32"/>
          <w:highlight w:val="none"/>
          <w:lang w:eastAsia="zh-CN"/>
        </w:rPr>
      </w:pPr>
      <w:r>
        <w:rPr>
          <w:rFonts w:hint="eastAsia" w:ascii="仿宋_GB2312" w:hAnsi="宋体" w:eastAsia="仿宋_GB2312" w:cs="Times New Roman"/>
          <w:color w:val="000000"/>
          <w:kern w:val="2"/>
          <w:sz w:val="32"/>
          <w:szCs w:val="32"/>
          <w:lang w:val="en-US" w:eastAsia="zh-CN" w:bidi="ar-SA"/>
        </w:rPr>
        <w:t>项目评价总分得分90分，整体完成情况较好</w:t>
      </w:r>
      <w:r>
        <w:rPr>
          <w:rFonts w:hint="eastAsia" w:ascii="仿宋_GB2312" w:hAnsi="仿宋_GB2312" w:eastAsia="仿宋_GB2312" w:cs="仿宋_GB2312"/>
          <w:b w:val="0"/>
          <w:bCs/>
          <w:color w:val="000000"/>
          <w:kern w:val="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rPr>
          <w:rFonts w:hint="eastAsia" w:ascii="黑体" w:hAnsi="黑体" w:eastAsia="黑体" w:cs="黑体"/>
          <w:b w:val="0"/>
          <w:bCs/>
          <w:color w:val="000000"/>
          <w:kern w:val="0"/>
          <w:sz w:val="32"/>
          <w:szCs w:val="32"/>
          <w:highlight w:val="none"/>
        </w:rPr>
      </w:pPr>
      <w:r>
        <w:rPr>
          <w:rFonts w:hint="eastAsia" w:ascii="黑体" w:hAnsi="黑体" w:eastAsia="黑体" w:cs="黑体"/>
          <w:b w:val="0"/>
          <w:bCs/>
          <w:color w:val="000000"/>
          <w:kern w:val="0"/>
          <w:sz w:val="32"/>
          <w:szCs w:val="32"/>
          <w:highlight w:val="none"/>
        </w:rPr>
        <w:t>四、绩效评价指标分析</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（一）项目决策情况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1、决策依据</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项目依据《密云县村级公益事业专项补助资金管理办法》（密政发[2014]25号）文件精神申报立项。</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2、决策流程</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依据《北京市密云区太师屯镇人民政府“三重一大”事项决策工作规则》文件及《北京市密云区太师屯镇内部控制规范手册》管理的要求，该项目由镇办公会及党委会集体审议决策，审议通过后，项目预算纳入2025年度镇总体预算资金之内。</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3、决策结果</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依据太师屯镇镇长办公会会议纪要，经太师屯镇集体决策。</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（二）项目过程情况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1、资金管理制度建设情况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太师屯镇为了确保项目预算编制科学合理、预算执行安全有效，依据“三重一大”及“内控制度”审批流程，在项目实施过程中，严格按照制度要求对财政资金进行监管及使用，项目资金管理制度建设较为健全完善。</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2、资金管理情况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在项目的实施过程中，按照太师屯镇内部控制要求，需求部门提交资金支付申请单，由部门负责人审核通过后；业务分管领导进行审核，后经财务分管领导审批后，提交镇长审批。其中，大于3万元的项目，由镇长办公会集体讨论决议，大于30万元的项目，由镇党委会集体决策，手续齐全后方可拨付，项目总体资金管理较为规范有效。</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（三）项目产出情况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1、数量产出（或工作量）完成情况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项目预期34个村进行村级公益事业的开展实施，项目数量指标完成较好。</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2、产出质量（或工作质量）完成情况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 xml:space="preserve">村级公益事业金主要用于村级污水电费，安装护栏、维修管道、清扫卫生、垃圾清运、安保执勤，维修管道，路灯维修，村级零星用工，清扫工具等公益事业，以支持村级建设，提高村民生活及居住环境质量，促进社会和谐稳定发展。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未发现出现安全事故的情况，项目质量控制较为规范有效，保证了34个村的村的公益事业，质量产出良好。</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3、产出进度（或工作进度）完成情况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我镇34个村根据各村的实际情况，优先安排群众生产生活密切相关的项目，按规定时间及时完成，未接到居民关于施工的举报，项目总体进度把控较好。</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4、产出成本（或工作成本）完成情况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项目实际支出为912.56万元，未超过预算金额，项目成本指标控制较好。</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（四）项目效益情况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1、项目经济效益实现情况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村民环境卫生，用水用电，生产生活有了公益金作保障，环境整洁度提升，增加了村民的旅游收入。</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2、项目社会效益实现情况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村级环境、饮水安全、清洁卫生，人民的生活及环境清洁有资金保障，社会和谐稳，使本地区政治经济文化等各项事业得到了更好的发展,项目社会效益较为明显。</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3、项目环境效益实现情况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通过村级公益事业金，对村级垃圾及卫生的治理，美化了环境，民俗旅游收入显著提升，项目环境效益较为明显。</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4、项目实施的可持续影响</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项目立项所依据的政策是持续性政策，同时项目也是持续性项目，每年都在开展；项目的实施主体为持续性机构，项目完成后，对区域内的环境提升及村民生活起到了积极作用，项目实施的可持续影响较好</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rPr>
          <w:rFonts w:hint="eastAsia" w:ascii="黑体" w:hAnsi="黑体" w:eastAsia="黑体" w:cs="黑体"/>
          <w:b w:val="0"/>
          <w:bCs/>
          <w:color w:val="000000"/>
          <w:kern w:val="0"/>
          <w:sz w:val="32"/>
          <w:szCs w:val="32"/>
          <w:highlight w:val="none"/>
        </w:rPr>
      </w:pPr>
      <w:r>
        <w:rPr>
          <w:rFonts w:hint="eastAsia" w:ascii="黑体" w:hAnsi="黑体" w:eastAsia="黑体" w:cs="黑体"/>
          <w:b w:val="0"/>
          <w:bCs/>
          <w:color w:val="000000"/>
          <w:kern w:val="0"/>
          <w:sz w:val="32"/>
          <w:szCs w:val="32"/>
          <w:highlight w:val="none"/>
        </w:rPr>
        <w:t>五、主要经验及做法、存在的问题及原因分析</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绩效目标设置尚不够细化与量化，项目组织机构设置不够细化，责任分工不够明确，未落实到人。</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rPr>
          <w:rFonts w:hint="eastAsia" w:ascii="黑体" w:hAnsi="黑体" w:eastAsia="黑体" w:cs="黑体"/>
          <w:b w:val="0"/>
          <w:bCs/>
          <w:color w:val="000000"/>
          <w:kern w:val="0"/>
          <w:sz w:val="32"/>
          <w:szCs w:val="32"/>
          <w:highlight w:val="none"/>
        </w:rPr>
      </w:pPr>
      <w:r>
        <w:rPr>
          <w:rFonts w:hint="eastAsia" w:ascii="黑体" w:hAnsi="黑体" w:eastAsia="黑体" w:cs="黑体"/>
          <w:b w:val="0"/>
          <w:bCs/>
          <w:color w:val="000000"/>
          <w:kern w:val="0"/>
          <w:sz w:val="32"/>
          <w:szCs w:val="32"/>
          <w:highlight w:val="none"/>
        </w:rPr>
        <w:t>六、有关建议</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无</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rPr>
          <w:rFonts w:hint="eastAsia" w:ascii="黑体" w:hAnsi="黑体" w:eastAsia="黑体" w:cs="黑体"/>
          <w:b w:val="0"/>
          <w:bCs/>
          <w:color w:val="000000"/>
          <w:kern w:val="0"/>
          <w:sz w:val="32"/>
          <w:szCs w:val="32"/>
          <w:highlight w:val="none"/>
        </w:rPr>
      </w:pPr>
      <w:r>
        <w:rPr>
          <w:rFonts w:hint="eastAsia" w:ascii="黑体" w:hAnsi="黑体" w:eastAsia="黑体" w:cs="黑体"/>
          <w:b w:val="0"/>
          <w:bCs/>
          <w:color w:val="000000"/>
          <w:kern w:val="0"/>
          <w:sz w:val="32"/>
          <w:szCs w:val="32"/>
          <w:highlight w:val="none"/>
        </w:rPr>
        <w:t>七、其他需要说明的问题</w:t>
      </w:r>
    </w:p>
    <w:p>
      <w:pPr>
        <w:spacing w:line="520" w:lineRule="exact"/>
        <w:ind w:firstLine="640" w:firstLineChars="200"/>
        <w:rPr>
          <w:rFonts w:hint="eastAsia" w:ascii="黑体" w:hAnsi="黑体" w:eastAsia="黑体" w:cs="黑体"/>
          <w:bCs/>
          <w:color w:val="000000"/>
          <w:kern w:val="0"/>
          <w:sz w:val="32"/>
          <w:szCs w:val="32"/>
        </w:rPr>
      </w:pPr>
      <w:r>
        <w:rPr>
          <w:rFonts w:hint="eastAsia" w:ascii="仿宋_GB2312" w:hAnsi="仿宋_GB2312" w:eastAsia="仿宋_GB2312" w:cs="仿宋_GB2312"/>
          <w:color w:val="000000"/>
          <w:kern w:val="0"/>
          <w:sz w:val="32"/>
          <w:szCs w:val="32"/>
          <w:highlight w:val="none"/>
          <w:lang w:val="en-US" w:eastAsia="zh-CN"/>
        </w:rPr>
        <w:t>在今后的项目开展过程中，对于组织机构设置，进一步明确责任分工，责任落实到人；对于过程管理，进一步加强管理的记录与留痕，提高日常管理的效率；对于绩效目标的制定，在确保目标明确合理的前提下，进一步细化量化，做到可评价、可考量、可验证。</w:t>
      </w:r>
    </w:p>
    <w:p>
      <w:pPr>
        <w:spacing w:line="520" w:lineRule="exact"/>
        <w:ind w:firstLine="640" w:firstLineChars="200"/>
        <w:rPr>
          <w:rFonts w:hint="eastAsia" w:ascii="仿宋_GB2312" w:hAnsi="仿宋_GB2312" w:eastAsia="仿宋_GB2312" w:cs="仿宋_GB2312"/>
          <w:color w:val="000000"/>
          <w:kern w:val="0"/>
          <w:sz w:val="32"/>
          <w:szCs w:val="32"/>
          <w:highlight w:val="none"/>
          <w:lang w:val="en-US" w:eastAsia="zh-CN"/>
        </w:rPr>
      </w:pPr>
    </w:p>
    <w:p>
      <w:pPr>
        <w:pStyle w:val="2"/>
        <w:rPr>
          <w:rFonts w:hint="eastAsia" w:ascii="仿宋_GB2312" w:hAnsi="仿宋_GB2312" w:eastAsia="仿宋_GB2312" w:cs="仿宋_GB2312"/>
          <w:color w:val="000000"/>
          <w:kern w:val="0"/>
          <w:sz w:val="32"/>
          <w:szCs w:val="32"/>
          <w:highlight w:val="none"/>
          <w:lang w:val="en-US" w:eastAsia="zh-CN"/>
        </w:rPr>
      </w:pPr>
    </w:p>
    <w:p>
      <w:pPr>
        <w:rPr>
          <w:rFonts w:hint="eastAsia" w:ascii="仿宋_GB2312" w:hAnsi="仿宋_GB2312" w:eastAsia="仿宋_GB2312" w:cs="仿宋_GB2312"/>
          <w:color w:val="000000"/>
          <w:kern w:val="0"/>
          <w:sz w:val="32"/>
          <w:szCs w:val="32"/>
          <w:highlight w:val="none"/>
          <w:lang w:val="en-US" w:eastAsia="zh-CN"/>
        </w:rPr>
      </w:pPr>
    </w:p>
    <w:p>
      <w:pPr>
        <w:pStyle w:val="2"/>
        <w:rPr>
          <w:rFonts w:hint="eastAsia" w:ascii="仿宋_GB2312" w:hAnsi="仿宋_GB2312" w:eastAsia="仿宋_GB2312" w:cs="仿宋_GB2312"/>
          <w:color w:val="000000"/>
          <w:kern w:val="0"/>
          <w:sz w:val="32"/>
          <w:szCs w:val="32"/>
          <w:highlight w:val="none"/>
          <w:lang w:val="en-US" w:eastAsia="zh-CN"/>
        </w:rPr>
      </w:pPr>
    </w:p>
    <w:p>
      <w:pPr>
        <w:rPr>
          <w:rFonts w:hint="eastAsia" w:ascii="仿宋_GB2312" w:hAnsi="仿宋_GB2312" w:eastAsia="仿宋_GB2312" w:cs="仿宋_GB2312"/>
          <w:color w:val="000000"/>
          <w:kern w:val="0"/>
          <w:sz w:val="32"/>
          <w:szCs w:val="32"/>
          <w:highlight w:val="none"/>
          <w:lang w:val="en-US" w:eastAsia="zh-CN"/>
        </w:rPr>
      </w:pPr>
    </w:p>
    <w:p>
      <w:pPr>
        <w:pStyle w:val="2"/>
        <w:rPr>
          <w:rFonts w:hint="eastAsia" w:ascii="仿宋_GB2312" w:hAnsi="仿宋_GB2312" w:eastAsia="仿宋_GB2312" w:cs="仿宋_GB2312"/>
          <w:color w:val="000000"/>
          <w:kern w:val="0"/>
          <w:sz w:val="32"/>
          <w:szCs w:val="32"/>
          <w:highlight w:val="none"/>
          <w:lang w:val="en-US" w:eastAsia="zh-CN"/>
        </w:rPr>
      </w:pPr>
    </w:p>
    <w:p>
      <w:pPr>
        <w:rPr>
          <w:rFonts w:hint="eastAsia" w:ascii="仿宋_GB2312" w:hAnsi="仿宋_GB2312" w:eastAsia="仿宋_GB2312" w:cs="仿宋_GB2312"/>
          <w:color w:val="000000"/>
          <w:kern w:val="0"/>
          <w:sz w:val="32"/>
          <w:szCs w:val="32"/>
          <w:highlight w:val="none"/>
          <w:lang w:val="en-US" w:eastAsia="zh-CN"/>
        </w:rPr>
      </w:pPr>
    </w:p>
    <w:p>
      <w:pPr>
        <w:pStyle w:val="2"/>
        <w:rPr>
          <w:rFonts w:hint="eastAsia" w:ascii="仿宋_GB2312" w:hAnsi="仿宋_GB2312" w:eastAsia="仿宋_GB2312" w:cs="仿宋_GB2312"/>
          <w:color w:val="000000"/>
          <w:kern w:val="0"/>
          <w:sz w:val="32"/>
          <w:szCs w:val="32"/>
          <w:highlight w:val="none"/>
          <w:lang w:val="en-US" w:eastAsia="zh-CN"/>
        </w:rPr>
      </w:pPr>
    </w:p>
    <w:p>
      <w:pPr>
        <w:rPr>
          <w:rFonts w:hint="eastAsia" w:ascii="仿宋_GB2312" w:hAnsi="仿宋_GB2312" w:eastAsia="仿宋_GB2312" w:cs="仿宋_GB2312"/>
          <w:color w:val="000000"/>
          <w:kern w:val="0"/>
          <w:sz w:val="32"/>
          <w:szCs w:val="32"/>
          <w:highlight w:val="none"/>
          <w:lang w:val="en-US" w:eastAsia="zh-CN"/>
        </w:rPr>
      </w:pPr>
    </w:p>
    <w:p>
      <w:pPr>
        <w:spacing w:line="520" w:lineRule="exact"/>
        <w:rPr>
          <w:rFonts w:hint="eastAsia" w:ascii="仿宋_GB2312" w:hAnsi="仿宋_GB2312" w:eastAsia="仿宋_GB2312" w:cs="仿宋_GB2312"/>
          <w:color w:val="000000"/>
          <w:kern w:val="0"/>
          <w:sz w:val="32"/>
          <w:szCs w:val="32"/>
          <w:highlight w:val="none"/>
          <w:lang w:val="en-US" w:eastAsia="zh-CN"/>
        </w:rPr>
      </w:pPr>
    </w:p>
    <w:tbl>
      <w:tblPr>
        <w:tblStyle w:val="11"/>
        <w:tblW w:w="144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3"/>
        <w:gridCol w:w="1079"/>
        <w:gridCol w:w="3070"/>
        <w:gridCol w:w="1527"/>
        <w:gridCol w:w="1214"/>
        <w:gridCol w:w="1609"/>
        <w:gridCol w:w="1554"/>
        <w:gridCol w:w="1487"/>
        <w:gridCol w:w="21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trPr>
        <w:tc>
          <w:tcPr>
            <w:tcW w:w="14493" w:type="dxa"/>
            <w:gridSpan w:val="9"/>
            <w:tcBorders>
              <w:top w:val="nil"/>
              <w:left w:val="nil"/>
              <w:bottom w:val="nil"/>
              <w:right w:val="nil"/>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93" w:type="dxa"/>
            <w:gridSpan w:val="9"/>
            <w:tcBorders>
              <w:top w:val="nil"/>
              <w:left w:val="nil"/>
              <w:bottom w:val="nil"/>
              <w:right w:val="nil"/>
            </w:tcBorders>
            <w:noWrap w:val="0"/>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2561"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村级公益事业金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3070" w:type="dxa"/>
            <w:tcBorders>
              <w:top w:val="single" w:color="000000" w:sz="4" w:space="0"/>
              <w:left w:val="single" w:color="000000" w:sz="4" w:space="0"/>
              <w:bottom w:val="single" w:color="000000" w:sz="4" w:space="0"/>
              <w:right w:val="nil"/>
            </w:tcBorders>
            <w:noWrap w:val="0"/>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区经管站</w:t>
            </w:r>
          </w:p>
        </w:tc>
        <w:tc>
          <w:tcPr>
            <w:tcW w:w="4350" w:type="dxa"/>
            <w:gridSpan w:val="3"/>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5141"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镇经管站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3070"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12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60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155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48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21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8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912.56</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912.56</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val="en-US" w:eastAsia="zh-CN"/>
              </w:rPr>
              <w:t>912.56</w:t>
            </w: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val="en-US" w:eastAsia="zh-CN"/>
              </w:rPr>
              <w:t>912.56</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val="en-US" w:eastAsia="zh-CN"/>
              </w:rPr>
              <w:t>912.56</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val="en-US" w:eastAsia="zh-CN"/>
              </w:rPr>
              <w:t>912.56</w:t>
            </w: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4149" w:type="dxa"/>
            <w:gridSpan w:val="2"/>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4149" w:type="dxa"/>
            <w:gridSpan w:val="2"/>
            <w:tcBorders>
              <w:top w:val="single" w:color="000000" w:sz="4" w:space="0"/>
              <w:left w:val="single" w:color="000000" w:sz="4" w:space="0"/>
              <w:bottom w:val="single" w:color="000000" w:sz="4" w:space="0"/>
              <w:right w:val="nil"/>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34个村村级公益事业912.56万元。</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按照《密云县村级公益事业专项补助资金管理使用办法》的通知规定，拨付34个村912.56万元，主要用于污水电费，安装护栏、人居环境卫生、防汛物资等公益事业。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853"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741" w:type="dxa"/>
            <w:gridSpan w:val="2"/>
            <w:tcBorders>
              <w:top w:val="single" w:color="000000" w:sz="4" w:space="0"/>
              <w:left w:val="nil"/>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5141"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lang w:val="en-US" w:eastAsia="zh-CN"/>
              </w:rPr>
            </w:pPr>
            <w:r>
              <w:rPr>
                <w:rFonts w:hint="eastAsia"/>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效益指标（30分）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2741" w:type="dxa"/>
            <w:gridSpan w:val="2"/>
            <w:tcBorders>
              <w:top w:val="single" w:color="000000" w:sz="4" w:space="0"/>
              <w:left w:val="nil"/>
              <w:bottom w:val="single" w:color="000000" w:sz="4" w:space="0"/>
              <w:right w:val="nil"/>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bl>
    <w:p>
      <w:pPr>
        <w:rPr>
          <w:rFonts w:hint="eastAsia"/>
        </w:rPr>
      </w:pPr>
    </w:p>
    <w:tbl>
      <w:tblPr>
        <w:tblStyle w:val="11"/>
        <w:tblW w:w="144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3"/>
        <w:gridCol w:w="1079"/>
        <w:gridCol w:w="3070"/>
        <w:gridCol w:w="1527"/>
        <w:gridCol w:w="1214"/>
        <w:gridCol w:w="1609"/>
        <w:gridCol w:w="1554"/>
        <w:gridCol w:w="1487"/>
        <w:gridCol w:w="21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493" w:type="dxa"/>
            <w:gridSpan w:val="9"/>
            <w:tcBorders>
              <w:top w:val="nil"/>
              <w:left w:val="nil"/>
              <w:bottom w:val="nil"/>
              <w:right w:val="nil"/>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93" w:type="dxa"/>
            <w:gridSpan w:val="9"/>
            <w:tcBorders>
              <w:top w:val="nil"/>
              <w:left w:val="nil"/>
              <w:bottom w:val="nil"/>
              <w:right w:val="nil"/>
            </w:tcBorders>
            <w:noWrap w:val="0"/>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2561"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村两委干部基本报酬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3070" w:type="dxa"/>
            <w:tcBorders>
              <w:top w:val="single" w:color="000000" w:sz="4" w:space="0"/>
              <w:left w:val="single" w:color="000000" w:sz="4" w:space="0"/>
              <w:bottom w:val="single" w:color="000000" w:sz="4" w:space="0"/>
              <w:right w:val="nil"/>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eastAsia="zh-CN"/>
              </w:rPr>
              <w:t>区委</w:t>
            </w:r>
            <w:r>
              <w:rPr>
                <w:rFonts w:hint="eastAsia" w:ascii="宋体" w:hAnsi="宋体" w:eastAsia="宋体" w:cs="宋体"/>
                <w:i w:val="0"/>
                <w:iCs w:val="0"/>
                <w:color w:val="000000"/>
                <w:sz w:val="18"/>
                <w:szCs w:val="18"/>
                <w:u w:val="none"/>
              </w:rPr>
              <w:t>组织部</w:t>
            </w:r>
          </w:p>
        </w:tc>
        <w:tc>
          <w:tcPr>
            <w:tcW w:w="4350" w:type="dxa"/>
            <w:gridSpan w:val="3"/>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5141"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镇组织科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3070"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12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60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155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48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21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8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1154.7</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1154.7</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1154.7</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1154.7</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4149" w:type="dxa"/>
            <w:gridSpan w:val="2"/>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4149" w:type="dxa"/>
            <w:gridSpan w:val="2"/>
            <w:tcBorders>
              <w:top w:val="single" w:color="000000" w:sz="4" w:space="0"/>
              <w:left w:val="single" w:color="000000" w:sz="4" w:space="0"/>
              <w:bottom w:val="single" w:color="000000" w:sz="4" w:space="0"/>
              <w:right w:val="nil"/>
            </w:tcBorders>
            <w:noWrap w:val="0"/>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rPr>
              <w:t>保障村干部基本报酬足额、按时发放，调动村干部干事创业的积极性</w:t>
            </w:r>
            <w:r>
              <w:rPr>
                <w:rFonts w:hint="eastAsia" w:ascii="宋体" w:hAnsi="宋体" w:cs="宋体"/>
                <w:i w:val="0"/>
                <w:iCs w:val="0"/>
                <w:color w:val="000000"/>
                <w:sz w:val="18"/>
                <w:szCs w:val="18"/>
                <w:u w:val="none"/>
                <w:lang w:eastAsia="zh-CN"/>
              </w:rPr>
              <w:t>。</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2025年基本报酬及绩效奖金发放1154.7万元。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853"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741" w:type="dxa"/>
            <w:gridSpan w:val="2"/>
            <w:tcBorders>
              <w:top w:val="single" w:color="000000" w:sz="4" w:space="0"/>
              <w:left w:val="nil"/>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5141"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效益指标（30分）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lang w:val="en-US" w:eastAsia="zh-CN"/>
              </w:rPr>
            </w:pPr>
            <w:r>
              <w:rPr>
                <w:rFonts w:hint="eastAsia"/>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2741" w:type="dxa"/>
            <w:gridSpan w:val="2"/>
            <w:tcBorders>
              <w:top w:val="single" w:color="000000" w:sz="4" w:space="0"/>
              <w:left w:val="nil"/>
              <w:bottom w:val="single" w:color="000000" w:sz="4" w:space="0"/>
              <w:right w:val="nil"/>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91</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bl>
    <w:p>
      <w:pPr>
        <w:pStyle w:val="2"/>
        <w:rPr>
          <w:color w:val="auto"/>
        </w:rPr>
      </w:pPr>
    </w:p>
    <w:tbl>
      <w:tblPr>
        <w:tblStyle w:val="11"/>
        <w:tblW w:w="144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3"/>
        <w:gridCol w:w="1079"/>
        <w:gridCol w:w="3070"/>
        <w:gridCol w:w="1527"/>
        <w:gridCol w:w="1214"/>
        <w:gridCol w:w="1609"/>
        <w:gridCol w:w="1554"/>
        <w:gridCol w:w="1487"/>
        <w:gridCol w:w="21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493" w:type="dxa"/>
            <w:gridSpan w:val="9"/>
            <w:tcBorders>
              <w:top w:val="nil"/>
              <w:left w:val="nil"/>
              <w:bottom w:val="nil"/>
              <w:right w:val="nil"/>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93" w:type="dxa"/>
            <w:gridSpan w:val="9"/>
            <w:tcBorders>
              <w:top w:val="nil"/>
              <w:left w:val="nil"/>
              <w:bottom w:val="nil"/>
              <w:right w:val="nil"/>
            </w:tcBorders>
            <w:noWrap w:val="0"/>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2561"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正常离任村党组织书记生活补贴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3070" w:type="dxa"/>
            <w:tcBorders>
              <w:top w:val="single" w:color="000000" w:sz="4" w:space="0"/>
              <w:left w:val="single" w:color="000000" w:sz="4" w:space="0"/>
              <w:bottom w:val="single" w:color="000000" w:sz="4" w:space="0"/>
              <w:right w:val="nil"/>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eastAsia="zh-CN"/>
              </w:rPr>
              <w:t>区委</w:t>
            </w:r>
            <w:r>
              <w:rPr>
                <w:rFonts w:hint="eastAsia" w:ascii="宋体" w:hAnsi="宋体" w:eastAsia="宋体" w:cs="宋体"/>
                <w:i w:val="0"/>
                <w:iCs w:val="0"/>
                <w:color w:val="000000"/>
                <w:sz w:val="18"/>
                <w:szCs w:val="18"/>
                <w:u w:val="none"/>
              </w:rPr>
              <w:t>组织部</w:t>
            </w:r>
          </w:p>
        </w:tc>
        <w:tc>
          <w:tcPr>
            <w:tcW w:w="4350" w:type="dxa"/>
            <w:gridSpan w:val="3"/>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5141"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镇组织科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3070"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12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60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155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48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21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8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77.04</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77.04</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77.04</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77.04</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4149" w:type="dxa"/>
            <w:gridSpan w:val="2"/>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4149" w:type="dxa"/>
            <w:gridSpan w:val="2"/>
            <w:tcBorders>
              <w:top w:val="single" w:color="000000" w:sz="4" w:space="0"/>
              <w:left w:val="single" w:color="000000" w:sz="4" w:space="0"/>
              <w:bottom w:val="single" w:color="000000" w:sz="4" w:space="0"/>
              <w:right w:val="nil"/>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正常离任村党组织书记生活补贴按期发放</w:t>
            </w:r>
            <w:r>
              <w:rPr>
                <w:rFonts w:hint="eastAsia" w:ascii="宋体" w:hAnsi="宋体" w:cs="宋体"/>
                <w:i w:val="0"/>
                <w:iCs w:val="0"/>
                <w:color w:val="000000"/>
                <w:sz w:val="18"/>
                <w:szCs w:val="18"/>
                <w:u w:val="none"/>
                <w:lang w:eastAsia="zh-CN"/>
              </w:rPr>
              <w:t>。</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rPr>
              <w:t>按时间节点发放当年正常离任村党组织书记生活补贴</w:t>
            </w:r>
            <w:r>
              <w:rPr>
                <w:rFonts w:hint="eastAsia" w:ascii="宋体" w:hAnsi="宋体" w:cs="宋体"/>
                <w:i w:val="0"/>
                <w:iCs w:val="0"/>
                <w:color w:val="000000"/>
                <w:sz w:val="18"/>
                <w:szCs w:val="18"/>
                <w:u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853"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741" w:type="dxa"/>
            <w:gridSpan w:val="2"/>
            <w:tcBorders>
              <w:top w:val="single" w:color="000000" w:sz="4" w:space="0"/>
              <w:left w:val="nil"/>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5141"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效益指标（30分）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lang w:val="en-US" w:eastAsia="zh-CN"/>
              </w:rPr>
            </w:pPr>
            <w:r>
              <w:rPr>
                <w:rFonts w:hint="eastAsia"/>
                <w:lang w:val="en-US" w:eastAsia="zh-CN"/>
              </w:rPr>
              <w:t>5</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2741" w:type="dxa"/>
            <w:gridSpan w:val="2"/>
            <w:tcBorders>
              <w:top w:val="single" w:color="000000" w:sz="4" w:space="0"/>
              <w:left w:val="nil"/>
              <w:bottom w:val="single" w:color="000000" w:sz="4" w:space="0"/>
              <w:right w:val="nil"/>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95</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bl>
    <w:p>
      <w:pPr>
        <w:pStyle w:val="2"/>
      </w:pPr>
    </w:p>
    <w:tbl>
      <w:tblPr>
        <w:tblStyle w:val="11"/>
        <w:tblW w:w="144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3"/>
        <w:gridCol w:w="1079"/>
        <w:gridCol w:w="3070"/>
        <w:gridCol w:w="1527"/>
        <w:gridCol w:w="1214"/>
        <w:gridCol w:w="1609"/>
        <w:gridCol w:w="1554"/>
        <w:gridCol w:w="1487"/>
        <w:gridCol w:w="21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493" w:type="dxa"/>
            <w:gridSpan w:val="9"/>
            <w:tcBorders>
              <w:top w:val="nil"/>
              <w:left w:val="nil"/>
              <w:bottom w:val="nil"/>
              <w:right w:val="nil"/>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93" w:type="dxa"/>
            <w:gridSpan w:val="9"/>
            <w:tcBorders>
              <w:top w:val="nil"/>
              <w:left w:val="nil"/>
              <w:bottom w:val="nil"/>
              <w:right w:val="nil"/>
            </w:tcBorders>
            <w:noWrap w:val="0"/>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2561"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城乡基层党组织服务群众经费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3070" w:type="dxa"/>
            <w:tcBorders>
              <w:top w:val="single" w:color="000000" w:sz="4" w:space="0"/>
              <w:left w:val="single" w:color="000000" w:sz="4" w:space="0"/>
              <w:bottom w:val="single" w:color="000000" w:sz="4" w:space="0"/>
              <w:right w:val="nil"/>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eastAsia="zh-CN"/>
              </w:rPr>
              <w:t>区委</w:t>
            </w:r>
            <w:r>
              <w:rPr>
                <w:rFonts w:hint="eastAsia" w:ascii="宋体" w:hAnsi="宋体" w:eastAsia="宋体" w:cs="宋体"/>
                <w:i w:val="0"/>
                <w:iCs w:val="0"/>
                <w:color w:val="000000"/>
                <w:sz w:val="18"/>
                <w:szCs w:val="18"/>
                <w:u w:val="none"/>
              </w:rPr>
              <w:t>组织部</w:t>
            </w:r>
          </w:p>
        </w:tc>
        <w:tc>
          <w:tcPr>
            <w:tcW w:w="4350" w:type="dxa"/>
            <w:gridSpan w:val="3"/>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5141"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镇组织科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3070"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12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60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155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48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21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8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1440</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1440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1440</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1440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4149" w:type="dxa"/>
            <w:gridSpan w:val="2"/>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83"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4149" w:type="dxa"/>
            <w:gridSpan w:val="2"/>
            <w:tcBorders>
              <w:top w:val="single" w:color="000000" w:sz="4" w:space="0"/>
              <w:left w:val="single" w:color="000000" w:sz="4" w:space="0"/>
              <w:bottom w:val="single" w:color="000000" w:sz="4" w:space="0"/>
              <w:right w:val="nil"/>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保障基层但组织开展服务群众活动，夯实基层治理根基。</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足额落实经费，有序开展党群服务，较好完成年度任务。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853"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741" w:type="dxa"/>
            <w:gridSpan w:val="2"/>
            <w:tcBorders>
              <w:top w:val="single" w:color="000000" w:sz="4" w:space="0"/>
              <w:left w:val="nil"/>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5141"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55"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96"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效益指标（30分）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lang w:val="en-US" w:eastAsia="zh-CN"/>
              </w:rPr>
            </w:pPr>
            <w:r>
              <w:rPr>
                <w:rFonts w:hint="eastAsia"/>
                <w:lang w:val="en-US" w:eastAsia="zh-CN"/>
              </w:rPr>
              <w:t>5</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3"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2741" w:type="dxa"/>
            <w:gridSpan w:val="2"/>
            <w:tcBorders>
              <w:top w:val="single" w:color="000000" w:sz="4" w:space="0"/>
              <w:left w:val="nil"/>
              <w:bottom w:val="single" w:color="000000" w:sz="4" w:space="0"/>
              <w:right w:val="nil"/>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95</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bl>
    <w:p/>
    <w:tbl>
      <w:tblPr>
        <w:tblStyle w:val="11"/>
        <w:tblW w:w="144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3"/>
        <w:gridCol w:w="1736"/>
        <w:gridCol w:w="3000"/>
        <w:gridCol w:w="1350"/>
        <w:gridCol w:w="1159"/>
        <w:gridCol w:w="1718"/>
        <w:gridCol w:w="1323"/>
        <w:gridCol w:w="1854"/>
        <w:gridCol w:w="15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493" w:type="dxa"/>
            <w:gridSpan w:val="9"/>
            <w:tcBorders>
              <w:top w:val="nil"/>
              <w:left w:val="nil"/>
              <w:bottom w:val="nil"/>
              <w:right w:val="nil"/>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93" w:type="dxa"/>
            <w:gridSpan w:val="9"/>
            <w:tcBorders>
              <w:top w:val="nil"/>
              <w:left w:val="nil"/>
              <w:bottom w:val="nil"/>
              <w:right w:val="nil"/>
            </w:tcBorders>
            <w:noWrap w:val="0"/>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1904"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城乡事务支出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3000" w:type="dxa"/>
            <w:tcBorders>
              <w:top w:val="single" w:color="000000" w:sz="4" w:space="0"/>
              <w:left w:val="single" w:color="000000" w:sz="4" w:space="0"/>
              <w:bottom w:val="single" w:color="000000" w:sz="4" w:space="0"/>
              <w:right w:val="nil"/>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eastAsia="zh-CN"/>
              </w:rPr>
              <w:t>区财政局</w:t>
            </w:r>
          </w:p>
        </w:tc>
        <w:tc>
          <w:tcPr>
            <w:tcW w:w="4227" w:type="dxa"/>
            <w:gridSpan w:val="3"/>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4677"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财政科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3000"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115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7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132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85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1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5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15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1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85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400</w:t>
            </w:r>
          </w:p>
        </w:tc>
        <w:tc>
          <w:tcPr>
            <w:tcW w:w="115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400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400</w:t>
            </w:r>
          </w:p>
        </w:tc>
        <w:tc>
          <w:tcPr>
            <w:tcW w:w="115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400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15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15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4736" w:type="dxa"/>
            <w:gridSpan w:val="2"/>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890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4736" w:type="dxa"/>
            <w:gridSpan w:val="2"/>
            <w:tcBorders>
              <w:top w:val="single" w:color="000000" w:sz="4" w:space="0"/>
              <w:left w:val="single" w:color="000000" w:sz="4" w:space="0"/>
              <w:bottom w:val="single" w:color="000000" w:sz="4" w:space="0"/>
              <w:right w:val="nil"/>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统筹保障辖区城乡日常管理、城乡基础设施运维、基层城乡公共服务保障工作，完善城乡配套服务体系，保障城乡各项基础性事务运转，提升群众城乡生活便利度与满意度。</w:t>
            </w:r>
          </w:p>
        </w:tc>
        <w:tc>
          <w:tcPr>
            <w:tcW w:w="8904" w:type="dxa"/>
            <w:gridSpan w:val="6"/>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依托400万元全额到位资金，全面完成年度城乡保洁、道路日常养护、村内公共设施维修、城乡环境集中整治、基层便民服务保障等核心工作任务，城乡基础事务全年无断档停运；辖区村容村貌、城镇配套设施运维水平稳步提升，城乡日常治理工作常态化落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 w:hRule="atLeast"/>
        </w:trPr>
        <w:tc>
          <w:tcPr>
            <w:tcW w:w="853"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w:t>
            </w:r>
          </w:p>
        </w:tc>
        <w:tc>
          <w:tcPr>
            <w:tcW w:w="1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509" w:type="dxa"/>
            <w:gridSpan w:val="2"/>
            <w:tcBorders>
              <w:top w:val="single" w:color="000000" w:sz="4" w:space="0"/>
              <w:left w:val="nil"/>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4677"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产出指标（40分）</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509"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19</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509"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509"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成本指标（10分）</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509"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509"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509"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效益指标（30分）</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509"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509"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509"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lang w:val="en-US" w:eastAsia="zh-CN"/>
              </w:rPr>
            </w:pPr>
            <w:r>
              <w:rPr>
                <w:rFonts w:hint="eastAsia"/>
                <w:lang w:val="en-US" w:eastAsia="zh-CN"/>
              </w:rPr>
              <w:t>5</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509"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509"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58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2509" w:type="dxa"/>
            <w:gridSpan w:val="2"/>
            <w:tcBorders>
              <w:top w:val="single" w:color="000000" w:sz="4" w:space="0"/>
              <w:left w:val="nil"/>
              <w:bottom w:val="single" w:color="000000" w:sz="4" w:space="0"/>
              <w:right w:val="nil"/>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93</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493" w:type="dxa"/>
            <w:gridSpan w:val="9"/>
            <w:tcBorders>
              <w:top w:val="nil"/>
              <w:left w:val="nil"/>
              <w:bottom w:val="nil"/>
              <w:right w:val="nil"/>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93" w:type="dxa"/>
            <w:gridSpan w:val="9"/>
            <w:tcBorders>
              <w:top w:val="nil"/>
              <w:left w:val="nil"/>
              <w:bottom w:val="nil"/>
              <w:right w:val="nil"/>
            </w:tcBorders>
            <w:noWrap w:val="0"/>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1904"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增资预留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3000" w:type="dxa"/>
            <w:tcBorders>
              <w:top w:val="single" w:color="000000" w:sz="4" w:space="0"/>
              <w:left w:val="single" w:color="000000" w:sz="4" w:space="0"/>
              <w:bottom w:val="single" w:color="000000" w:sz="4" w:space="0"/>
              <w:right w:val="nil"/>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eastAsia="zh-CN"/>
              </w:rPr>
              <w:t>区财政局</w:t>
            </w:r>
          </w:p>
        </w:tc>
        <w:tc>
          <w:tcPr>
            <w:tcW w:w="4227" w:type="dxa"/>
            <w:gridSpan w:val="3"/>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4677"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财政科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3000"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115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7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132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85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1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5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15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1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85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500</w:t>
            </w:r>
          </w:p>
        </w:tc>
        <w:tc>
          <w:tcPr>
            <w:tcW w:w="115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500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500</w:t>
            </w:r>
          </w:p>
        </w:tc>
        <w:tc>
          <w:tcPr>
            <w:tcW w:w="115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500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15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15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4736" w:type="dxa"/>
            <w:gridSpan w:val="2"/>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890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4736" w:type="dxa"/>
            <w:gridSpan w:val="2"/>
            <w:tcBorders>
              <w:top w:val="single" w:color="000000" w:sz="4" w:space="0"/>
              <w:left w:val="single" w:color="000000" w:sz="4" w:space="0"/>
              <w:bottom w:val="single" w:color="000000" w:sz="4" w:space="0"/>
              <w:right w:val="nil"/>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保障奖金发放，提高职工工作积极性。</w:t>
            </w:r>
          </w:p>
        </w:tc>
        <w:tc>
          <w:tcPr>
            <w:tcW w:w="8904" w:type="dxa"/>
            <w:gridSpan w:val="6"/>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已完成</w:t>
            </w:r>
            <w:r>
              <w:rPr>
                <w:rFonts w:hint="eastAsia" w:ascii="宋体" w:hAnsi="宋体" w:eastAsia="宋体" w:cs="宋体"/>
                <w:i w:val="0"/>
                <w:iCs w:val="0"/>
                <w:color w:val="000000"/>
                <w:sz w:val="18"/>
                <w:szCs w:val="18"/>
                <w:u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 w:hRule="atLeast"/>
        </w:trPr>
        <w:tc>
          <w:tcPr>
            <w:tcW w:w="853"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w:t>
            </w:r>
          </w:p>
        </w:tc>
        <w:tc>
          <w:tcPr>
            <w:tcW w:w="1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509" w:type="dxa"/>
            <w:gridSpan w:val="2"/>
            <w:tcBorders>
              <w:top w:val="single" w:color="000000" w:sz="4" w:space="0"/>
              <w:left w:val="nil"/>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4677"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产出指标（40分）</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509"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19</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509"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509"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成本指标（10分）</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509"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509"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509"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效益指标（30分）</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509"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509"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509"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lang w:val="en-US" w:eastAsia="zh-CN"/>
              </w:rPr>
            </w:pPr>
            <w:r>
              <w:rPr>
                <w:rFonts w:hint="eastAsia"/>
                <w:lang w:val="en-US" w:eastAsia="zh-CN"/>
              </w:rPr>
              <w:t>5</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509"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509"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58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2509" w:type="dxa"/>
            <w:gridSpan w:val="2"/>
            <w:tcBorders>
              <w:top w:val="single" w:color="000000" w:sz="4" w:space="0"/>
              <w:left w:val="nil"/>
              <w:bottom w:val="single" w:color="000000" w:sz="4" w:space="0"/>
              <w:right w:val="nil"/>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93</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bl>
    <w:p>
      <w:pPr>
        <w:pStyle w:val="2"/>
      </w:pPr>
    </w:p>
    <w:p/>
    <w:tbl>
      <w:tblPr>
        <w:tblStyle w:val="11"/>
        <w:tblW w:w="144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3"/>
        <w:gridCol w:w="1079"/>
        <w:gridCol w:w="3070"/>
        <w:gridCol w:w="1527"/>
        <w:gridCol w:w="1214"/>
        <w:gridCol w:w="1609"/>
        <w:gridCol w:w="1554"/>
        <w:gridCol w:w="1487"/>
        <w:gridCol w:w="21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493" w:type="dxa"/>
            <w:gridSpan w:val="9"/>
            <w:tcBorders>
              <w:top w:val="nil"/>
              <w:left w:val="nil"/>
              <w:bottom w:val="nil"/>
              <w:right w:val="nil"/>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93" w:type="dxa"/>
            <w:gridSpan w:val="9"/>
            <w:tcBorders>
              <w:top w:val="nil"/>
              <w:left w:val="nil"/>
              <w:bottom w:val="nil"/>
              <w:right w:val="nil"/>
            </w:tcBorders>
            <w:noWrap w:val="0"/>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2561"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配合一肩挑退出正职村干部基本报酬和保险待遇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3070" w:type="dxa"/>
            <w:tcBorders>
              <w:top w:val="single" w:color="000000" w:sz="4" w:space="0"/>
              <w:left w:val="single" w:color="000000" w:sz="4" w:space="0"/>
              <w:bottom w:val="single" w:color="000000" w:sz="4" w:space="0"/>
              <w:right w:val="nil"/>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eastAsia="zh-CN"/>
              </w:rPr>
              <w:t>区委</w:t>
            </w:r>
            <w:r>
              <w:rPr>
                <w:rFonts w:hint="eastAsia" w:ascii="宋体" w:hAnsi="宋体" w:eastAsia="宋体" w:cs="宋体"/>
                <w:i w:val="0"/>
                <w:iCs w:val="0"/>
                <w:color w:val="000000"/>
                <w:sz w:val="18"/>
                <w:szCs w:val="18"/>
                <w:u w:val="none"/>
              </w:rPr>
              <w:t>组织部</w:t>
            </w:r>
          </w:p>
        </w:tc>
        <w:tc>
          <w:tcPr>
            <w:tcW w:w="4350" w:type="dxa"/>
            <w:gridSpan w:val="3"/>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5141"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镇组织科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3070"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12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60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155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48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21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8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8.7</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8.7</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8.7</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8.7</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4149" w:type="dxa"/>
            <w:gridSpan w:val="2"/>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4149" w:type="dxa"/>
            <w:gridSpan w:val="2"/>
            <w:tcBorders>
              <w:top w:val="single" w:color="000000" w:sz="4" w:space="0"/>
              <w:left w:val="single" w:color="000000" w:sz="4" w:space="0"/>
              <w:bottom w:val="single" w:color="000000" w:sz="4" w:space="0"/>
              <w:right w:val="nil"/>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保障人员的工资、保险等足额按时发放。</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发放了相关人员工资、保险。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853"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741" w:type="dxa"/>
            <w:gridSpan w:val="2"/>
            <w:tcBorders>
              <w:top w:val="single" w:color="000000" w:sz="4" w:space="0"/>
              <w:left w:val="nil"/>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5141"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效益指标（30分）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lang w:val="en-US" w:eastAsia="zh-CN"/>
              </w:rPr>
            </w:pPr>
            <w:r>
              <w:rPr>
                <w:rFonts w:hint="eastAsia"/>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2741" w:type="dxa"/>
            <w:gridSpan w:val="2"/>
            <w:tcBorders>
              <w:top w:val="single" w:color="000000" w:sz="4" w:space="0"/>
              <w:left w:val="nil"/>
              <w:bottom w:val="single" w:color="000000" w:sz="4" w:space="0"/>
              <w:right w:val="nil"/>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bl>
    <w:p>
      <w:pPr>
        <w:pStyle w:val="2"/>
      </w:pPr>
    </w:p>
    <w:tbl>
      <w:tblPr>
        <w:tblStyle w:val="11"/>
        <w:tblW w:w="144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3"/>
        <w:gridCol w:w="1079"/>
        <w:gridCol w:w="3070"/>
        <w:gridCol w:w="1527"/>
        <w:gridCol w:w="1214"/>
        <w:gridCol w:w="1609"/>
        <w:gridCol w:w="1554"/>
        <w:gridCol w:w="1487"/>
        <w:gridCol w:w="21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493" w:type="dxa"/>
            <w:gridSpan w:val="9"/>
            <w:tcBorders>
              <w:top w:val="nil"/>
              <w:left w:val="nil"/>
              <w:bottom w:val="nil"/>
              <w:right w:val="nil"/>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93" w:type="dxa"/>
            <w:gridSpan w:val="9"/>
            <w:tcBorders>
              <w:top w:val="nil"/>
              <w:left w:val="nil"/>
              <w:bottom w:val="nil"/>
              <w:right w:val="nil"/>
            </w:tcBorders>
            <w:noWrap w:val="0"/>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2561"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村级电力设施维护费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3070" w:type="dxa"/>
            <w:tcBorders>
              <w:top w:val="single" w:color="000000" w:sz="4" w:space="0"/>
              <w:left w:val="single" w:color="000000" w:sz="4" w:space="0"/>
              <w:bottom w:val="single" w:color="000000" w:sz="4" w:space="0"/>
              <w:right w:val="nil"/>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eastAsia="zh-CN"/>
              </w:rPr>
              <w:t>区经管站</w:t>
            </w:r>
          </w:p>
        </w:tc>
        <w:tc>
          <w:tcPr>
            <w:tcW w:w="4350" w:type="dxa"/>
            <w:gridSpan w:val="3"/>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5141"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镇经管站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3070"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12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60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155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48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21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8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63</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63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63</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63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4149" w:type="dxa"/>
            <w:gridSpan w:val="2"/>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4149" w:type="dxa"/>
            <w:gridSpan w:val="2"/>
            <w:tcBorders>
              <w:top w:val="single" w:color="000000" w:sz="4" w:space="0"/>
              <w:left w:val="single" w:color="000000" w:sz="4" w:space="0"/>
              <w:bottom w:val="single" w:color="000000" w:sz="4" w:space="0"/>
              <w:right w:val="nil"/>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保障人员的工资、保险等足额按时发放。</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发放了相关人员工资、保险。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853"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741" w:type="dxa"/>
            <w:gridSpan w:val="2"/>
            <w:tcBorders>
              <w:top w:val="single" w:color="000000" w:sz="4" w:space="0"/>
              <w:left w:val="nil"/>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5141"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效益指标（30分）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lang w:val="en-US" w:eastAsia="zh-CN"/>
              </w:rPr>
            </w:pPr>
            <w:r>
              <w:rPr>
                <w:rFonts w:hint="eastAsia"/>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2741" w:type="dxa"/>
            <w:gridSpan w:val="2"/>
            <w:tcBorders>
              <w:top w:val="single" w:color="000000" w:sz="4" w:space="0"/>
              <w:left w:val="nil"/>
              <w:bottom w:val="single" w:color="000000" w:sz="4" w:space="0"/>
              <w:right w:val="nil"/>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bl>
    <w:p>
      <w:pPr>
        <w:spacing w:line="480" w:lineRule="exact"/>
      </w:pP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仿宋">
    <w:altName w:val="方正仿宋_GBK"/>
    <w:panose1 w:val="02010609060101010101"/>
    <w:charset w:val="86"/>
    <w:family w:val="modern"/>
    <w:pitch w:val="default"/>
    <w:sig w:usb0="00000000" w:usb1="00000000" w:usb2="00000016" w:usb3="00000000" w:csb0="00040001" w:csb1="00000000"/>
  </w:font>
  <w:font w:name="Droid Sans">
    <w:altName w:val="汉仪新人文宋简"/>
    <w:panose1 w:val="00000000000000000000"/>
    <w:charset w:val="00"/>
    <w:family w:val="auto"/>
    <w:pitch w:val="default"/>
    <w:sig w:usb0="00000000" w:usb1="00000000" w:usb2="00000000" w:usb3="00000000" w:csb0="00040001" w:csb1="00000000"/>
  </w:font>
  <w:font w:name="方正黑体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3</w:t>
    </w:r>
    <w: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5</w:t>
    </w:r>
    <w:r>
      <w:fldChar w:fldCharType="end"/>
    </w:r>
  </w:p>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15</w:t>
    </w:r>
    <w:r>
      <w:fldChar w:fldCharType="end"/>
    </w:r>
  </w:p>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7E84BE"/>
    <w:multiLevelType w:val="singleLevel"/>
    <w:tmpl w:val="8D7E84B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17CC"/>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9FE90DD"/>
    <w:rsid w:val="0BA148CA"/>
    <w:rsid w:val="0C1165C4"/>
    <w:rsid w:val="0D6D544B"/>
    <w:rsid w:val="0DD136FE"/>
    <w:rsid w:val="0F8E2C57"/>
    <w:rsid w:val="1059665E"/>
    <w:rsid w:val="10AC13BA"/>
    <w:rsid w:val="10D148FB"/>
    <w:rsid w:val="131B55E3"/>
    <w:rsid w:val="14441900"/>
    <w:rsid w:val="145A6C1B"/>
    <w:rsid w:val="14B73493"/>
    <w:rsid w:val="14EB2247"/>
    <w:rsid w:val="167A2FF9"/>
    <w:rsid w:val="17E05399"/>
    <w:rsid w:val="18581C69"/>
    <w:rsid w:val="186D28E5"/>
    <w:rsid w:val="1AB90677"/>
    <w:rsid w:val="1AEC0734"/>
    <w:rsid w:val="1DEF20B0"/>
    <w:rsid w:val="1ED44C3A"/>
    <w:rsid w:val="1F8A1A1D"/>
    <w:rsid w:val="214243FA"/>
    <w:rsid w:val="21AD613C"/>
    <w:rsid w:val="22467189"/>
    <w:rsid w:val="257A14F5"/>
    <w:rsid w:val="25D85CB8"/>
    <w:rsid w:val="27196C26"/>
    <w:rsid w:val="29EF086F"/>
    <w:rsid w:val="2A014A0F"/>
    <w:rsid w:val="2CC54FC3"/>
    <w:rsid w:val="2DEF7DAB"/>
    <w:rsid w:val="2EFFE297"/>
    <w:rsid w:val="2F527A41"/>
    <w:rsid w:val="301437CA"/>
    <w:rsid w:val="31AD5E6F"/>
    <w:rsid w:val="32791381"/>
    <w:rsid w:val="33B34DA3"/>
    <w:rsid w:val="349D1F0A"/>
    <w:rsid w:val="34DD0473"/>
    <w:rsid w:val="3C181CA7"/>
    <w:rsid w:val="3C684897"/>
    <w:rsid w:val="42266A91"/>
    <w:rsid w:val="433E495C"/>
    <w:rsid w:val="489F2FD7"/>
    <w:rsid w:val="4AC27CB3"/>
    <w:rsid w:val="4BF72BEF"/>
    <w:rsid w:val="4C2F4452"/>
    <w:rsid w:val="4DF27E73"/>
    <w:rsid w:val="4FA90297"/>
    <w:rsid w:val="4FC41A43"/>
    <w:rsid w:val="51CB08C4"/>
    <w:rsid w:val="51DB3C59"/>
    <w:rsid w:val="52E52B42"/>
    <w:rsid w:val="550C0952"/>
    <w:rsid w:val="55762E42"/>
    <w:rsid w:val="57A7B272"/>
    <w:rsid w:val="58470068"/>
    <w:rsid w:val="58747CAC"/>
    <w:rsid w:val="5A1720F9"/>
    <w:rsid w:val="5B9C37C2"/>
    <w:rsid w:val="5BA7C654"/>
    <w:rsid w:val="5C79118D"/>
    <w:rsid w:val="60A54109"/>
    <w:rsid w:val="612C6DE9"/>
    <w:rsid w:val="61D01CDF"/>
    <w:rsid w:val="64C0607C"/>
    <w:rsid w:val="65756C86"/>
    <w:rsid w:val="674D385B"/>
    <w:rsid w:val="676F09E1"/>
    <w:rsid w:val="6B583EF8"/>
    <w:rsid w:val="6D500226"/>
    <w:rsid w:val="6FF805E1"/>
    <w:rsid w:val="71793A80"/>
    <w:rsid w:val="7357290B"/>
    <w:rsid w:val="740A70EE"/>
    <w:rsid w:val="798524E4"/>
    <w:rsid w:val="799F797A"/>
    <w:rsid w:val="7A7F1C49"/>
    <w:rsid w:val="7B5B7AE6"/>
    <w:rsid w:val="7B7B6628"/>
    <w:rsid w:val="7BA7071E"/>
    <w:rsid w:val="7BDF6DA8"/>
    <w:rsid w:val="7BDF7589"/>
    <w:rsid w:val="7C7EDC1A"/>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rFonts w:ascii="Calibri" w:hAnsi="Calibri" w:eastAsia="宋体" w:cs="Times New Roman"/>
    </w:rPr>
  </w:style>
  <w:style w:type="paragraph" w:styleId="4">
    <w:name w:val="Normal Indent"/>
    <w:basedOn w:val="1"/>
    <w:next w:val="1"/>
    <w:qFormat/>
    <w:uiPriority w:val="0"/>
    <w:pPr>
      <w:ind w:firstLine="200" w:firstLineChars="200"/>
    </w:pPr>
  </w:style>
  <w:style w:type="paragraph" w:styleId="5">
    <w:name w:val="Body Text Indent"/>
    <w:basedOn w:val="1"/>
    <w:qFormat/>
    <w:uiPriority w:val="0"/>
    <w:pPr>
      <w:ind w:firstLine="645"/>
    </w:pPr>
    <w:rPr>
      <w:rFonts w:ascii="仿宋_GB2312" w:hAnsi="Calibri" w:eastAsia="仿宋_GB2312"/>
      <w:sz w:val="32"/>
      <w:szCs w:val="32"/>
    </w:rPr>
  </w:style>
  <w:style w:type="paragraph" w:styleId="6">
    <w:name w:val="Date"/>
    <w:basedOn w:val="1"/>
    <w:next w:val="1"/>
    <w:qFormat/>
    <w:uiPriority w:val="0"/>
    <w:pPr>
      <w:ind w:left="100" w:leftChars="2500"/>
    </w:pPr>
  </w:style>
  <w:style w:type="paragraph" w:styleId="7">
    <w:name w:val="Balloon Text"/>
    <w:basedOn w:val="1"/>
    <w:semiHidden/>
    <w:qFormat/>
    <w:uiPriority w:val="0"/>
    <w:rPr>
      <w:sz w:val="18"/>
      <w:szCs w:val="18"/>
    </w:rPr>
  </w:style>
  <w:style w:type="paragraph" w:styleId="8">
    <w:name w:val="footer"/>
    <w:basedOn w:val="1"/>
    <w:link w:val="15"/>
    <w:qFormat/>
    <w:uiPriority w:val="0"/>
    <w:pPr>
      <w:tabs>
        <w:tab w:val="center" w:pos="4153"/>
        <w:tab w:val="right" w:pos="8306"/>
      </w:tabs>
      <w:snapToGrid w:val="0"/>
      <w:jc w:val="left"/>
    </w:pPr>
    <w:rPr>
      <w:sz w:val="18"/>
      <w:szCs w:val="18"/>
    </w:rPr>
  </w:style>
  <w:style w:type="paragraph" w:styleId="9">
    <w:name w:val="header"/>
    <w:basedOn w:val="1"/>
    <w:link w:val="16"/>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10">
    <w:name w:val="Normal (Web)"/>
    <w:basedOn w:val="1"/>
    <w:unhideWhenUsed/>
    <w:qFormat/>
    <w:uiPriority w:val="0"/>
    <w:pPr>
      <w:spacing w:before="100" w:beforeAutospacing="1" w:after="100" w:afterAutospacing="1"/>
      <w:ind w:right="238"/>
      <w:jc w:val="left"/>
    </w:pPr>
    <w:rPr>
      <w:b/>
      <w:kern w:val="0"/>
      <w:sz w:val="24"/>
      <w:szCs w:val="20"/>
    </w:rPr>
  </w:style>
  <w:style w:type="character" w:styleId="13">
    <w:name w:val="Strong"/>
    <w:qFormat/>
    <w:uiPriority w:val="0"/>
    <w:rPr>
      <w:b/>
    </w:rPr>
  </w:style>
  <w:style w:type="character" w:styleId="14">
    <w:name w:val="page number"/>
    <w:qFormat/>
    <w:uiPriority w:val="0"/>
  </w:style>
  <w:style w:type="character" w:customStyle="1" w:styleId="15">
    <w:name w:val="页脚 Char"/>
    <w:link w:val="8"/>
    <w:qFormat/>
    <w:uiPriority w:val="0"/>
    <w:rPr>
      <w:rFonts w:eastAsia="宋体"/>
      <w:kern w:val="2"/>
      <w:sz w:val="18"/>
      <w:szCs w:val="18"/>
      <w:lang w:val="en-US" w:eastAsia="zh-CN" w:bidi="ar-SA"/>
    </w:rPr>
  </w:style>
  <w:style w:type="character" w:customStyle="1" w:styleId="16">
    <w:name w:val="页眉 Char"/>
    <w:link w:val="9"/>
    <w:qFormat/>
    <w:uiPriority w:val="0"/>
    <w:rPr>
      <w:rFonts w:ascii="Calibri" w:hAnsi="Calibri" w:eastAsia="宋体"/>
      <w:kern w:val="2"/>
      <w:sz w:val="18"/>
      <w:szCs w:val="18"/>
      <w:lang w:val="en-US" w:eastAsia="zh-CN" w:bidi="ar-SA"/>
    </w:rPr>
  </w:style>
  <w:style w:type="paragraph" w:customStyle="1" w:styleId="17">
    <w:name w:val="Char Char Char Char Char Char Char"/>
    <w:basedOn w:val="1"/>
    <w:qFormat/>
    <w:uiPriority w:val="0"/>
    <w:rPr>
      <w:rFonts w:ascii="Tahoma" w:hAnsi="Tahoma"/>
      <w:sz w:val="24"/>
      <w:szCs w:val="20"/>
    </w:rPr>
  </w:style>
  <w:style w:type="paragraph" w:customStyle="1" w:styleId="18">
    <w:name w:val="Char1 Char Char Char"/>
    <w:basedOn w:val="1"/>
    <w:qFormat/>
    <w:uiPriority w:val="0"/>
    <w:pPr>
      <w:widowControl/>
      <w:spacing w:after="160" w:line="240" w:lineRule="exact"/>
      <w:jc w:val="left"/>
    </w:pPr>
    <w:rPr>
      <w:szCs w:val="20"/>
    </w:rPr>
  </w:style>
  <w:style w:type="paragraph" w:customStyle="1" w:styleId="19">
    <w:name w:val="Char"/>
    <w:basedOn w:val="1"/>
    <w:qFormat/>
    <w:uiPriority w:val="0"/>
    <w:rPr>
      <w:rFonts w:ascii="Tahoma" w:hAnsi="Tahoma"/>
      <w:sz w:val="24"/>
      <w:szCs w:val="20"/>
    </w:rPr>
  </w:style>
  <w:style w:type="paragraph" w:customStyle="1" w:styleId="20">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5" Type="http://schemas.openxmlformats.org/officeDocument/2006/relationships/fontTable" Target="fontTable.xml"/><Relationship Id="rId54" Type="http://schemas.openxmlformats.org/officeDocument/2006/relationships/numbering" Target="numbering.xml"/><Relationship Id="rId53" Type="http://schemas.openxmlformats.org/officeDocument/2006/relationships/customXml" Target="../customXml/item1.xml"/><Relationship Id="rId52" Type="http://schemas.openxmlformats.org/officeDocument/2006/relationships/chart" Target="charts/chart2.xml"/><Relationship Id="rId51" Type="http://schemas.openxmlformats.org/officeDocument/2006/relationships/chart" Target="charts/chart1.xml"/><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 Type="http://schemas.openxmlformats.org/officeDocument/2006/relationships/oleObject" Target="embeddings/oleObject4.bin"/><Relationship Id="rId12" Type="http://schemas.openxmlformats.org/officeDocument/2006/relationships/image" Target="media/image3.emf"/><Relationship Id="rId11" Type="http://schemas.openxmlformats.org/officeDocument/2006/relationships/oleObject" Target="embeddings/oleObject3.bin"/><Relationship Id="rId10" Type="http://schemas.openxmlformats.org/officeDocument/2006/relationships/image" Target="media/image2.emf"/><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pieChart>
        <c:varyColors val="true"/>
        <c:ser>
          <c:idx val="0"/>
          <c:order val="0"/>
          <c:tx>
            <c:strRef>
              <c:f>Sheet1!$B$1</c:f>
              <c:strCache>
                <c:ptCount val="1"/>
                <c:pt idx="0">
                  <c:v>收入决算</c:v>
                </c:pt>
              </c:strCache>
            </c:strRef>
          </c:tx>
          <c:explosion val="0"/>
          <c:dPt>
            <c:idx val="0"/>
            <c:bubble3D val="false"/>
          </c:dPt>
          <c:dPt>
            <c:idx val="1"/>
            <c:bubble3D val="false"/>
          </c:dPt>
          <c:dPt>
            <c:idx val="2"/>
            <c:bubble3D val="false"/>
          </c:dPt>
          <c:dPt>
            <c:idx val="3"/>
            <c:bubble3D val="false"/>
          </c:dPt>
          <c:dPt>
            <c:idx val="4"/>
            <c:bubble3D val="false"/>
          </c:dPt>
          <c:dPt>
            <c:idx val="5"/>
            <c:bubble3D val="false"/>
          </c:dPt>
          <c:dLbls>
            <c:numFmt formatCode="0.00%" sourceLinked="fals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bestFit"/>
            <c:showLegendKey val="false"/>
            <c:showVal val="false"/>
            <c:showCatName val="false"/>
            <c:showSerName val="false"/>
            <c:showPercent val="true"/>
            <c:showBubbleSize val="false"/>
            <c:showLeaderLines val="true"/>
            <c:extLst>
              <c:ext xmlns:c15="http://schemas.microsoft.com/office/drawing/2012/chart" uri="{CE6537A1-D6FC-4f65-9D91-7224C49458BB}">
                <c15:layout/>
                <c15:showLeaderLines val="true"/>
                <c15:leaderLines/>
              </c:ext>
            </c:extLst>
          </c:dLbls>
          <c:cat>
            <c:strRef>
              <c:f>Sheet1!$A$2:$A$7</c:f>
              <c:strCache>
                <c:ptCount val="6"/>
                <c:pt idx="0">
                  <c:v>财政拨款收入</c:v>
                </c:pt>
                <c:pt idx="1">
                  <c:v>上级补助收入</c:v>
                </c:pt>
                <c:pt idx="2">
                  <c:v>事业收入</c:v>
                </c:pt>
                <c:pt idx="3">
                  <c:v>经营收入</c:v>
                </c:pt>
                <c:pt idx="4">
                  <c:v>附属单位收入</c:v>
                </c:pt>
                <c:pt idx="5">
                  <c:v>其他收入</c:v>
                </c:pt>
              </c:strCache>
            </c:strRef>
          </c:cat>
          <c:val>
            <c:numRef>
              <c:f>Sheet1!$B$2:$B$7</c:f>
              <c:numCache>
                <c:formatCode>General</c:formatCode>
                <c:ptCount val="6"/>
                <c:pt idx="0">
                  <c:v>34150.06</c:v>
                </c:pt>
                <c:pt idx="1">
                  <c:v>0</c:v>
                </c:pt>
                <c:pt idx="2">
                  <c:v>0</c:v>
                </c:pt>
                <c:pt idx="3">
                  <c:v>0</c:v>
                </c:pt>
                <c:pt idx="4">
                  <c:v>0</c:v>
                </c:pt>
                <c:pt idx="5">
                  <c:v>0</c:v>
                </c:pt>
              </c:numCache>
            </c:numRef>
          </c:val>
        </c:ser>
        <c:dLbls>
          <c:showLegendKey val="false"/>
          <c:showVal val="true"/>
          <c:showCatName val="false"/>
          <c:showSerName val="false"/>
          <c:showPercent val="false"/>
          <c:showBubbleSize val="false"/>
          <c:showLeaderLines val="true"/>
        </c:dLbls>
        <c:firstSliceAng val="0"/>
      </c:pieChart>
    </c:plotArea>
    <c:legend>
      <c:legendPos val="r"/>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gap"/>
    <c:showDLblsOverMax val="false"/>
  </c:chart>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layout/>
      <c:overlay val="false"/>
      <c:tx>
        <c:rich>
          <a:bodyPr/>
          <a:lstStyle/>
          <a:p>
            <a:pPr>
              <a:defRPr/>
            </a:pPr>
          </a:p>
        </c:rich>
      </c:tx>
    </c:title>
    <c:autoTitleDeleted val="false"/>
    <c:plotArea>
      <c:layout/>
      <c:pieChart>
        <c:varyColors val="true"/>
        <c:ser>
          <c:idx val="0"/>
          <c:order val="0"/>
          <c:tx>
            <c:strRef>
              <c:f>Sheet0!$B$1</c:f>
              <c:strCache>
                <c:ptCount val="1"/>
                <c:pt idx="0">
                  <c:v>支出</c:v>
                </c:pt>
              </c:strCache>
            </c:strRef>
          </c:tx>
          <c:explosion val="0"/>
          <c:dPt>
            <c:idx val="0"/>
            <c:bubble3D val="false"/>
            <c:spPr>
              <a:solidFill>
                <a:srgbClr val="4F81BD"/>
              </a:solidFill>
              <a:ln w="19050">
                <a:solidFill>
                  <a:srgbClr val="FFFFFF"/>
                </a:solidFill>
              </a:ln>
              <a:effectLst/>
            </c:spPr>
          </c:dPt>
          <c:dPt>
            <c:idx val="1"/>
            <c:bubble3D val="false"/>
            <c:spPr>
              <a:solidFill>
                <a:srgbClr val="C0504D"/>
              </a:solidFill>
              <a:ln w="19050">
                <a:solidFill>
                  <a:srgbClr val="FFFFFF"/>
                </a:solidFill>
              </a:ln>
              <a:effectLst/>
            </c:spPr>
          </c:dPt>
          <c:dPt>
            <c:idx val="2"/>
            <c:bubble3D val="false"/>
            <c:spPr>
              <a:solidFill>
                <a:srgbClr val="9BBB59"/>
              </a:solidFill>
              <a:ln w="19050">
                <a:solidFill>
                  <a:srgbClr val="FFFFFF"/>
                </a:solidFill>
              </a:ln>
              <a:effectLst/>
            </c:spPr>
          </c:dPt>
          <c:dPt>
            <c:idx val="3"/>
            <c:bubble3D val="false"/>
            <c:spPr>
              <a:solidFill>
                <a:srgbClr val="8064A2"/>
              </a:solidFill>
              <a:ln w="19050">
                <a:solidFill>
                  <a:srgbClr val="FFFFFF"/>
                </a:solidFill>
              </a:ln>
              <a:effectLst/>
            </c:spPr>
          </c:dPt>
          <c:dPt>
            <c:idx val="4"/>
            <c:bubble3D val="false"/>
            <c:spPr>
              <a:solidFill>
                <a:srgbClr val="4BACC6"/>
              </a:solidFill>
              <a:ln w="19050">
                <a:solidFill>
                  <a:srgbClr val="FFFFFF"/>
                </a:solidFill>
              </a:ln>
              <a:effectLst/>
            </c:spPr>
          </c:dPt>
          <c:dLbls>
            <c:dLbl>
              <c:idx val="2"/>
              <c:layout>
                <c:manualLayout>
                  <c:x val="-0.03900372940115"/>
                  <c:y val="0.0328271436107878"/>
                </c:manualLayout>
              </c:layout>
              <c:dLblPos val="bestFit"/>
              <c:showLegendKey val="false"/>
              <c:showVal val="false"/>
              <c:showCatName val="false"/>
              <c:showSerName val="false"/>
              <c:showPercent val="true"/>
              <c:showBubbleSize val="false"/>
              <c:extLst>
                <c:ext xmlns:c15="http://schemas.microsoft.com/office/drawing/2012/chart" uri="{CE6537A1-D6FC-4f65-9D91-7224C49458BB}">
                  <c15:layout/>
                </c:ext>
              </c:extLst>
            </c:dLbl>
            <c:dLbl>
              <c:idx val="4"/>
              <c:layout>
                <c:manualLayout>
                  <c:x val="0.0389887693586102"/>
                  <c:y val="0.0105112295100623"/>
                </c:manualLayout>
              </c:layout>
              <c:dLblPos val="bestFit"/>
              <c:showLegendKey val="false"/>
              <c:showVal val="false"/>
              <c:showCatName val="false"/>
              <c:showSerName val="false"/>
              <c:showPercent val="true"/>
              <c:showBubbleSize val="false"/>
              <c:extLst>
                <c:ext xmlns:c15="http://schemas.microsoft.com/office/drawing/2012/chart" uri="{CE6537A1-D6FC-4f65-9D91-7224C49458BB}">
                  <c15:layout/>
                </c:ext>
              </c:extLst>
            </c:dLbl>
            <c:numFmt formatCode="0.00%" sourceLinked="fals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solidFill>
                    <a:latin typeface="+mn-lt"/>
                    <a:ea typeface="+mn-ea"/>
                    <a:cs typeface="+mn-cs"/>
                  </a:defRPr>
                </a:pPr>
              </a:p>
            </c:txPr>
            <c:dLblPos val="bestFit"/>
            <c:showLegendKey val="false"/>
            <c:showVal val="false"/>
            <c:showCatName val="fals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3241.46</c:v>
                </c:pt>
                <c:pt idx="1">
                  <c:v>31661.03</c:v>
                </c:pt>
                <c:pt idx="2">
                  <c:v>0</c:v>
                </c:pt>
                <c:pt idx="3">
                  <c:v>0</c:v>
                </c:pt>
                <c:pt idx="4">
                  <c:v>0</c:v>
                </c:pt>
              </c:numCache>
            </c:numRef>
          </c:val>
        </c:ser>
        <c:dLbls>
          <c:showLegendKey val="false"/>
          <c:showVal val="false"/>
          <c:showCatName val="false"/>
          <c:showSerName val="false"/>
          <c:showPercent val="true"/>
          <c:showBubbleSize val="false"/>
          <c:showLeaderLines val="true"/>
        </c:dLbls>
        <c:firstSliceAng val="0"/>
      </c:pieChart>
      <c:spPr>
        <a:noFill/>
        <a:ln>
          <a:noFill/>
        </a:ln>
        <a:effectLst/>
      </c:spPr>
    </c:plotArea>
    <c:legend>
      <c:legendPos val="b"/>
      <c:legendEntry>
        <c:idx val="0"/>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Entry>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
    <c:plotVisOnly val="true"/>
    <c:dispBlanksAs val="gap"/>
    <c:showDLblsOverMax val="false"/>
  </c:chart>
  <c:spPr>
    <a:ln w="9525" cap="flat" cmpd="sng" algn="ctr">
      <a:solidFill>
        <a:srgbClr val="D9D9D9">
          <a:lumMod val="15000"/>
          <a:lumOff val="85000"/>
        </a:srgbClr>
      </a:solidFill>
      <a:prstDash val="solid"/>
      <a:round/>
    </a:ln>
    <a:effectLst/>
  </c:spPr>
  <c:txPr>
    <a:bodyPr/>
    <a:lstStyle/>
    <a:p>
      <a:pPr>
        <a:defRPr lang="zh-CN"/>
      </a:pPr>
    </a:p>
  </c:txPr>
  <c:externalData r:id="rId1">
    <c:autoUpdate val="false"/>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3130</Words>
  <Characters>5454</Characters>
  <Lines>44</Lines>
  <Paragraphs>12</Paragraphs>
  <TotalTime>3</TotalTime>
  <ScaleCrop>false</ScaleCrop>
  <LinksUpToDate>false</LinksUpToDate>
  <CharactersWithSpaces>5475</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2017-07-11T23:16:00Z</dcterms:created>
  <dc:creator>常程</dc:creator>
  <cp:lastModifiedBy>uos</cp:lastModifiedBy>
  <cp:lastPrinted>2026-08-17T15:51:00Z</cp:lastPrinted>
  <dcterms:modified xsi:type="dcterms:W3CDTF">2026-10-16T14:23:02Z</dcterms:modified>
  <dc:title>北京市财政局关于做好向市人大常委会报送2015年度市级部门决算（草案）</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435078ACFECC4A5A8A519EF4C3681114_13</vt:lpwstr>
  </property>
  <property fmtid="{D5CDD505-2E9C-101B-9397-08002B2CF9AE}" pid="4" name="KSOTemplateDocerSaveRecord">
    <vt:lpwstr>eyJoZGlkIjoiMzc4NWY1MzkzMjk1MGZhYTYzN2RlYzY2ZjI5NzA1ZTciLCJ1c2VySWQiOiIzMDA3MzEzNzgifQ==</vt:lpwstr>
  </property>
</Properties>
</file>