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541035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  <w:t>北京市密云区大城子镇人民政府</w:t>
      </w:r>
    </w:p>
    <w:p w14:paraId="78A33511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  <w:t>关于大城子镇2026年上半年</w:t>
      </w:r>
    </w:p>
    <w:p w14:paraId="10093148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  <w:t>财政预算执行情况的报告</w:t>
      </w:r>
    </w:p>
    <w:p w14:paraId="1240C310">
      <w:pPr>
        <w:spacing w:line="560" w:lineRule="exact"/>
        <w:jc w:val="center"/>
        <w:rPr>
          <w:rFonts w:hint="eastAsia" w:ascii="楷体_GB2312" w:hAnsi="楷体_GB2312" w:eastAsia="楷体_GB2312" w:cs="楷体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highlight w:val="none"/>
          <w:lang w:val="en-US" w:eastAsia="zh-CN"/>
        </w:rPr>
        <w:t>——2026年8月26</w:t>
      </w:r>
      <w:bookmarkStart w:id="0" w:name="_GoBack"/>
      <w:bookmarkEnd w:id="0"/>
      <w:r>
        <w:rPr>
          <w:rFonts w:hint="eastAsia" w:ascii="楷体_GB2312" w:hAnsi="楷体_GB2312" w:eastAsia="楷体_GB2312" w:cs="楷体_GB2312"/>
          <w:color w:val="auto"/>
          <w:sz w:val="32"/>
          <w:szCs w:val="32"/>
          <w:highlight w:val="none"/>
          <w:lang w:val="en-US" w:eastAsia="zh-CN"/>
        </w:rPr>
        <w:t>日在北京市密云区大城子镇第二届</w:t>
      </w:r>
    </w:p>
    <w:p w14:paraId="6027A6A8">
      <w:pPr>
        <w:spacing w:line="560" w:lineRule="exact"/>
        <w:jc w:val="center"/>
        <w:rPr>
          <w:rFonts w:hint="eastAsia" w:ascii="楷体_GB2312" w:hAnsi="楷体_GB2312" w:eastAsia="楷体_GB2312" w:cs="楷体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highlight w:val="none"/>
          <w:lang w:val="en-US" w:eastAsia="zh-CN"/>
        </w:rPr>
        <w:t>人民代表大会第十二次会议上</w:t>
      </w:r>
    </w:p>
    <w:p w14:paraId="5E488AD5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楷体_GB2312" w:hAnsi="楷体_GB2312" w:eastAsia="楷体_GB2312" w:cs="楷体_GB2312"/>
          <w:color w:val="FF0000"/>
          <w:sz w:val="32"/>
          <w:szCs w:val="32"/>
          <w:highlight w:val="none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highlight w:val="none"/>
          <w:lang w:val="en-US" w:eastAsia="zh-CN"/>
        </w:rPr>
        <w:t>大城子镇人民政府副镇长  汪怀君</w:t>
      </w:r>
    </w:p>
    <w:p w14:paraId="5D91452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</w:p>
    <w:p w14:paraId="1E9592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各位代表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：</w:t>
      </w:r>
    </w:p>
    <w:p w14:paraId="7C612F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受大城子镇人民政府委托，向大会作2026年上半年财政预算执行情况的报告，请予审议。</w:t>
      </w:r>
    </w:p>
    <w:p w14:paraId="21337F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一、202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年上半年预算执行情况</w:t>
      </w:r>
    </w:p>
    <w:p w14:paraId="615909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今年以来，在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镇党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委的坚强领导下，在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镇人大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的监督指导下，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全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镇财政工作取得阶段性成效。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2026年上半年全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镇预算执行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情况较好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，为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全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镇经济和各项事业的发展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提供了坚强有力的保障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。</w:t>
      </w:r>
    </w:p>
    <w:p w14:paraId="0F6FC8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highlight w:val="none"/>
          <w:lang w:val="en-US" w:eastAsia="zh-CN"/>
        </w:rPr>
        <w:t>（一）预算收支总体情况</w:t>
      </w:r>
    </w:p>
    <w:p w14:paraId="2F50E0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yellow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上半年，全镇共收到上级财政划拨财政支付额度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48988.71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万元。其中一般公共预算财政拨款额度35593.65万元，占比72.66%；一般债券预算财政拨款额度3106.07万元，占比6.33%；政府性基金预算财政拨款额度10288.99万元，占比21.01%。</w:t>
      </w:r>
    </w:p>
    <w:p w14:paraId="0AD13B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highlight w:val="yellow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上半年，全镇财政预算总支出28457.11万元。其中，一般公共预算资金支出22660.02万元，占比79.63%；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  <w:t>一般债券资金支出3003.91万元，占比10.56%；政府性基金预算资金支出2793.19万元，占比9.82%。</w:t>
      </w:r>
    </w:p>
    <w:p w14:paraId="2990A5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highlight w:val="none"/>
          <w:lang w:val="en-US" w:eastAsia="zh-CN"/>
        </w:rPr>
        <w:t>（二）一般公共预算收支执行情况</w:t>
      </w:r>
    </w:p>
    <w:p w14:paraId="332872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1.一般公共预算收支总体执行情况</w:t>
      </w:r>
    </w:p>
    <w:p w14:paraId="12491A6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上半年，全镇收到上级财政划拨一般公共预算额度35593.65万元。一般公共预算资金支出22660.02万元，同比增长193.71%。</w:t>
      </w:r>
    </w:p>
    <w:p w14:paraId="5A9E641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2.主要收入科目执行情况</w:t>
      </w:r>
    </w:p>
    <w:p w14:paraId="4D6B70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pacing w:val="-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上半年</w:t>
      </w:r>
      <w:r>
        <w:rPr>
          <w:rStyle w:val="12"/>
          <w:rFonts w:hint="eastAsia" w:ascii="仿宋_GB2312" w:hAnsi="仿宋_GB2312" w:eastAsia="仿宋_GB2312" w:cs="仿宋_GB2312"/>
          <w:b w:val="0"/>
          <w:i w:val="0"/>
          <w:caps w:val="0"/>
          <w:spacing w:val="0"/>
          <w:w w:val="100"/>
          <w:kern w:val="2"/>
          <w:sz w:val="32"/>
          <w:szCs w:val="32"/>
          <w:highlight w:val="none"/>
          <w:lang w:val="en-US" w:eastAsia="zh-CN" w:bidi="ar-SA"/>
        </w:rPr>
        <w:t>，全镇财政收入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2135</w:t>
      </w:r>
      <w:r>
        <w:rPr>
          <w:rStyle w:val="12"/>
          <w:rFonts w:hint="eastAsia" w:ascii="仿宋_GB2312" w:hAnsi="仿宋_GB2312" w:eastAsia="仿宋_GB2312" w:cs="仿宋_GB2312"/>
          <w:b w:val="0"/>
          <w:i w:val="0"/>
          <w:caps w:val="0"/>
          <w:spacing w:val="0"/>
          <w:w w:val="100"/>
          <w:kern w:val="2"/>
          <w:sz w:val="32"/>
          <w:szCs w:val="32"/>
          <w:highlight w:val="none"/>
          <w:lang w:val="en-US" w:eastAsia="zh-CN" w:bidi="ar-SA"/>
        </w:rPr>
        <w:t>万元，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highlight w:val="none"/>
          <w:lang w:val="en-US" w:eastAsia="zh-CN"/>
        </w:rPr>
        <w:t>完成上半年财政收入预期目标数2120万元的100.71%。</w:t>
      </w:r>
    </w:p>
    <w:p w14:paraId="5B3B82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Style w:val="12"/>
          <w:rFonts w:hint="default" w:ascii="仿宋_GB2312" w:hAnsi="仿宋_GB2312" w:eastAsia="仿宋_GB2312" w:cs="仿宋_GB2312"/>
          <w:b w:val="0"/>
          <w:i w:val="0"/>
          <w:caps w:val="0"/>
          <w:spacing w:val="0"/>
          <w:w w:val="100"/>
          <w:kern w:val="2"/>
          <w:sz w:val="32"/>
          <w:szCs w:val="32"/>
          <w:highlight w:val="none"/>
          <w:lang w:val="en-US" w:eastAsia="zh-CN" w:bidi="ar-SA"/>
        </w:rPr>
      </w:pPr>
      <w:r>
        <w:rPr>
          <w:rStyle w:val="12"/>
          <w:rFonts w:hint="eastAsia" w:ascii="仿宋_GB2312" w:hAnsi="仿宋_GB2312" w:eastAsia="仿宋_GB2312" w:cs="仿宋_GB2312"/>
          <w:b w:val="0"/>
          <w:i w:val="0"/>
          <w:caps w:val="0"/>
          <w:spacing w:val="0"/>
          <w:w w:val="100"/>
          <w:kern w:val="2"/>
          <w:sz w:val="32"/>
          <w:szCs w:val="32"/>
          <w:highlight w:val="none"/>
          <w:lang w:val="en-US" w:eastAsia="zh-CN" w:bidi="ar-SA"/>
        </w:rPr>
        <w:t>从收入结构看，税收收入1513.46万元，占比70.88%；非税收入621.54万元，占比29.12%。其中：增值税形成财政收入815.14万元，占比38.17%，同比增长32.29%；企业所得税形成财政收入585.00万元，占比27.4%，同比下降7.71%；个人所得税形成财政收入98.05万元，占比4.59%，同比增长177.29%；房产税形成财政收入15.27万元，占比0.72%，同比下降53.03%。</w:t>
      </w:r>
    </w:p>
    <w:p w14:paraId="6C9D78C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3.主要支出科目执行情况</w:t>
      </w:r>
    </w:p>
    <w:p w14:paraId="32412D8A">
      <w:pPr>
        <w:keepNext w:val="0"/>
        <w:keepLines w:val="0"/>
        <w:pageBreakBefore w:val="0"/>
        <w:widowControl w:val="0"/>
        <w:pBdr>
          <w:bottom w:val="single" w:color="FFFFFF" w:sz="4" w:space="11"/>
        </w:pBdr>
        <w:kinsoku/>
        <w:wordWrap/>
        <w:overflowPunct/>
        <w:topLinePunct w:val="0"/>
        <w:autoSpaceDE/>
        <w:autoSpaceDN/>
        <w:bidi w:val="0"/>
        <w:snapToGrid w:val="0"/>
        <w:spacing w:before="0" w:beforeAutospacing="0" w:after="0" w:afterAutospacing="0" w:line="560" w:lineRule="exact"/>
        <w:ind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w w:val="100"/>
          <w:sz w:val="32"/>
          <w:szCs w:val="32"/>
          <w:highlight w:val="none"/>
          <w:u w:val="none" w:color="auto"/>
          <w:lang w:val="en-US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w w:val="100"/>
          <w:sz w:val="32"/>
          <w:szCs w:val="32"/>
          <w:highlight w:val="none"/>
          <w:u w:val="none" w:color="auto"/>
        </w:rPr>
        <w:t>一般公共服务支出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w w:val="100"/>
          <w:sz w:val="32"/>
          <w:szCs w:val="32"/>
          <w:highlight w:val="none"/>
          <w:u w:val="none" w:color="auto"/>
          <w:lang w:val="en-US" w:eastAsia="zh-CN"/>
        </w:rPr>
        <w:t>1311.55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w w:val="100"/>
          <w:sz w:val="32"/>
          <w:szCs w:val="32"/>
          <w:highlight w:val="none"/>
          <w:u w:val="none" w:color="auto"/>
        </w:rPr>
        <w:t>万元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均为体制资金，同比下降19.1%，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完成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全年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预算的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w w:val="100"/>
          <w:sz w:val="32"/>
          <w:szCs w:val="32"/>
          <w:highlight w:val="none"/>
          <w:u w:val="none" w:color="auto"/>
          <w:lang w:val="en-US" w:eastAsia="zh-CN"/>
        </w:rPr>
        <w:t>56.89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%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w w:val="100"/>
          <w:sz w:val="32"/>
          <w:szCs w:val="32"/>
          <w:highlight w:val="none"/>
          <w:u w:val="none" w:color="auto"/>
          <w:lang w:eastAsia="zh-CN"/>
        </w:rPr>
        <w:t>。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w w:val="100"/>
          <w:sz w:val="32"/>
          <w:szCs w:val="32"/>
          <w:highlight w:val="none"/>
          <w:u w:val="none" w:color="auto"/>
        </w:rPr>
        <w:t>主要用于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w w:val="100"/>
          <w:sz w:val="32"/>
          <w:szCs w:val="32"/>
          <w:highlight w:val="none"/>
          <w:u w:val="none" w:color="auto"/>
          <w:lang w:val="en-US" w:eastAsia="zh-CN"/>
        </w:rPr>
        <w:t>人大代表活动经费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w w:val="100"/>
          <w:sz w:val="32"/>
          <w:szCs w:val="32"/>
          <w:highlight w:val="none"/>
          <w:u w:val="none" w:color="auto"/>
          <w:lang w:eastAsia="zh-CN"/>
        </w:rPr>
        <w:t>，机关在编人员工资及保险，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w w:val="100"/>
          <w:sz w:val="32"/>
          <w:szCs w:val="32"/>
          <w:highlight w:val="none"/>
          <w:u w:val="none" w:color="auto"/>
        </w:rPr>
        <w:t>政府机构运行经费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w w:val="100"/>
          <w:sz w:val="32"/>
          <w:szCs w:val="32"/>
          <w:highlight w:val="none"/>
          <w:u w:val="none" w:color="auto"/>
          <w:lang w:eastAsia="zh-CN"/>
        </w:rPr>
        <w:t>等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w w:val="100"/>
          <w:sz w:val="32"/>
          <w:szCs w:val="32"/>
          <w:highlight w:val="none"/>
          <w:u w:val="none" w:color="auto"/>
          <w:lang w:val="en-US" w:eastAsia="zh-CN"/>
        </w:rPr>
        <w:t>项目的支出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w w:val="100"/>
          <w:sz w:val="32"/>
          <w:szCs w:val="32"/>
          <w:highlight w:val="none"/>
          <w:u w:val="none" w:color="auto"/>
          <w:lang w:eastAsia="zh-CN"/>
        </w:rPr>
        <w:t>。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w w:val="100"/>
          <w:sz w:val="32"/>
          <w:szCs w:val="32"/>
          <w:highlight w:val="none"/>
          <w:u w:val="none" w:color="auto"/>
          <w:lang w:val="en-US" w:eastAsia="zh-CN"/>
        </w:rPr>
        <w:t>其中人大代表活动经费支出15万元。</w:t>
      </w:r>
    </w:p>
    <w:p w14:paraId="23007DBC">
      <w:pPr>
        <w:keepNext w:val="0"/>
        <w:keepLines w:val="0"/>
        <w:pageBreakBefore w:val="0"/>
        <w:widowControl w:val="0"/>
        <w:pBdr>
          <w:bottom w:val="single" w:color="FFFFFF" w:sz="4" w:space="11"/>
        </w:pBdr>
        <w:kinsoku/>
        <w:wordWrap/>
        <w:overflowPunct/>
        <w:topLinePunct w:val="0"/>
        <w:autoSpaceDE/>
        <w:autoSpaceDN/>
        <w:bidi w:val="0"/>
        <w:snapToGrid w:val="0"/>
        <w:spacing w:before="0" w:beforeAutospacing="0" w:after="0" w:afterAutospacing="0" w:line="560" w:lineRule="exact"/>
        <w:ind w:firstLine="640" w:firstLineChars="200"/>
        <w:jc w:val="both"/>
        <w:textAlignment w:val="baseline"/>
        <w:outlineLvl w:val="9"/>
        <w:rPr>
          <w:rFonts w:hint="default" w:ascii="仿宋_GB2312" w:hAnsi="仿宋_GB2312" w:eastAsia="仿宋_GB2312" w:cs="仿宋_GB2312"/>
          <w:b w:val="0"/>
          <w:i w:val="0"/>
          <w:caps w:val="0"/>
          <w:color w:val="auto"/>
          <w:spacing w:val="0"/>
          <w:w w:val="100"/>
          <w:sz w:val="32"/>
          <w:szCs w:val="32"/>
          <w:highlight w:val="yellow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w w:val="100"/>
          <w:sz w:val="32"/>
          <w:szCs w:val="32"/>
          <w:highlight w:val="none"/>
          <w:u w:val="none" w:color="auto"/>
          <w:lang w:val="en-US" w:eastAsia="zh-CN"/>
        </w:rPr>
        <w:t>文化旅游体育与传媒支出352.95万元，均为追加专项资金。主要用于大城子镇村民活动中心恢复重建，大城子镇梯子峪、柏崖、碰河寺村文化活动室及镇文化活动中心维修改造，大城子镇北沟、碰河寺、张庄子三个村文化广场及活动室维修改造等项目的支出。</w:t>
      </w:r>
    </w:p>
    <w:p w14:paraId="54132010">
      <w:pPr>
        <w:keepNext w:val="0"/>
        <w:keepLines w:val="0"/>
        <w:pageBreakBefore w:val="0"/>
        <w:widowControl w:val="0"/>
        <w:pBdr>
          <w:bottom w:val="single" w:color="FFFFFF" w:sz="4" w:space="11"/>
        </w:pBdr>
        <w:kinsoku/>
        <w:wordWrap/>
        <w:overflowPunct/>
        <w:topLinePunct w:val="0"/>
        <w:autoSpaceDE/>
        <w:autoSpaceDN/>
        <w:bidi w:val="0"/>
        <w:snapToGrid w:val="0"/>
        <w:spacing w:before="0" w:beforeAutospacing="0" w:after="0" w:afterAutospacing="0" w:line="560" w:lineRule="exact"/>
        <w:ind w:firstLine="640" w:firstLineChars="200"/>
        <w:jc w:val="both"/>
        <w:textAlignment w:val="baseline"/>
        <w:outlineLvl w:val="9"/>
        <w:rPr>
          <w:rFonts w:hint="default" w:ascii="仿宋_GB2312" w:hAnsi="仿宋_GB2312" w:eastAsia="仿宋_GB2312" w:cs="仿宋_GB2312"/>
          <w:b w:val="0"/>
          <w:i w:val="0"/>
          <w:caps w:val="0"/>
          <w:color w:val="auto"/>
          <w:spacing w:val="0"/>
          <w:w w:val="100"/>
          <w:sz w:val="32"/>
          <w:szCs w:val="32"/>
          <w:highlight w:val="yellow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w w:val="100"/>
          <w:sz w:val="32"/>
          <w:szCs w:val="32"/>
          <w:highlight w:val="none"/>
          <w:u w:val="none" w:color="auto"/>
          <w:lang w:val="en-US" w:eastAsia="zh-CN"/>
        </w:rPr>
        <w:t>社会保障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w w:val="100"/>
          <w:sz w:val="32"/>
          <w:szCs w:val="32"/>
          <w:highlight w:val="none"/>
          <w:u w:val="none" w:color="auto"/>
        </w:rPr>
        <w:t>和就业支出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w w:val="100"/>
          <w:sz w:val="32"/>
          <w:szCs w:val="32"/>
          <w:highlight w:val="none"/>
          <w:u w:val="none" w:color="auto"/>
          <w:lang w:val="en-US" w:eastAsia="zh-CN"/>
        </w:rPr>
        <w:t>577.01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w w:val="100"/>
          <w:sz w:val="32"/>
          <w:szCs w:val="32"/>
          <w:highlight w:val="none"/>
          <w:u w:val="none" w:color="auto"/>
        </w:rPr>
        <w:t>万元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其中体制资金支出388.15万元，完成全年预算的63.29%。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w w:val="100"/>
          <w:sz w:val="32"/>
          <w:szCs w:val="32"/>
          <w:highlight w:val="none"/>
          <w:u w:val="none" w:color="auto"/>
        </w:rPr>
        <w:t>主要用于机关退休人员部分养老补贴，就业服务中心公益岗就业人员报酬补助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w w:val="100"/>
          <w:sz w:val="32"/>
          <w:szCs w:val="32"/>
          <w:highlight w:val="none"/>
          <w:u w:val="none" w:color="auto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w w:val="100"/>
          <w:sz w:val="32"/>
          <w:szCs w:val="32"/>
          <w:highlight w:val="none"/>
          <w:u w:val="none" w:color="auto"/>
          <w:lang w:val="en-US" w:eastAsia="zh-CN"/>
        </w:rPr>
        <w:t>困难群体救助等项目的支出；追加专项资金支出130.21万元，主要用于高校毕业生“三支一扶”计划人员经费，严重精神障碍患者看护补贴，城乡无丧葬补助居民丧葬补贴，防汛期间转移返家老年人床位补贴及居家补贴等项目的支出。</w:t>
      </w:r>
    </w:p>
    <w:p w14:paraId="284F4B87">
      <w:pPr>
        <w:keepNext w:val="0"/>
        <w:keepLines w:val="0"/>
        <w:pageBreakBefore w:val="0"/>
        <w:widowControl w:val="0"/>
        <w:pBdr>
          <w:bottom w:val="single" w:color="FFFFFF" w:sz="4" w:space="11"/>
        </w:pBdr>
        <w:kinsoku/>
        <w:wordWrap/>
        <w:overflowPunct/>
        <w:topLinePunct w:val="0"/>
        <w:autoSpaceDE/>
        <w:autoSpaceDN/>
        <w:bidi w:val="0"/>
        <w:snapToGrid w:val="0"/>
        <w:spacing w:before="0" w:beforeAutospacing="0" w:after="0" w:afterAutospacing="0" w:line="560" w:lineRule="exact"/>
        <w:ind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w w:val="100"/>
          <w:sz w:val="32"/>
          <w:szCs w:val="32"/>
          <w:highlight w:val="yellow"/>
          <w:u w:val="none" w:color="auto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w w:val="100"/>
          <w:sz w:val="32"/>
          <w:szCs w:val="32"/>
          <w:highlight w:val="none"/>
          <w:u w:val="none" w:color="auto"/>
          <w:lang w:val="en-US" w:eastAsia="zh-CN"/>
        </w:rPr>
        <w:t>卫生健康支出187.51万元，均为体制资金，完成全年预算的72.91%。主要用于社会保险缴费，计划生育政策奖励及医疗卫生事务发展等项目的支出。</w:t>
      </w:r>
    </w:p>
    <w:p w14:paraId="2A60D02E">
      <w:pPr>
        <w:keepNext w:val="0"/>
        <w:keepLines w:val="0"/>
        <w:pageBreakBefore w:val="0"/>
        <w:widowControl w:val="0"/>
        <w:pBdr>
          <w:bottom w:val="single" w:color="FFFFFF" w:sz="4" w:space="11"/>
        </w:pBdr>
        <w:kinsoku/>
        <w:wordWrap/>
        <w:overflowPunct/>
        <w:topLinePunct w:val="0"/>
        <w:autoSpaceDE/>
        <w:autoSpaceDN/>
        <w:bidi w:val="0"/>
        <w:snapToGrid w:val="0"/>
        <w:spacing w:before="0" w:beforeAutospacing="0" w:after="0" w:afterAutospacing="0" w:line="560" w:lineRule="exact"/>
        <w:ind w:firstLine="640" w:firstLineChars="200"/>
        <w:jc w:val="both"/>
        <w:textAlignment w:val="baseline"/>
        <w:outlineLvl w:val="9"/>
        <w:rPr>
          <w:rFonts w:hint="default" w:ascii="仿宋_GB2312" w:hAnsi="仿宋_GB2312" w:eastAsia="仿宋_GB2312" w:cs="仿宋_GB2312"/>
          <w:b w:val="0"/>
          <w:i w:val="0"/>
          <w:caps w:val="0"/>
          <w:color w:val="auto"/>
          <w:spacing w:val="0"/>
          <w:w w:val="100"/>
          <w:sz w:val="32"/>
          <w:szCs w:val="32"/>
          <w:highlight w:val="yellow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w w:val="100"/>
          <w:sz w:val="32"/>
          <w:szCs w:val="32"/>
          <w:highlight w:val="none"/>
          <w:u w:val="none" w:color="auto"/>
        </w:rPr>
        <w:t>节能环保支出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w w:val="100"/>
          <w:sz w:val="32"/>
          <w:szCs w:val="32"/>
          <w:highlight w:val="none"/>
          <w:u w:val="none" w:color="auto"/>
          <w:lang w:val="en-US" w:eastAsia="zh-CN"/>
        </w:rPr>
        <w:t>4.38万元，均为追加专项资金。主要用于冬季清洁取暖项目的支出。</w:t>
      </w:r>
    </w:p>
    <w:p w14:paraId="2AFBB6FB">
      <w:pPr>
        <w:keepNext w:val="0"/>
        <w:keepLines w:val="0"/>
        <w:pageBreakBefore w:val="0"/>
        <w:widowControl w:val="0"/>
        <w:pBdr>
          <w:bottom w:val="single" w:color="FFFFFF" w:sz="4" w:space="11"/>
        </w:pBdr>
        <w:kinsoku/>
        <w:wordWrap/>
        <w:overflowPunct/>
        <w:topLinePunct w:val="0"/>
        <w:autoSpaceDE/>
        <w:autoSpaceDN/>
        <w:bidi w:val="0"/>
        <w:snapToGrid w:val="0"/>
        <w:spacing w:before="0" w:beforeAutospacing="0" w:after="0" w:afterAutospacing="0" w:line="560" w:lineRule="exact"/>
        <w:ind w:firstLine="640" w:firstLineChars="200"/>
        <w:jc w:val="both"/>
        <w:textAlignment w:val="baseline"/>
        <w:outlineLvl w:val="9"/>
        <w:rPr>
          <w:rFonts w:hint="default" w:ascii="仿宋_GB2312" w:hAnsi="仿宋_GB2312" w:eastAsia="仿宋_GB2312" w:cs="仿宋_GB2312"/>
          <w:color w:val="auto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w w:val="100"/>
          <w:sz w:val="32"/>
          <w:szCs w:val="32"/>
          <w:highlight w:val="none"/>
          <w:u w:val="none" w:color="auto"/>
        </w:rPr>
        <w:t>城乡社区事务支出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w w:val="100"/>
          <w:sz w:val="32"/>
          <w:szCs w:val="32"/>
          <w:highlight w:val="none"/>
          <w:u w:val="none" w:color="auto"/>
          <w:lang w:val="en-US" w:eastAsia="zh-CN"/>
        </w:rPr>
        <w:t>1880.18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w w:val="100"/>
          <w:sz w:val="32"/>
          <w:szCs w:val="32"/>
          <w:highlight w:val="none"/>
          <w:u w:val="none" w:color="auto"/>
        </w:rPr>
        <w:t>万元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其中体制资金支出1099.82万元，完成全年预算的45.75%，主要用于城乡公共事业发展服务（外包），机关政权建设等项目的支出；</w:t>
      </w:r>
    </w:p>
    <w:p w14:paraId="78DD265F">
      <w:pPr>
        <w:keepNext w:val="0"/>
        <w:keepLines w:val="0"/>
        <w:pageBreakBefore w:val="0"/>
        <w:widowControl w:val="0"/>
        <w:pBdr>
          <w:bottom w:val="single" w:color="FFFFFF" w:sz="4" w:space="11"/>
        </w:pBdr>
        <w:kinsoku/>
        <w:wordWrap/>
        <w:overflowPunct/>
        <w:topLinePunct w:val="0"/>
        <w:autoSpaceDE/>
        <w:autoSpaceDN/>
        <w:bidi w:val="0"/>
        <w:snapToGrid w:val="0"/>
        <w:spacing w:before="0" w:beforeAutospacing="0" w:after="0" w:afterAutospacing="0" w:line="560" w:lineRule="exact"/>
        <w:ind w:firstLine="640" w:firstLineChars="200"/>
        <w:jc w:val="both"/>
        <w:textAlignment w:val="baseline"/>
        <w:outlineLvl w:val="9"/>
        <w:rPr>
          <w:rFonts w:hint="default" w:ascii="仿宋_GB2312" w:hAnsi="仿宋_GB2312" w:eastAsia="仿宋_GB2312" w:cs="仿宋_GB2312"/>
          <w:color w:val="auto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追加专项资金支出780.36万元，主要用于“接诉即办”月考核奖励，“疏解整治促提升”专项行动，重大投资项目规划谋划、密云区东部绿色发展区域综合治理提升等项目的支出。</w:t>
      </w:r>
    </w:p>
    <w:p w14:paraId="6F8891DB">
      <w:pPr>
        <w:keepNext w:val="0"/>
        <w:keepLines w:val="0"/>
        <w:pageBreakBefore w:val="0"/>
        <w:widowControl w:val="0"/>
        <w:pBdr>
          <w:bottom w:val="single" w:color="FFFFFF" w:sz="4" w:space="11"/>
        </w:pBdr>
        <w:kinsoku/>
        <w:wordWrap/>
        <w:overflowPunct/>
        <w:topLinePunct w:val="0"/>
        <w:autoSpaceDE/>
        <w:autoSpaceDN/>
        <w:bidi w:val="0"/>
        <w:snapToGrid w:val="0"/>
        <w:spacing w:before="0" w:beforeAutospacing="0" w:after="0" w:afterAutospacing="0" w:line="560" w:lineRule="exact"/>
        <w:ind w:firstLine="640" w:firstLineChars="200"/>
        <w:jc w:val="both"/>
        <w:textAlignment w:val="baseline"/>
        <w:outlineLvl w:val="9"/>
        <w:rPr>
          <w:rFonts w:hint="default" w:ascii="仿宋_GB2312" w:hAnsi="仿宋_GB2312" w:eastAsia="仿宋_GB2312" w:cs="仿宋_GB2312"/>
          <w:color w:val="auto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农林水支出7790.02万元，其中体制资金支出2006.57万元，完成全年预算的75.26%，主要用于村“两委”干部基本待遇和基本保障，正常离任村党组织书记生活补贴，村级公益事业转移支付，基层党组织群众服务经费等项目的支出；追加专项资金支出5783.45万元，主要用于2025年农村人居环境基础设施灾后恢复重建，密云区大城子镇污水设施水毁修复工程（11项），平原造林工程2026年度市级林木养护资金，高地堡垒应急设备配备，高地堡垒救生衣和发电机储备采购，2025年度首都全民义务植树补助资金，2026年农产品质量安全基层监管能力提升，2025年度野生动物肇事补偿及保护等项目的支出。</w:t>
      </w:r>
    </w:p>
    <w:p w14:paraId="35480540">
      <w:pPr>
        <w:keepNext w:val="0"/>
        <w:keepLines w:val="0"/>
        <w:pageBreakBefore w:val="0"/>
        <w:widowControl w:val="0"/>
        <w:pBdr>
          <w:bottom w:val="single" w:color="FFFFFF" w:sz="4" w:space="11"/>
        </w:pBdr>
        <w:kinsoku/>
        <w:wordWrap/>
        <w:overflowPunct/>
        <w:topLinePunct w:val="0"/>
        <w:autoSpaceDE/>
        <w:autoSpaceDN/>
        <w:bidi w:val="0"/>
        <w:snapToGrid w:val="0"/>
        <w:spacing w:before="0" w:beforeAutospacing="0" w:after="0" w:afterAutospacing="0" w:line="560" w:lineRule="exact"/>
        <w:ind w:firstLine="640" w:firstLineChars="200"/>
        <w:jc w:val="both"/>
        <w:textAlignment w:val="baseline"/>
        <w:outlineLvl w:val="9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交通运输支出133.48万元，均为追加专项资金，主要用于500万以下乡村公路恢复重建项目的支出。</w:t>
      </w:r>
    </w:p>
    <w:p w14:paraId="255568DA">
      <w:pPr>
        <w:keepNext w:val="0"/>
        <w:keepLines w:val="0"/>
        <w:pageBreakBefore w:val="0"/>
        <w:widowControl w:val="0"/>
        <w:pBdr>
          <w:bottom w:val="single" w:color="FFFFFF" w:sz="4" w:space="11"/>
        </w:pBdr>
        <w:kinsoku/>
        <w:wordWrap/>
        <w:overflowPunct/>
        <w:topLinePunct w:val="0"/>
        <w:autoSpaceDE/>
        <w:autoSpaceDN/>
        <w:bidi w:val="0"/>
        <w:snapToGrid w:val="0"/>
        <w:spacing w:before="0" w:beforeAutospacing="0" w:after="0" w:afterAutospacing="0" w:line="560" w:lineRule="exact"/>
        <w:ind w:firstLine="640" w:firstLineChars="200"/>
        <w:jc w:val="both"/>
        <w:textAlignment w:val="baseline"/>
        <w:outlineLvl w:val="9"/>
        <w:rPr>
          <w:rFonts w:hint="default" w:ascii="仿宋_GB2312" w:hAnsi="仿宋_GB2312" w:eastAsia="仿宋_GB2312" w:cs="仿宋_GB2312"/>
          <w:color w:val="auto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住房保障支出161.52万元，均为体制资金，完成全年预算的75.98%，主要用于住房公积金等项目的支出。</w:t>
      </w:r>
    </w:p>
    <w:p w14:paraId="10200B66">
      <w:pPr>
        <w:keepNext w:val="0"/>
        <w:keepLines w:val="0"/>
        <w:pageBreakBefore w:val="0"/>
        <w:widowControl w:val="0"/>
        <w:pBdr>
          <w:bottom w:val="single" w:color="FFFFFF" w:sz="4" w:space="11"/>
        </w:pBdr>
        <w:kinsoku/>
        <w:wordWrap/>
        <w:overflowPunct/>
        <w:topLinePunct w:val="0"/>
        <w:autoSpaceDE/>
        <w:autoSpaceDN/>
        <w:bidi w:val="0"/>
        <w:snapToGrid w:val="0"/>
        <w:spacing w:before="0" w:beforeAutospacing="0" w:after="0" w:afterAutospacing="0" w:line="560" w:lineRule="exact"/>
        <w:ind w:firstLine="640" w:firstLineChars="200"/>
        <w:jc w:val="both"/>
        <w:textAlignment w:val="baseline"/>
        <w:outlineLvl w:val="9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灾害防治及应急管理支出10254.68万元，均为追加专项资金，主要用于极端强降雨洪涝灾害救助资金，密云区2025年乡村公路水毁修复工程（第一批），密云区2025年乡村公路水毁修复工程（第二批），大城子镇山洪沟道水毁修复工程（第一批），大城子镇山洪沟道水毁修复工程（第二批），密云区2026年地质灾害领域一年基本恢复等项目的支出。</w:t>
      </w:r>
    </w:p>
    <w:p w14:paraId="010AC00D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bottom w:val="single" w:color="FFFFFF" w:sz="4" w:space="11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firstLine="640" w:firstLineChars="200"/>
        <w:jc w:val="both"/>
        <w:textAlignment w:val="baseline"/>
        <w:outlineLvl w:val="9"/>
        <w:rPr>
          <w:rFonts w:hint="eastAsia" w:ascii="楷体_GB2312" w:hAnsi="楷体_GB2312" w:eastAsia="楷体_GB2312" w:cs="楷体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highlight w:val="none"/>
          <w:lang w:val="en-US" w:eastAsia="zh-CN"/>
        </w:rPr>
        <w:t>政府性基金预算执行情况</w:t>
      </w:r>
    </w:p>
    <w:p w14:paraId="3650C21A"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bottom w:val="single" w:color="FFFFFF" w:sz="4" w:space="11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上半年，全镇收到上级财政划拨政府性基金预算额度10288.99万元。政府性基金资金支出2793.19万元，主要用于复耕土地流转费，2023年高标准农田建设，冬季清洁取暖，大城子镇农村供水及污水设施改造，大城子镇农村供水设施改造，大城子镇农村基础设施提升及供水设施改造，农村污水处理PPP设施运行维护费等项目的支出。</w:t>
      </w:r>
    </w:p>
    <w:p w14:paraId="13DA6BFE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bottom w:val="single" w:color="FFFFFF" w:sz="4" w:space="11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leftChars="0" w:firstLine="640" w:firstLineChars="200"/>
        <w:jc w:val="both"/>
        <w:textAlignment w:val="baseline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一般债券资金收支情况</w:t>
      </w:r>
    </w:p>
    <w:p w14:paraId="1EE3BAB3"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bottom w:val="single" w:color="FFFFFF" w:sz="4" w:space="11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firstLine="640" w:firstLineChars="200"/>
        <w:jc w:val="both"/>
        <w:textAlignment w:val="baseline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上半年，全镇收到上级划拨一般债券资金用款额度3106.07万元。一般债券资金支出3003.91万元，主要用于大城子镇村民活动中心恢复重建，2026年地质灾害领域一年基本恢复项目，大城子镇供水设施修复工程（15项），大城子镇污水设施水毁修复工程（11项），大城子镇山洪沟道水毁修复工程（第二批）（杨各庄村支流沟）等项目的支出。</w:t>
      </w:r>
    </w:p>
    <w:p w14:paraId="2B7508EC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bottom w:val="single" w:color="FFFFFF" w:sz="4" w:space="11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firstLine="616" w:firstLineChars="200"/>
        <w:jc w:val="both"/>
        <w:textAlignment w:val="baseline"/>
        <w:outlineLvl w:val="9"/>
        <w:rPr>
          <w:rFonts w:hint="eastAsia" w:ascii="黑体" w:hAnsi="黑体" w:eastAsia="黑体" w:cs="黑体"/>
          <w:spacing w:val="-6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spacing w:val="-6"/>
          <w:sz w:val="32"/>
          <w:szCs w:val="32"/>
          <w:highlight w:val="none"/>
          <w:lang w:val="en-US" w:eastAsia="zh-CN"/>
        </w:rPr>
        <w:t>上半年财政重点工作进展情况</w:t>
      </w:r>
    </w:p>
    <w:p w14:paraId="513595F4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bottom w:val="single" w:color="FFFFFF" w:sz="4" w:space="11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firstLine="616" w:firstLineChars="200"/>
        <w:jc w:val="both"/>
        <w:textAlignment w:val="baseline"/>
        <w:outlineLvl w:val="9"/>
        <w:rPr>
          <w:rStyle w:val="12"/>
          <w:rFonts w:hint="eastAsia" w:ascii="仿宋_GB2312" w:hAnsi="仿宋_GB2312" w:eastAsia="仿宋_GB2312" w:cs="仿宋_GB2312"/>
          <w:b w:val="0"/>
          <w:i w:val="0"/>
          <w:caps w:val="0"/>
          <w:spacing w:val="0"/>
          <w:w w:val="1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spacing w:val="-6"/>
          <w:sz w:val="32"/>
          <w:szCs w:val="32"/>
          <w:highlight w:val="none"/>
          <w:lang w:val="en-US" w:eastAsia="zh-CN"/>
        </w:rPr>
        <w:t>稳字当头涵养财源</w:t>
      </w:r>
    </w:p>
    <w:p w14:paraId="1E234AF5"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bottom w:val="single" w:color="FFFFFF" w:sz="4" w:space="11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firstLine="640" w:firstLineChars="200"/>
        <w:jc w:val="both"/>
        <w:textAlignment w:val="baseline"/>
        <w:outlineLvl w:val="9"/>
        <w:rPr>
          <w:rStyle w:val="12"/>
          <w:rFonts w:hint="eastAsia" w:ascii="仿宋_GB2312" w:hAnsi="仿宋_GB2312" w:eastAsia="仿宋_GB2312" w:cs="仿宋_GB2312"/>
          <w:b w:val="0"/>
          <w:i w:val="0"/>
          <w:caps w:val="0"/>
          <w:spacing w:val="0"/>
          <w:w w:val="100"/>
          <w:kern w:val="2"/>
          <w:sz w:val="32"/>
          <w:szCs w:val="32"/>
          <w:highlight w:val="none"/>
          <w:lang w:val="en-US" w:eastAsia="zh-CN" w:bidi="ar-SA"/>
        </w:rPr>
      </w:pPr>
      <w:r>
        <w:rPr>
          <w:rStyle w:val="12"/>
          <w:rFonts w:hint="eastAsia" w:ascii="仿宋_GB2312" w:hAnsi="仿宋_GB2312" w:eastAsia="仿宋_GB2312" w:cs="仿宋_GB2312"/>
          <w:b w:val="0"/>
          <w:i w:val="0"/>
          <w:caps w:val="0"/>
          <w:spacing w:val="0"/>
          <w:w w:val="100"/>
          <w:kern w:val="2"/>
          <w:sz w:val="32"/>
          <w:szCs w:val="32"/>
          <w:highlight w:val="none"/>
          <w:lang w:val="en-US" w:eastAsia="zh-CN" w:bidi="ar-SA"/>
        </w:rPr>
        <w:t>一是积极引进灾后重建施工企业。充分利用灾后重建项目建设契机，成功引进中交路桥华北工程有限公司、北京金河水务建设集团有限公司密云第九分公司、中电建建筑集团有限公司北京密云分公司、中交中南工程局有限公司北京密云分公司等企业，将税收留在大城子镇。二是协调解决企业需求。积极响应企业提出的税务增票、人才落户等诉求，协助梳理申请材料，主动与相关部门协调，解决企业实际困难。三是加强走访与服务。通过实地走访与“服务包”线上反馈相结合的方式，摸排企业经营状况及存在问题，每月月底进行复盘，“向前一步”为企业排忧解难。</w:t>
      </w:r>
    </w:p>
    <w:p w14:paraId="489F7267"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bottom w:val="single" w:color="FFFFFF" w:sz="4" w:space="11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firstLine="616" w:firstLineChars="200"/>
        <w:jc w:val="both"/>
        <w:textAlignment w:val="baseline"/>
        <w:outlineLvl w:val="9"/>
        <w:rPr>
          <w:highlight w:val="none"/>
        </w:rPr>
      </w:pPr>
      <w:r>
        <w:rPr>
          <w:rFonts w:hint="eastAsia" w:ascii="楷体_GB2312" w:hAnsi="楷体_GB2312" w:eastAsia="楷体_GB2312" w:cs="楷体_GB2312"/>
          <w:spacing w:val="-6"/>
          <w:sz w:val="32"/>
          <w:szCs w:val="32"/>
          <w:highlight w:val="none"/>
          <w:lang w:val="en-US" w:eastAsia="zh-CN"/>
        </w:rPr>
        <w:t>（二）精打细算优化支出</w:t>
      </w:r>
    </w:p>
    <w:p w14:paraId="3B545918"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bottom w:val="single" w:color="FFFFFF" w:sz="4" w:space="11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firstLine="640" w:firstLineChars="200"/>
        <w:jc w:val="both"/>
        <w:textAlignment w:val="baseline"/>
        <w:outlineLvl w:val="9"/>
        <w:rPr>
          <w:sz w:val="32"/>
          <w:szCs w:val="32"/>
          <w:highlight w:val="none"/>
        </w:rPr>
      </w:pPr>
      <w:r>
        <w:rPr>
          <w:rFonts w:ascii="仿宋_GB2312" w:hAnsi="仿宋_GB2312" w:eastAsia="仿宋_GB2312" w:cs="仿宋_GB2312"/>
          <w:sz w:val="32"/>
          <w:szCs w:val="32"/>
          <w:highlight w:val="none"/>
        </w:rPr>
        <w:t>一是严格执行部门预算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。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科学测算财政收入，坚持勤俭节约 与深化财税体制改革紧密结合。以《中华人民共和国预算法》为 依据，突出财政预算安排重点，坚持“保工资、保运转、保民生 促发展”的原则和先后顺序，合理安排财政支出。二是优化支出 结构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。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厉行勤俭节约，大力压减一般性支出，降低行政运行成本， 加快民生类重点项目资金拨付，以政府的“紧日子”保障全镇人 民的“好日子”。 </w:t>
      </w:r>
    </w:p>
    <w:p w14:paraId="7E25E170"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bottom w:val="single" w:color="FFFFFF" w:sz="4" w:space="11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firstLine="616" w:firstLineChars="200"/>
        <w:jc w:val="both"/>
        <w:textAlignment w:val="baseline"/>
        <w:outlineLvl w:val="9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spacing w:val="-6"/>
          <w:sz w:val="32"/>
          <w:szCs w:val="32"/>
          <w:highlight w:val="none"/>
          <w:lang w:val="en-US" w:eastAsia="zh-CN"/>
        </w:rPr>
        <w:t>（三）规范管理提升效能</w:t>
      </w:r>
    </w:p>
    <w:p w14:paraId="07B5723C"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bottom w:val="single" w:color="FFFFFF" w:sz="4" w:space="11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firstLine="640" w:firstLineChars="200"/>
        <w:jc w:val="both"/>
        <w:textAlignment w:val="baseline"/>
        <w:outlineLvl w:val="9"/>
        <w:rPr>
          <w:rFonts w:hint="default" w:ascii="Times New Roman Regular" w:hAnsi="Times New Roman Regular" w:eastAsia="仿宋_GB2312" w:cs="Times New Roman Regular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</w:pPr>
      <w:r>
        <w:rPr>
          <w:rFonts w:hint="default" w:ascii="Times New Roman Regular" w:hAnsi="Times New Roman Regular" w:eastAsia="仿宋_GB2312" w:cs="Times New Roman Regular"/>
          <w:b w:val="0"/>
          <w:bCs w:val="0"/>
          <w:color w:val="auto"/>
          <w:sz w:val="32"/>
          <w:szCs w:val="32"/>
          <w:highlight w:val="none"/>
          <w:lang w:val="en-US" w:eastAsia="zh-CN"/>
        </w:rPr>
        <w:t>一是遵守</w:t>
      </w:r>
      <w:r>
        <w:rPr>
          <w:rFonts w:hint="default" w:ascii="Times New Roman Regular" w:hAnsi="Times New Roman Regular" w:eastAsia="仿宋_GB2312" w:cs="Times New Roman Regular"/>
          <w:b w:val="0"/>
          <w:bCs w:val="0"/>
          <w:color w:val="auto"/>
          <w:sz w:val="32"/>
          <w:szCs w:val="32"/>
          <w:highlight w:val="none"/>
          <w:lang w:eastAsia="zh-CN"/>
        </w:rPr>
        <w:t>制度确保规范</w:t>
      </w:r>
      <w:r>
        <w:rPr>
          <w:rFonts w:hint="default" w:ascii="Times New Roman Regular" w:hAnsi="Times New Roman Regular" w:eastAsia="仿宋_GB2312" w:cs="Times New Roman Regular"/>
          <w:b w:val="0"/>
          <w:bCs w:val="0"/>
          <w:color w:val="auto"/>
          <w:sz w:val="32"/>
          <w:szCs w:val="32"/>
          <w:highlight w:val="none"/>
        </w:rPr>
        <w:t>。</w:t>
      </w:r>
      <w:r>
        <w:rPr>
          <w:rFonts w:hint="default" w:ascii="Times New Roman Regular" w:hAnsi="Times New Roman Regular" w:eastAsia="仿宋_GB2312" w:cs="Times New Roman Regular"/>
          <w:b w:val="0"/>
          <w:bCs w:val="0"/>
          <w:color w:val="auto"/>
          <w:sz w:val="32"/>
          <w:szCs w:val="32"/>
          <w:highlight w:val="none"/>
          <w:lang w:val="en-US" w:eastAsia="zh-CN"/>
        </w:rPr>
        <w:t>认真学习并严格遵守《北京市密云区</w:t>
      </w:r>
      <w:r>
        <w:rPr>
          <w:rFonts w:hint="eastAsia" w:ascii="Times New Roman Regular" w:hAnsi="Times New Roman Regular" w:eastAsia="仿宋_GB2312" w:cs="Times New Roman Regular"/>
          <w:b w:val="0"/>
          <w:bCs w:val="0"/>
          <w:color w:val="auto"/>
          <w:sz w:val="32"/>
          <w:szCs w:val="32"/>
          <w:highlight w:val="none"/>
          <w:lang w:val="en-US" w:eastAsia="zh-CN"/>
        </w:rPr>
        <w:t>党政机关公务用车管理办法（试行）</w:t>
      </w:r>
      <w:r>
        <w:rPr>
          <w:rFonts w:hint="default" w:ascii="Times New Roman Regular" w:hAnsi="Times New Roman Regular" w:eastAsia="仿宋_GB2312" w:cs="Times New Roman Regular"/>
          <w:b w:val="0"/>
          <w:bCs w:val="0"/>
          <w:color w:val="auto"/>
          <w:sz w:val="32"/>
          <w:szCs w:val="32"/>
          <w:highlight w:val="none"/>
          <w:lang w:val="en-US" w:eastAsia="zh-CN"/>
        </w:rPr>
        <w:t>》</w:t>
      </w:r>
      <w:r>
        <w:rPr>
          <w:rFonts w:hint="eastAsia" w:ascii="Times New Roman Regular" w:hAnsi="Times New Roman Regular" w:eastAsia="仿宋_GB2312" w:cs="Times New Roman Regular"/>
          <w:b w:val="0"/>
          <w:bCs w:val="0"/>
          <w:color w:val="auto"/>
          <w:sz w:val="32"/>
          <w:szCs w:val="32"/>
          <w:highlight w:val="none"/>
          <w:lang w:val="en-US" w:eastAsia="zh-CN"/>
        </w:rPr>
        <w:t>制度，以制度促规范，以制度管长远，进一步筑牢财政资金管理规范化基础。</w:t>
      </w:r>
      <w:r>
        <w:rPr>
          <w:rFonts w:hint="default" w:ascii="Times New Roman Regular" w:hAnsi="Times New Roman Regular" w:eastAsia="仿宋_GB2312" w:cs="Times New Roman Regular"/>
          <w:b w:val="0"/>
          <w:bCs w:val="0"/>
          <w:color w:val="auto"/>
          <w:sz w:val="32"/>
          <w:szCs w:val="32"/>
          <w:highlight w:val="none"/>
          <w:lang w:eastAsia="zh-CN"/>
        </w:rPr>
        <w:t>二是</w:t>
      </w:r>
      <w:r>
        <w:rPr>
          <w:rFonts w:hint="eastAsia" w:ascii="Times New Roman Regular" w:hAnsi="Times New Roman Regular" w:eastAsia="仿宋_GB2312" w:cs="Times New Roman Regular"/>
          <w:b w:val="0"/>
          <w:bCs w:val="0"/>
          <w:color w:val="auto"/>
          <w:sz w:val="32"/>
          <w:szCs w:val="32"/>
          <w:highlight w:val="none"/>
          <w:lang w:val="en-US" w:eastAsia="zh-CN"/>
        </w:rPr>
        <w:t>推进非税收入收缴电子化。通过实现非税收入收缴全流程数字化、无纸化、网络化，充分发挥便民利民作用，助力营商环境再上新台阶。</w:t>
      </w:r>
    </w:p>
    <w:p w14:paraId="17B6E6ED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bottom w:val="single" w:color="FFFFFF" w:sz="4" w:space="11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leftChars="0" w:firstLine="640" w:firstLineChars="200"/>
        <w:jc w:val="both"/>
        <w:textAlignment w:val="baseline"/>
        <w:outlineLvl w:val="9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下半年财政工作重点</w:t>
      </w:r>
    </w:p>
    <w:p w14:paraId="3CAFCD27"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bottom w:val="single" w:color="FFFFFF" w:sz="4" w:space="11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color w:val="auto"/>
          <w:spacing w:val="-6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下半年，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镇政府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对标对表全年各项任务目标抓好落实，坚持以增收为导向、以存量为支撑、以增量为动力的发展理念，围绕财源建设、</w:t>
      </w:r>
      <w:r>
        <w:rPr>
          <w:rFonts w:hint="eastAsia" w:ascii="仿宋_GB2312" w:hAnsi="仿宋_GB2312" w:eastAsia="仿宋_GB2312" w:cs="仿宋_GB2312"/>
          <w:color w:val="auto"/>
          <w:spacing w:val="-6"/>
          <w:sz w:val="32"/>
          <w:szCs w:val="32"/>
          <w:highlight w:val="none"/>
          <w:lang w:eastAsia="zh-CN"/>
        </w:rPr>
        <w:t>财政管理、风险防范</w:t>
      </w:r>
      <w:r>
        <w:rPr>
          <w:rFonts w:hint="eastAsia" w:ascii="仿宋_GB2312" w:hAnsi="仿宋_GB2312" w:eastAsia="仿宋_GB2312" w:cs="仿宋_GB2312"/>
          <w:color w:val="auto"/>
          <w:spacing w:val="-6"/>
          <w:sz w:val="32"/>
          <w:szCs w:val="32"/>
          <w:highlight w:val="none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color w:val="auto"/>
          <w:spacing w:val="-6"/>
          <w:sz w:val="32"/>
          <w:szCs w:val="32"/>
          <w:highlight w:val="none"/>
          <w:lang w:eastAsia="zh-CN"/>
        </w:rPr>
        <w:t>个方面持续发力，确保各项任务圆满收官。</w:t>
      </w:r>
    </w:p>
    <w:p w14:paraId="4E5F534E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bottom w:val="single" w:color="FFFFFF" w:sz="4" w:space="11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firstLine="640" w:firstLineChars="200"/>
        <w:jc w:val="both"/>
        <w:textAlignment w:val="baseline"/>
        <w:outlineLvl w:val="9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全力以赴聚财力促发展</w:t>
      </w:r>
    </w:p>
    <w:p w14:paraId="077810DA"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bottom w:val="single" w:color="FFFFFF" w:sz="4" w:space="11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firstLine="640" w:firstLineChars="200"/>
        <w:jc w:val="both"/>
        <w:textAlignment w:val="baseline"/>
        <w:outlineLvl w:val="9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加大招商引资工作力度，引进更多优质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企业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，增强全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镇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财源建设基础。全面梳理全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镇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财源建设数据信息，为决策提供可靠数据依据，提升全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镇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财源建设工作水平，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为完成全年财政收入任务提供财力支撑。</w:t>
      </w:r>
    </w:p>
    <w:p w14:paraId="1CBD4075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bottom w:val="single" w:color="FFFFFF" w:sz="4" w:space="11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leftChars="0" w:firstLine="640" w:firstLineChars="200"/>
        <w:jc w:val="both"/>
        <w:textAlignment w:val="baseline"/>
        <w:outlineLvl w:val="9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强化管理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highlight w:val="none"/>
          <w:lang w:eastAsia="zh-CN"/>
        </w:rPr>
        <w:t>提效能稳运行</w:t>
      </w:r>
    </w:p>
    <w:p w14:paraId="19C3D452"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bottom w:val="single" w:color="FFFFFF" w:sz="4" w:space="11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严格预算执行，增强预算刚性约束，加强预算资金管理，严把支出关口。持续推进全成本预算绩效管理改革，对项目实施每一个环节、流程、步骤、细节开展全成本分析，提高管控精细度。</w:t>
      </w:r>
    </w:p>
    <w:p w14:paraId="08FE5D7D"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bottom w:val="single" w:color="FFFFFF" w:sz="4" w:space="11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firstLine="640" w:firstLineChars="200"/>
        <w:jc w:val="both"/>
        <w:textAlignment w:val="baseline"/>
        <w:outlineLvl w:val="9"/>
        <w:rPr>
          <w:rFonts w:hint="default" w:ascii="楷体_GB2312" w:hAnsi="楷体_GB2312" w:eastAsia="楷体_GB2312" w:cs="楷体_GB2312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三）坚定不移强监管防风险</w:t>
      </w:r>
    </w:p>
    <w:p w14:paraId="1C6155CF"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bottom w:val="single" w:color="FFFFFF" w:sz="4" w:space="11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yellow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加大财会监督力度，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把握下半年开展内部审计工作的契机，对近一年凭证进行严格审查，根据审计提出的整改意见，对存在问题认真进行整改，严肃财经纪律，打击财会违法行为，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让财经纪律成为不可触碰的“高压线”。</w:t>
      </w:r>
    </w:p>
    <w:p w14:paraId="6E980EA3"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bottom w:val="single" w:color="FFFFFF" w:sz="4" w:space="11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以上报告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，提请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大会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审议。</w:t>
      </w:r>
    </w:p>
    <w:p w14:paraId="28846994">
      <w:pPr>
        <w:rPr>
          <w:highlight w:val="yellow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2098" w:right="1474" w:bottom="1984" w:left="1588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imes New Roman Regular">
    <w:altName w:val="Times New Roman"/>
    <w:panose1 w:val="02020503050405090304"/>
    <w:charset w:val="00"/>
    <w:family w:val="auto"/>
    <w:pitch w:val="default"/>
    <w:sig w:usb0="00000000" w:usb1="00000000" w:usb2="00000001" w:usb3="00000000" w:csb0="400001BF" w:csb1="DF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ADCF04">
    <w:pPr>
      <w:pStyle w:val="3"/>
      <w:framePr w:wrap="around" w:vAnchor="text" w:hAnchor="margin" w:xAlign="outside" w:y="1"/>
      <w:rPr>
        <w:rStyle w:val="9"/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Style w:val="9"/>
        <w:rFonts w:ascii="宋体" w:hAnsi="宋体"/>
        <w:sz w:val="28"/>
        <w:szCs w:val="28"/>
      </w:rPr>
      <w:instrText xml:space="preserve">PAGE  </w:instrText>
    </w:r>
    <w:r>
      <w:rPr>
        <w:rFonts w:ascii="宋体" w:hAnsi="宋体"/>
        <w:sz w:val="28"/>
        <w:szCs w:val="28"/>
      </w:rPr>
      <w:fldChar w:fldCharType="separate"/>
    </w:r>
    <w:r>
      <w:rPr>
        <w:rStyle w:val="9"/>
        <w:rFonts w:ascii="宋体" w:hAnsi="宋体"/>
        <w:sz w:val="28"/>
        <w:szCs w:val="28"/>
      </w:rPr>
      <w:t>- 2 -</w:t>
    </w:r>
    <w:r>
      <w:rPr>
        <w:rFonts w:ascii="宋体" w:hAnsi="宋体"/>
        <w:sz w:val="28"/>
        <w:szCs w:val="28"/>
      </w:rPr>
      <w:fldChar w:fldCharType="end"/>
    </w:r>
  </w:p>
  <w:p w14:paraId="3C5C372F">
    <w:pPr>
      <w:pStyle w:val="3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512057">
    <w:pPr>
      <w:pStyle w:val="3"/>
      <w:framePr w:wrap="around" w:vAnchor="text" w:hAnchor="margin" w:xAlign="outside" w:y="1"/>
      <w:rPr>
        <w:rStyle w:val="9"/>
      </w:rPr>
    </w:pPr>
    <w:r>
      <w:fldChar w:fldCharType="begin"/>
    </w:r>
    <w:r>
      <w:rPr>
        <w:rStyle w:val="9"/>
      </w:rPr>
      <w:instrText xml:space="preserve">PAGE  </w:instrText>
    </w:r>
    <w:r>
      <w:fldChar w:fldCharType="end"/>
    </w:r>
  </w:p>
  <w:p w14:paraId="144B8157">
    <w:pPr>
      <w:pStyle w:val="3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C52594">
    <w:pPr>
      <w:pStyle w:val="4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7BCBF1E"/>
    <w:multiLevelType w:val="singleLevel"/>
    <w:tmpl w:val="B7BCBF1E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4D0A2209"/>
    <w:multiLevelType w:val="singleLevel"/>
    <w:tmpl w:val="4D0A2209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767B3656"/>
    <w:multiLevelType w:val="singleLevel"/>
    <w:tmpl w:val="767B3656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3">
    <w:nsid w:val="7F7E67CD"/>
    <w:multiLevelType w:val="singleLevel"/>
    <w:tmpl w:val="7F7E67CD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3OTA5N2MzYWFiYzAwNTg4YzQ4YTMwYjBjNGUzMmMifQ=="/>
  </w:docVars>
  <w:rsids>
    <w:rsidRoot w:val="08FC796D"/>
    <w:rsid w:val="04D654B3"/>
    <w:rsid w:val="05FF7BE9"/>
    <w:rsid w:val="08FC796D"/>
    <w:rsid w:val="0AB30ABE"/>
    <w:rsid w:val="0B973DB0"/>
    <w:rsid w:val="1BA34D44"/>
    <w:rsid w:val="1D8B62DB"/>
    <w:rsid w:val="1EBB25D6"/>
    <w:rsid w:val="24507394"/>
    <w:rsid w:val="322237A2"/>
    <w:rsid w:val="357D65D2"/>
    <w:rsid w:val="372B1F85"/>
    <w:rsid w:val="38D022E2"/>
    <w:rsid w:val="3AC840CA"/>
    <w:rsid w:val="3DD32D37"/>
    <w:rsid w:val="3DDE05DB"/>
    <w:rsid w:val="3F2F3033"/>
    <w:rsid w:val="3F5922BE"/>
    <w:rsid w:val="45230C4C"/>
    <w:rsid w:val="5506083B"/>
    <w:rsid w:val="55264417"/>
    <w:rsid w:val="55636AD8"/>
    <w:rsid w:val="57EE0489"/>
    <w:rsid w:val="5BAC11CB"/>
    <w:rsid w:val="5C894B1F"/>
    <w:rsid w:val="5F45245C"/>
    <w:rsid w:val="60777FB1"/>
    <w:rsid w:val="64BF393E"/>
    <w:rsid w:val="67D2638B"/>
    <w:rsid w:val="68D5551F"/>
    <w:rsid w:val="6E73DF80"/>
    <w:rsid w:val="71417B8A"/>
    <w:rsid w:val="76F724D9"/>
    <w:rsid w:val="7C757E8C"/>
    <w:rsid w:val="D4B400CE"/>
    <w:rsid w:val="FDFB3302"/>
    <w:rsid w:val="FEB7993D"/>
    <w:rsid w:val="FF0FA37B"/>
    <w:rsid w:val="FFDF0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qFormat="1" w:uiPriority="99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index 9"/>
    <w:basedOn w:val="1"/>
    <w:next w:val="1"/>
    <w:unhideWhenUsed/>
    <w:qFormat/>
    <w:uiPriority w:val="99"/>
    <w:pPr>
      <w:ind w:firstLine="0" w:firstLineChars="0"/>
      <w:jc w:val="left"/>
    </w:p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page number"/>
    <w:basedOn w:val="8"/>
    <w:qFormat/>
    <w:uiPriority w:val="0"/>
  </w:style>
  <w:style w:type="paragraph" w:customStyle="1" w:styleId="10">
    <w:name w:val="目录 11"/>
    <w:next w:val="1"/>
    <w:qFormat/>
    <w:uiPriority w:val="0"/>
    <w:pPr>
      <w:wordWrap w:val="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customStyle="1" w:styleId="11">
    <w:name w:val="Char"/>
    <w:basedOn w:val="1"/>
    <w:qFormat/>
    <w:uiPriority w:val="0"/>
    <w:rPr>
      <w:rFonts w:ascii="宋体" w:hAnsi="宋体" w:cs="Courier New"/>
      <w:sz w:val="32"/>
      <w:szCs w:val="32"/>
    </w:rPr>
  </w:style>
  <w:style w:type="character" w:customStyle="1" w:styleId="12">
    <w:name w:val="NormalCharacter"/>
    <w:semiHidden/>
    <w:qFormat/>
    <w:uiPriority w:val="0"/>
    <w:rPr>
      <w:kern w:val="2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6d034288-6f73-480c-9c06-dfd35a8fdef6</errorID>
      <errorWord>供</errorWord>
      <group>L1_Word</group>
      <groupName>字词问题</groupName>
      <ability>L2_Typo</ability>
      <abilityName>字词错误</abilityName>
      <candidateList>
        <item>供了</item>
      </candidateList>
      <explain/>
      <paraID>615909F9</paraID>
      <start>74</start>
      <end>75</end>
      <status>ignored</status>
      <modifiedWord/>
      <trackRevisions>false</trackRevisions>
    </reviewItem>
    <reviewItem>
      <errorID>8826564c-1f90-4386-8951-cbadbbc0dfca</errorID>
      <errorWord>500万以下</errorWord>
      <group>L1_Word</group>
      <groupName>字词问题</groupName>
      <ability>L2_Typo</ability>
      <abilityName>字词错误</abilityName>
      <candidateList>
        <item>500万元以下</item>
      </candidateList>
      <explain/>
      <paraID>35480540</paraID>
      <start>28</start>
      <end>34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965fdf9e-fea2-4219-8e4b-873caf4c320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3076</Words>
  <Characters>3466</Characters>
  <Lines>0</Lines>
  <Paragraphs>0</Paragraphs>
  <TotalTime>122</TotalTime>
  <ScaleCrop>false</ScaleCrop>
  <LinksUpToDate>false</LinksUpToDate>
  <CharactersWithSpaces>3475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2024-07-17T18:11:00Z</dcterms:created>
  <dc:creator>江卓殊</dc:creator>
  <cp:lastModifiedBy>江卓殊</cp:lastModifiedBy>
  <dcterms:modified xsi:type="dcterms:W3CDTF">2026-09-08T02:31:20Z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D0937B5AB47E4C18A51027EC23CB149E_11</vt:lpwstr>
  </property>
  <property fmtid="{D5CDD505-2E9C-101B-9397-08002B2CF9AE}" pid="4" name="KSOTemplateDocerSaveRecord">
    <vt:lpwstr>eyJoZGlkIjoiZGI3OTA5N2MzYWFiYzAwNTg4YzQ4YTMwYjBjNGUzMmMiLCJ1c2VySWQiOiIyNDQ2MDUzMzkifQ==</vt:lpwstr>
  </property>
</Properties>
</file>