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sz w:val="32"/>
          <w:szCs w:val="32"/>
        </w:rPr>
      </w:pPr>
    </w:p>
    <w:p>
      <w:pPr>
        <w:jc w:val="center"/>
        <w:rPr>
          <w:rFonts w:ascii="黑体" w:eastAsia="黑体"/>
          <w:sz w:val="72"/>
          <w:szCs w:val="72"/>
        </w:rPr>
      </w:pPr>
    </w:p>
    <w:p>
      <w:pPr>
        <w:jc w:val="center"/>
        <w:rPr>
          <w:rFonts w:ascii="黑体" w:eastAsia="黑体"/>
          <w:sz w:val="72"/>
          <w:szCs w:val="72"/>
        </w:rPr>
      </w:pPr>
    </w:p>
    <w:p>
      <w:pPr>
        <w:jc w:val="center"/>
        <w:rPr>
          <w:rFonts w:hint="default" w:ascii="黑体" w:eastAsia="黑体"/>
          <w:sz w:val="72"/>
          <w:szCs w:val="72"/>
          <w:lang w:val="en-US" w:eastAsia="zh-CN"/>
        </w:rPr>
      </w:pPr>
      <w:r>
        <w:rPr>
          <w:rFonts w:hint="eastAsia" w:ascii="黑体" w:eastAsia="黑体"/>
          <w:sz w:val="72"/>
          <w:szCs w:val="72"/>
          <w:lang w:val="en-US" w:eastAsia="zh-CN"/>
        </w:rPr>
        <w:t>北京市密云区太师屯镇人民政府</w:t>
      </w:r>
    </w:p>
    <w:p>
      <w:pPr>
        <w:jc w:val="center"/>
        <w:rPr>
          <w:rFonts w:ascii="黑体" w:eastAsia="黑体"/>
          <w:sz w:val="72"/>
          <w:szCs w:val="72"/>
        </w:rPr>
      </w:pPr>
      <w:r>
        <w:rPr>
          <w:rFonts w:hint="eastAsia" w:ascii="黑体" w:eastAsia="黑体"/>
          <w:sz w:val="72"/>
          <w:szCs w:val="72"/>
        </w:rPr>
        <w:t>2024年度部门决算草案</w:t>
      </w:r>
    </w:p>
    <w:p>
      <w:pPr>
        <w:rPr>
          <w:rFonts w:hint="eastAsia"/>
        </w:rPr>
      </w:pPr>
      <w:r>
        <w:rPr>
          <w:rFonts w:hint="eastAsia" w:ascii="宋体" w:hAnsi="宋体" w:cs="宋体"/>
          <w:b/>
          <w:bCs/>
          <w:kern w:val="0"/>
          <w:sz w:val="44"/>
          <w:szCs w:val="36"/>
        </w:rPr>
        <w:br w:type="page"/>
      </w:r>
    </w:p>
    <w:p>
      <w:pPr>
        <w:spacing w:line="500" w:lineRule="exact"/>
        <w:ind w:firstLine="645"/>
        <w:jc w:val="center"/>
        <w:rPr>
          <w:rFonts w:ascii="宋体" w:hAnsi="宋体" w:cs="宋体"/>
          <w:b/>
          <w:bCs/>
          <w:kern w:val="0"/>
          <w:sz w:val="44"/>
          <w:szCs w:val="36"/>
        </w:rPr>
      </w:pPr>
      <w:r>
        <w:rPr>
          <w:rFonts w:hint="eastAsia" w:ascii="宋体" w:hAnsi="宋体" w:cs="宋体"/>
          <w:b/>
          <w:bCs/>
          <w:kern w:val="0"/>
          <w:sz w:val="44"/>
          <w:szCs w:val="36"/>
        </w:rPr>
        <w:t>目    录</w:t>
      </w:r>
    </w:p>
    <w:p>
      <w:pPr>
        <w:spacing w:line="500" w:lineRule="exact"/>
        <w:ind w:firstLine="645"/>
        <w:jc w:val="center"/>
        <w:rPr>
          <w:rFonts w:ascii="宋体" w:hAnsi="宋体" w:cs="宋体"/>
          <w:b/>
          <w:bCs/>
          <w:kern w:val="0"/>
          <w:sz w:val="36"/>
          <w:szCs w:val="36"/>
        </w:rPr>
      </w:pPr>
    </w:p>
    <w:p>
      <w:pPr>
        <w:tabs>
          <w:tab w:val="center" w:pos="6979"/>
        </w:tabs>
        <w:spacing w:line="500" w:lineRule="exact"/>
        <w:ind w:firstLine="1600" w:firstLineChars="400"/>
        <w:jc w:val="left"/>
        <w:rPr>
          <w:rFonts w:ascii="宋体" w:hAnsi="宋体" w:cs="宋体"/>
          <w:bCs/>
          <w:spacing w:val="40"/>
          <w:kern w:val="0"/>
          <w:sz w:val="32"/>
          <w:szCs w:val="32"/>
        </w:rPr>
      </w:pPr>
      <w:r>
        <w:rPr>
          <w:rFonts w:hint="eastAsia" w:ascii="宋体" w:hAnsi="宋体" w:cs="宋体"/>
          <w:bCs/>
          <w:spacing w:val="40"/>
          <w:kern w:val="0"/>
          <w:sz w:val="32"/>
          <w:szCs w:val="32"/>
        </w:rPr>
        <w:t>第一部分 2024年度部门决算报表</w:t>
      </w:r>
    </w:p>
    <w:p>
      <w:pPr>
        <w:tabs>
          <w:tab w:val="center" w:pos="6979"/>
        </w:tabs>
        <w:spacing w:line="500" w:lineRule="exact"/>
        <w:ind w:firstLine="2400" w:firstLineChars="600"/>
        <w:jc w:val="left"/>
        <w:rPr>
          <w:rFonts w:ascii="仿宋_GB2312" w:hAnsi="仿宋" w:eastAsia="仿宋_GB2312"/>
          <w:spacing w:val="40"/>
          <w:sz w:val="32"/>
          <w:szCs w:val="32"/>
        </w:rPr>
      </w:pPr>
      <w:r>
        <w:rPr>
          <w:rFonts w:hint="eastAsia" w:ascii="仿宋_GB2312" w:hAnsi="仿宋" w:eastAsia="仿宋_GB2312" w:cs="宋体"/>
          <w:bCs/>
          <w:spacing w:val="40"/>
          <w:kern w:val="0"/>
          <w:sz w:val="32"/>
          <w:szCs w:val="32"/>
        </w:rPr>
        <w:t>一、收入支出决算总表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二、收入决算表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三、支出决算表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四、财政拨款收入支出决算总表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五、一般公共预算财政拨款收入支出决算表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六、一般公共预算财政拨款支出决算表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七、一般公共预算财政拨款</w:t>
      </w:r>
      <w:r>
        <w:rPr>
          <w:rFonts w:ascii="仿宋_GB2312" w:hAnsi="仿宋" w:eastAsia="仿宋_GB2312" w:cs="宋体"/>
          <w:bCs/>
          <w:spacing w:val="40"/>
          <w:kern w:val="0"/>
          <w:sz w:val="32"/>
          <w:szCs w:val="32"/>
        </w:rPr>
        <w:t>基本支出决算表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八</w:t>
      </w:r>
      <w:r>
        <w:rPr>
          <w:rFonts w:ascii="仿宋_GB2312" w:hAnsi="仿宋" w:eastAsia="仿宋_GB2312" w:cs="宋体"/>
          <w:bCs/>
          <w:spacing w:val="40"/>
          <w:kern w:val="0"/>
          <w:sz w:val="32"/>
          <w:szCs w:val="32"/>
        </w:rPr>
        <w:t>、</w:t>
      </w:r>
      <w:r>
        <w:rPr>
          <w:rFonts w:hint="eastAsia" w:ascii="仿宋_GB2312" w:hAnsi="仿宋" w:eastAsia="仿宋_GB2312" w:cs="宋体"/>
          <w:bCs/>
          <w:spacing w:val="40"/>
          <w:kern w:val="0"/>
          <w:sz w:val="32"/>
          <w:szCs w:val="32"/>
        </w:rPr>
        <w:t>政府性基金预算财政拨款收入支出决算表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九、</w:t>
      </w:r>
      <w:r>
        <w:rPr>
          <w:rFonts w:ascii="仿宋_GB2312" w:hAnsi="仿宋" w:eastAsia="仿宋_GB2312" w:cs="宋体"/>
          <w:bCs/>
          <w:spacing w:val="40"/>
          <w:kern w:val="0"/>
          <w:sz w:val="32"/>
          <w:szCs w:val="32"/>
        </w:rPr>
        <w:t>政府性基金</w:t>
      </w:r>
      <w:r>
        <w:rPr>
          <w:rFonts w:hint="eastAsia" w:ascii="仿宋_GB2312" w:hAnsi="仿宋" w:eastAsia="仿宋_GB2312" w:cs="宋体"/>
          <w:bCs/>
          <w:spacing w:val="40"/>
          <w:kern w:val="0"/>
          <w:sz w:val="32"/>
          <w:szCs w:val="32"/>
        </w:rPr>
        <w:t>预算</w:t>
      </w:r>
      <w:r>
        <w:rPr>
          <w:rFonts w:ascii="仿宋_GB2312" w:hAnsi="仿宋" w:eastAsia="仿宋_GB2312" w:cs="宋体"/>
          <w:bCs/>
          <w:spacing w:val="40"/>
          <w:kern w:val="0"/>
          <w:sz w:val="32"/>
          <w:szCs w:val="32"/>
        </w:rPr>
        <w:t>财政拨款基本支出决算表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十、国有资本经营预算财政拨款支出决算表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十一、财政拨款“三公”经费支出决算表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十二、政府采购情况表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十三、政府购买服务决算公开情况表</w:t>
      </w:r>
    </w:p>
    <w:p>
      <w:pPr>
        <w:tabs>
          <w:tab w:val="center" w:pos="6979"/>
        </w:tabs>
        <w:spacing w:line="500" w:lineRule="exact"/>
        <w:ind w:firstLine="1600" w:firstLineChars="400"/>
        <w:jc w:val="left"/>
        <w:rPr>
          <w:rFonts w:ascii="宋体" w:hAnsi="宋体" w:cs="宋体"/>
          <w:bCs/>
          <w:spacing w:val="40"/>
          <w:kern w:val="0"/>
          <w:sz w:val="32"/>
          <w:szCs w:val="32"/>
        </w:rPr>
      </w:pPr>
      <w:r>
        <w:rPr>
          <w:rFonts w:hint="eastAsia" w:ascii="宋体" w:hAnsi="宋体" w:cs="宋体"/>
          <w:bCs/>
          <w:spacing w:val="40"/>
          <w:kern w:val="0"/>
          <w:sz w:val="32"/>
          <w:szCs w:val="32"/>
        </w:rPr>
        <w:t xml:space="preserve">第二部分 </w:t>
      </w:r>
      <w:r>
        <w:rPr>
          <w:rFonts w:hint="eastAsia" w:ascii="宋体" w:hAnsi="宋体"/>
          <w:spacing w:val="40"/>
          <w:sz w:val="32"/>
          <w:szCs w:val="32"/>
        </w:rPr>
        <w:t>2024年度部门决算说明</w:t>
      </w:r>
    </w:p>
    <w:p>
      <w:pPr>
        <w:tabs>
          <w:tab w:val="center" w:pos="6979"/>
        </w:tabs>
        <w:spacing w:line="500" w:lineRule="exact"/>
        <w:ind w:firstLine="1600" w:firstLineChars="400"/>
        <w:jc w:val="left"/>
        <w:rPr>
          <w:rFonts w:ascii="宋体" w:hAnsi="宋体" w:cs="宋体"/>
          <w:spacing w:val="40"/>
          <w:kern w:val="0"/>
          <w:sz w:val="32"/>
          <w:szCs w:val="32"/>
        </w:rPr>
      </w:pPr>
      <w:r>
        <w:rPr>
          <w:rFonts w:hint="eastAsia" w:ascii="宋体" w:hAnsi="宋体" w:cs="宋体"/>
          <w:bCs/>
          <w:spacing w:val="40"/>
          <w:kern w:val="0"/>
          <w:sz w:val="32"/>
          <w:szCs w:val="32"/>
        </w:rPr>
        <w:t xml:space="preserve">第三部分 </w:t>
      </w:r>
      <w:r>
        <w:rPr>
          <w:rFonts w:hint="eastAsia" w:ascii="宋体" w:hAnsi="宋体"/>
          <w:spacing w:val="40"/>
          <w:sz w:val="32"/>
          <w:szCs w:val="32"/>
        </w:rPr>
        <w:t>2024年度</w:t>
      </w:r>
      <w:r>
        <w:rPr>
          <w:rFonts w:hint="eastAsia" w:ascii="宋体" w:hAnsi="宋体" w:cs="宋体"/>
          <w:spacing w:val="40"/>
          <w:kern w:val="0"/>
          <w:sz w:val="32"/>
          <w:szCs w:val="32"/>
        </w:rPr>
        <w:t>其他重要事项的情况说明</w:t>
      </w:r>
    </w:p>
    <w:p>
      <w:pPr>
        <w:tabs>
          <w:tab w:val="center" w:pos="6979"/>
        </w:tabs>
        <w:spacing w:line="500" w:lineRule="exact"/>
        <w:ind w:firstLine="1600" w:firstLineChars="400"/>
        <w:jc w:val="left"/>
        <w:rPr>
          <w:rFonts w:ascii="宋体" w:hAnsi="宋体" w:cs="宋体"/>
          <w:spacing w:val="40"/>
          <w:kern w:val="0"/>
          <w:sz w:val="36"/>
          <w:szCs w:val="32"/>
        </w:rPr>
      </w:pPr>
      <w:r>
        <w:rPr>
          <w:rFonts w:hint="eastAsia" w:ascii="宋体" w:hAnsi="宋体" w:cs="宋体"/>
          <w:spacing w:val="40"/>
          <w:kern w:val="0"/>
          <w:sz w:val="32"/>
          <w:szCs w:val="32"/>
        </w:rPr>
        <w:t>第四部分 2024年度部门绩效评价情况</w:t>
      </w:r>
    </w:p>
    <w:p>
      <w:pPr>
        <w:tabs>
          <w:tab w:val="center" w:pos="6979"/>
        </w:tabs>
        <w:spacing w:before="156" w:beforeLines="50" w:after="156" w:afterLines="50"/>
        <w:jc w:val="center"/>
        <w:rPr>
          <w:rFonts w:ascii="宋体" w:hAnsi="宋体" w:cs="宋体"/>
          <w:b/>
          <w:bCs/>
          <w:spacing w:val="40"/>
          <w:kern w:val="0"/>
          <w:sz w:val="32"/>
          <w:szCs w:val="32"/>
        </w:rPr>
      </w:pPr>
    </w:p>
    <w:p>
      <w:pPr>
        <w:tabs>
          <w:tab w:val="center" w:pos="6979"/>
        </w:tabs>
        <w:spacing w:before="156" w:beforeLines="50" w:after="156" w:afterLines="50"/>
        <w:jc w:val="center"/>
        <w:rPr>
          <w:rFonts w:ascii="宋体" w:hAnsi="宋体" w:cs="宋体"/>
          <w:b/>
          <w:bCs/>
          <w:spacing w:val="40"/>
          <w:kern w:val="0"/>
          <w:sz w:val="32"/>
          <w:szCs w:val="32"/>
        </w:rPr>
      </w:pPr>
    </w:p>
    <w:p>
      <w:pPr>
        <w:tabs>
          <w:tab w:val="center" w:pos="6979"/>
        </w:tabs>
        <w:spacing w:before="156" w:beforeLines="50" w:after="156" w:afterLines="50"/>
        <w:jc w:val="center"/>
        <w:rPr>
          <w:rFonts w:ascii="宋体" w:hAnsi="宋体" w:cs="宋体"/>
          <w:b/>
          <w:bCs/>
          <w:spacing w:val="40"/>
          <w:kern w:val="0"/>
          <w:sz w:val="32"/>
          <w:szCs w:val="32"/>
        </w:rPr>
      </w:pPr>
    </w:p>
    <w:p>
      <w:pPr>
        <w:tabs>
          <w:tab w:val="center" w:pos="6979"/>
        </w:tabs>
        <w:spacing w:before="156" w:beforeLines="50" w:after="156" w:afterLines="50"/>
        <w:jc w:val="center"/>
        <w:rPr>
          <w:rFonts w:ascii="宋体" w:hAnsi="宋体" w:cs="宋体"/>
          <w:b/>
          <w:bCs/>
          <w:spacing w:val="40"/>
          <w:kern w:val="0"/>
          <w:sz w:val="32"/>
          <w:szCs w:val="32"/>
        </w:rPr>
      </w:pPr>
    </w:p>
    <w:p>
      <w:pPr>
        <w:tabs>
          <w:tab w:val="center" w:pos="6979"/>
        </w:tabs>
        <w:spacing w:before="156" w:beforeLines="50" w:after="156" w:afterLines="50"/>
        <w:jc w:val="center"/>
        <w:rPr>
          <w:rFonts w:ascii="宋体" w:hAnsi="宋体" w:cs="宋体"/>
          <w:b/>
          <w:bCs/>
          <w:spacing w:val="40"/>
          <w:kern w:val="0"/>
          <w:sz w:val="32"/>
          <w:szCs w:val="32"/>
        </w:rPr>
      </w:pPr>
    </w:p>
    <w:p>
      <w:pPr>
        <w:tabs>
          <w:tab w:val="center" w:pos="6979"/>
        </w:tabs>
        <w:spacing w:before="156" w:beforeLines="50" w:after="156" w:afterLines="50"/>
        <w:jc w:val="center"/>
        <w:rPr>
          <w:rFonts w:ascii="宋体" w:hAnsi="宋体" w:cs="宋体"/>
          <w:b/>
          <w:bCs/>
          <w:spacing w:val="40"/>
          <w:kern w:val="0"/>
          <w:sz w:val="32"/>
          <w:szCs w:val="32"/>
        </w:rPr>
      </w:pPr>
      <w:r>
        <w:rPr>
          <w:rFonts w:hint="eastAsia" w:ascii="宋体" w:hAnsi="宋体" w:cs="宋体"/>
          <w:b/>
          <w:bCs/>
          <w:spacing w:val="40"/>
          <w:kern w:val="0"/>
          <w:sz w:val="32"/>
          <w:szCs w:val="32"/>
        </w:rPr>
        <w:t>第一部分 2024年度部门决算报表</w:t>
      </w:r>
    </w:p>
    <w:p>
      <w:r>
        <w:br w:type="page"/>
      </w:r>
    </w:p>
    <w:p>
      <w:pPr>
        <w:sectPr>
          <w:footerReference r:id="rId3" w:type="default"/>
          <w:pgSz w:w="16838" w:h="11906" w:orient="landscape"/>
          <w:pgMar w:top="1134" w:right="1134" w:bottom="1134" w:left="1134" w:header="851" w:footer="992" w:gutter="0"/>
          <w:cols w:space="720" w:num="1"/>
          <w:docGrid w:type="linesAndChars" w:linePitch="312" w:charSpace="0"/>
        </w:sectPr>
      </w:pPr>
      <w:r>
        <w:object>
          <v:shape id="_x0000_i1025" o:spt="75" type="#_x0000_t75" style="height:353.1pt;width:727.75pt;" o:ole="t" filled="f" o:preferrelative="t" stroked="f" coordsize="21600,21600">
            <v:path/>
            <v:fill on="f" focussize="0,0"/>
            <v:stroke on="f"/>
            <v:imagedata r:id="rId8" o:title=""/>
            <o:lock v:ext="edit" aspectratio="f"/>
            <w10:wrap type="none"/>
            <w10:anchorlock/>
          </v:shape>
          <o:OLEObject Type="Embed" ProgID="Excel.Sheet.12" ShapeID="_x0000_i1025" DrawAspect="Content" ObjectID="_1468075725" r:id="rId7">
            <o:LockedField>false</o:LockedField>
          </o:OLEObject>
        </w:object>
      </w:r>
      <w:r>
        <w:object>
          <v:shape id="_x0000_i1026" o:spt="75" type="#_x0000_t75" style="height:442.45pt;width:727.9pt;" o:ole="t" filled="f" o:preferrelative="t" stroked="f" coordsize="21600,21600">
            <v:path/>
            <v:fill on="f" focussize="0,0"/>
            <v:stroke on="f"/>
            <v:imagedata r:id="rId10" o:title=""/>
            <o:lock v:ext="edit" aspectratio="f"/>
            <w10:wrap type="none"/>
            <w10:anchorlock/>
          </v:shape>
          <o:OLEObject Type="Embed" ProgID="Excel.Sheet.12" ShapeID="_x0000_i1026" DrawAspect="Content" ObjectID="_1468075726" r:id="rId9">
            <o:LockedField>false</o:LockedField>
          </o:OLEObject>
        </w:object>
      </w:r>
      <w:r>
        <w:object>
          <v:shape id="_x0000_i1027" o:spt="75" type="#_x0000_t75" style="height:462.05pt;width:727.9pt;" o:ole="t" filled="f" o:preferrelative="t" stroked="f" coordsize="21600,21600">
            <v:path/>
            <v:fill on="f" focussize="0,0"/>
            <v:stroke on="f"/>
            <v:imagedata r:id="rId12" o:title=""/>
            <o:lock v:ext="edit" aspectratio="f"/>
            <w10:wrap type="none"/>
            <w10:anchorlock/>
          </v:shape>
          <o:OLEObject Type="Embed" ProgID="Excel.Sheet.12" ShapeID="_x0000_i1027" DrawAspect="Content" ObjectID="_1468075727" r:id="rId11">
            <o:LockedField>false</o:LockedField>
          </o:OLEObject>
        </w:object>
      </w:r>
      <w:r>
        <w:object>
          <v:shape id="_x0000_i1028" o:spt="75" type="#_x0000_t75" style="height:442.45pt;width:727.9pt;" o:ole="t" filled="f" o:preferrelative="t" stroked="f" coordsize="21600,21600">
            <v:path/>
            <v:fill on="f" focussize="0,0"/>
            <v:stroke on="f"/>
            <v:imagedata r:id="rId14" o:title=""/>
            <o:lock v:ext="edit" aspectratio="f"/>
            <w10:wrap type="none"/>
            <w10:anchorlock/>
          </v:shape>
          <o:OLEObject Type="Embed" ProgID="Excel.Sheet.12" ShapeID="_x0000_i1028" DrawAspect="Content" ObjectID="_1468075728" r:id="rId13">
            <o:LockedField>false</o:LockedField>
          </o:OLEObject>
        </w:object>
      </w:r>
      <w:r>
        <w:object>
          <v:shape id="_x0000_i1029" o:spt="75" type="#_x0000_t75" style="height:491.5pt;width:727.9pt;" o:ole="t" filled="f" o:preferrelative="t" stroked="f" coordsize="21600,21600">
            <v:path/>
            <v:fill on="f" focussize="0,0"/>
            <v:stroke on="f"/>
            <v:imagedata r:id="rId16" o:title=""/>
            <o:lock v:ext="edit" aspectratio="f"/>
            <w10:wrap type="none"/>
            <w10:anchorlock/>
          </v:shape>
          <o:OLEObject Type="Embed" ProgID="Excel.Sheet.12" ShapeID="_x0000_i1029" DrawAspect="Content" ObjectID="_1468075729" r:id="rId15">
            <o:LockedField>false</o:LockedField>
          </o:OLEObject>
        </w:object>
      </w:r>
      <w:r>
        <w:object>
          <v:shape id="_x0000_i1030" o:spt="75" type="#_x0000_t75" style="height:384.15pt;width:728.05pt;" o:ole="t" filled="f" o:preferrelative="t" stroked="f" coordsize="21600,21600">
            <v:path/>
            <v:fill on="f" focussize="0,0"/>
            <v:stroke on="f"/>
            <v:imagedata r:id="rId18" o:title=""/>
            <o:lock v:ext="edit" aspectratio="f"/>
            <w10:wrap type="none"/>
            <w10:anchorlock/>
          </v:shape>
          <o:OLEObject Type="Embed" ProgID="Excel.Sheet.12" ShapeID="_x0000_i1030" DrawAspect="Content" ObjectID="_1468075730" r:id="rId17">
            <o:LockedField>false</o:LockedField>
          </o:OLEObject>
        </w:object>
      </w:r>
      <w:r>
        <w:object>
          <v:shape id="_x0000_i1031" o:spt="75" type="#_x0000_t75" style="height:403.15pt;width:728.35pt;" o:ole="t" filled="f" o:preferrelative="t" stroked="f" coordsize="21600,21600">
            <v:path/>
            <v:fill on="f" focussize="0,0"/>
            <v:stroke on="f"/>
            <v:imagedata r:id="rId20" o:title=""/>
            <o:lock v:ext="edit" aspectratio="f"/>
            <w10:wrap type="none"/>
            <w10:anchorlock/>
          </v:shape>
          <o:OLEObject Type="Embed" ProgID="Excel.Sheet.12" ShapeID="_x0000_i1031" DrawAspect="Content" ObjectID="_1468075731" r:id="rId19">
            <o:LockedField>false</o:LockedField>
          </o:OLEObject>
        </w:object>
      </w:r>
      <w:r>
        <w:object>
          <v:shape id="_x0000_i1032" o:spt="75" type="#_x0000_t75" style="height:366pt;width:728.35pt;" o:ole="t" filled="f" o:preferrelative="t" stroked="f" coordsize="21600,21600">
            <v:path/>
            <v:fill on="f" focussize="0,0"/>
            <v:stroke on="f"/>
            <v:imagedata r:id="rId22" o:title=""/>
            <o:lock v:ext="edit" aspectratio="f"/>
            <w10:wrap type="none"/>
            <w10:anchorlock/>
          </v:shape>
          <o:OLEObject Type="Embed" ProgID="Excel.Sheet.12" ShapeID="_x0000_i1032" DrawAspect="Content" ObjectID="_1468075732" r:id="rId21">
            <o:LockedField>false</o:LockedField>
          </o:OLEObject>
        </w:object>
      </w:r>
      <w:r>
        <w:object>
          <v:shape id="_x0000_i1033" o:spt="75" type="#_x0000_t75" style="height:269.2pt;width:728.35pt;" o:ole="t" filled="f" o:preferrelative="t" stroked="f" coordsize="21600,21600">
            <v:path/>
            <v:fill on="f" focussize="0,0"/>
            <v:stroke on="f"/>
            <v:imagedata r:id="rId24" o:title=""/>
            <o:lock v:ext="edit" aspectratio="f"/>
            <w10:wrap type="none"/>
            <w10:anchorlock/>
          </v:shape>
          <o:OLEObject Type="Embed" ProgID="Excel.Sheet.12" ShapeID="_x0000_i1033" DrawAspect="Content" ObjectID="_1468075733" r:id="rId23">
            <o:LockedField>false</o:LockedField>
          </o:OLEObject>
        </w:object>
      </w:r>
      <w:r>
        <w:object>
          <v:shape id="_x0000_i1034" o:spt="75" type="#_x0000_t75" style="height:478.3pt;width:492.05pt;" o:ole="t" filled="f" o:preferrelative="t" stroked="f" coordsize="21600,21600">
            <v:path/>
            <v:fill on="f" focussize="0,0"/>
            <v:stroke on="f"/>
            <v:imagedata r:id="rId26" o:title=""/>
            <o:lock v:ext="edit" aspectratio="f"/>
            <w10:wrap type="none"/>
            <w10:anchorlock/>
          </v:shape>
          <o:OLEObject Type="Embed" ProgID="Excel.Sheet.12" ShapeID="_x0000_i1034" DrawAspect="Content" ObjectID="_1468075734" r:id="rId25">
            <o:LockedField>false</o:LockedField>
          </o:OLEObject>
        </w:object>
      </w:r>
      <w:r>
        <w:object>
          <v:shape id="_x0000_i1035" o:spt="75" type="#_x0000_t75" style="height:478.4pt;width:540.1pt;" o:ole="t" filled="f" o:preferrelative="t" stroked="f" coordsize="21600,21600">
            <v:path/>
            <v:fill on="f" focussize="0,0"/>
            <v:stroke on="f"/>
            <v:imagedata r:id="rId28" o:title=""/>
            <o:lock v:ext="edit" aspectratio="f"/>
            <w10:wrap type="none"/>
            <w10:anchorlock/>
          </v:shape>
          <o:OLEObject Type="Embed" ProgID="Excel.Sheet.12" ShapeID="_x0000_i1035" DrawAspect="Content" ObjectID="_1468075735" r:id="rId27">
            <o:LockedField>false</o:LockedField>
          </o:OLEObject>
        </w:object>
      </w:r>
      <w:r>
        <w:object>
          <v:shape id="_x0000_i1036" o:spt="75" type="#_x0000_t75" style="height:382.4pt;width:727.65pt;" o:ole="t" filled="f" o:preferrelative="t" stroked="f" coordsize="21600,21600">
            <v:path/>
            <v:fill on="f" focussize="0,0"/>
            <v:stroke on="f"/>
            <v:imagedata r:id="rId30" o:title=""/>
            <o:lock v:ext="edit" aspectratio="f"/>
            <w10:wrap type="none"/>
            <w10:anchorlock/>
          </v:shape>
          <o:OLEObject Type="Embed" ProgID="Excel.Sheet.12" ShapeID="_x0000_i1036" DrawAspect="Content" ObjectID="_1468075736" r:id="rId29">
            <o:LockedField>false</o:LockedField>
          </o:OLEObject>
        </w:object>
      </w:r>
      <w:r>
        <w:object>
          <v:shape id="_x0000_i1037" o:spt="75" type="#_x0000_t75" style="height:219.45pt;width:728.05pt;" o:ole="t" filled="f" o:preferrelative="t" stroked="f" coordsize="21600,21600">
            <v:path/>
            <v:fill on="f" focussize="0,0"/>
            <v:stroke on="f"/>
            <v:imagedata r:id="rId32" o:title=""/>
            <o:lock v:ext="edit" aspectratio="f"/>
            <w10:wrap type="none"/>
            <w10:anchorlock/>
          </v:shape>
          <o:OLEObject Type="Embed" ProgID="Excel.Sheet.12" ShapeID="_x0000_i1037" DrawAspect="Content" ObjectID="_1468075737" r:id="rId31">
            <o:LockedField>false</o:LockedField>
          </o:OLEObject>
        </w:object>
      </w:r>
      <w:r>
        <w:object>
          <v:shape id="_x0000_i1038" o:spt="75" type="#_x0000_t75" style="height:382.4pt;width:727.65pt;" o:ole="t" filled="f" o:preferrelative="t" stroked="f" coordsize="21600,21600">
            <v:path/>
            <v:fill on="f" focussize="0,0"/>
            <v:stroke on="f"/>
            <v:imagedata r:id="rId34" o:title=""/>
            <o:lock v:ext="edit" aspectratio="f"/>
            <w10:wrap type="none"/>
            <w10:anchorlock/>
          </v:shape>
          <o:OLEObject Type="Embed" ProgID="Excel.Sheet.12" ShapeID="_x0000_i1038" DrawAspect="Content" ObjectID="_1468075738" r:id="rId33">
            <o:LockedField>false</o:LockedField>
          </o:OLEObject>
        </w:object>
      </w:r>
      <w:r>
        <w:object>
          <v:shape id="_x0000_i1039" o:spt="75" type="#_x0000_t75" style="height:89.8pt;width:727.65pt;" o:ole="t" filled="f" o:preferrelative="t" stroked="f" coordsize="21600,21600">
            <v:path/>
            <v:fill on="f" focussize="0,0"/>
            <v:stroke on="f"/>
            <v:imagedata r:id="rId36" o:title=""/>
            <o:lock v:ext="edit" aspectratio="f"/>
            <w10:wrap type="none"/>
            <w10:anchorlock/>
          </v:shape>
          <o:OLEObject Type="Embed" ProgID="Excel.Sheet.12" ShapeID="_x0000_i1039" DrawAspect="Content" ObjectID="_1468075739" r:id="rId35">
            <o:LockedField>false</o:LockedField>
          </o:OLEObject>
        </w:object>
      </w:r>
      <w:r>
        <w:object>
          <v:shape id="_x0000_i1040" o:spt="75" type="#_x0000_t75" style="height:100.2pt;width:727.75pt;" o:ole="t" filled="f" o:preferrelative="t" stroked="f" coordsize="21600,21600">
            <v:path/>
            <v:fill on="f" focussize="0,0"/>
            <v:stroke on="f"/>
            <v:imagedata r:id="rId38" o:title=""/>
            <o:lock v:ext="edit" aspectratio="f"/>
            <w10:wrap type="none"/>
            <w10:anchorlock/>
          </v:shape>
          <o:OLEObject Type="Embed" ProgID="Excel.Sheet.12" ShapeID="_x0000_i1040" DrawAspect="Content" ObjectID="_1468075740" r:id="rId37">
            <o:LockedField>false</o:LockedField>
          </o:OLEObject>
        </w:object>
      </w:r>
      <w:r>
        <w:object>
          <v:shape id="_x0000_i1041" o:spt="75" type="#_x0000_t75" style="height:255.65pt;width:728.4pt;" o:ole="t" filled="f" o:preferrelative="t" stroked="f" coordsize="21600,21600">
            <v:path/>
            <v:fill on="f" focussize="0,0"/>
            <v:stroke on="f"/>
            <v:imagedata r:id="rId40" o:title=""/>
            <o:lock v:ext="edit" aspectratio="f"/>
            <w10:wrap type="none"/>
            <w10:anchorlock/>
          </v:shape>
          <o:OLEObject Type="Embed" ProgID="Excel.Sheet.12" ShapeID="_x0000_i1041" DrawAspect="Content" ObjectID="_1468075741" r:id="rId39">
            <o:LockedField>false</o:LockedField>
          </o:OLEObject>
        </w:object>
      </w:r>
      <w:r>
        <w:object>
          <v:shape id="_x0000_i1042" o:spt="75" type="#_x0000_t75" style="height:466.2pt;width:728.35pt;" o:ole="t" filled="f" o:preferrelative="t" stroked="f" coordsize="21600,21600">
            <v:path/>
            <v:fill on="f" focussize="0,0"/>
            <v:stroke on="f"/>
            <v:imagedata r:id="rId42" o:title=""/>
            <o:lock v:ext="edit" aspectratio="f"/>
            <w10:wrap type="none"/>
            <w10:anchorlock/>
          </v:shape>
          <o:OLEObject Type="Embed" ProgID="Excel.Sheet.12" ShapeID="_x0000_i1042" DrawAspect="Content" ObjectID="_1468075742" r:id="rId41">
            <o:LockedField>false</o:LockedField>
          </o:OLEObject>
        </w:object>
      </w:r>
    </w:p>
    <w:p>
      <w:pPr>
        <w:tabs>
          <w:tab w:val="center" w:pos="6979"/>
        </w:tabs>
        <w:spacing w:before="156" w:beforeLines="50" w:after="156" w:afterLines="50"/>
        <w:jc w:val="center"/>
        <w:rPr>
          <w:rFonts w:ascii="宋体" w:hAnsi="宋体" w:cs="宋体"/>
          <w:b/>
          <w:bCs/>
          <w:spacing w:val="40"/>
          <w:kern w:val="0"/>
          <w:sz w:val="32"/>
          <w:szCs w:val="32"/>
        </w:rPr>
      </w:pPr>
      <w:r>
        <w:rPr>
          <w:rFonts w:hint="eastAsia" w:ascii="宋体" w:hAnsi="宋体" w:cs="宋体"/>
          <w:b/>
          <w:bCs/>
          <w:spacing w:val="40"/>
          <w:kern w:val="0"/>
          <w:sz w:val="32"/>
          <w:szCs w:val="32"/>
        </w:rPr>
        <w:t>第二部分 2024年度部门决算说明</w:t>
      </w:r>
    </w:p>
    <w:p>
      <w:pPr>
        <w:tabs>
          <w:tab w:val="center" w:pos="6979"/>
        </w:tabs>
        <w:spacing w:line="580" w:lineRule="exact"/>
        <w:ind w:firstLine="548" w:firstLineChars="196"/>
        <w:rPr>
          <w:rFonts w:ascii="黑体" w:eastAsia="黑体"/>
          <w:b/>
          <w:sz w:val="28"/>
          <w:szCs w:val="28"/>
        </w:rPr>
      </w:pPr>
      <w:r>
        <w:rPr>
          <w:rFonts w:hint="eastAsia" w:ascii="黑体" w:eastAsia="黑体"/>
          <w:b/>
          <w:sz w:val="28"/>
          <w:szCs w:val="28"/>
        </w:rPr>
        <w:t>一、部门/单位基本情况</w:t>
      </w:r>
    </w:p>
    <w:p>
      <w:pPr>
        <w:widowControl/>
        <w:spacing w:before="100" w:beforeAutospacing="1" w:after="100" w:afterAutospacing="1" w:line="600" w:lineRule="exact"/>
        <w:ind w:firstLine="645"/>
        <w:jc w:val="left"/>
        <w:rPr>
          <w:rFonts w:ascii="仿宋_GB2312" w:eastAsia="仿宋_GB2312"/>
          <w:sz w:val="28"/>
          <w:szCs w:val="28"/>
        </w:rPr>
      </w:pPr>
      <w:r>
        <w:rPr>
          <w:rFonts w:hint="eastAsia" w:ascii="仿宋_GB2312" w:eastAsia="仿宋_GB2312"/>
          <w:sz w:val="28"/>
          <w:szCs w:val="28"/>
        </w:rPr>
        <w:t>（一）机构</w:t>
      </w:r>
      <w:r>
        <w:rPr>
          <w:rFonts w:ascii="仿宋_GB2312" w:eastAsia="仿宋_GB2312"/>
          <w:sz w:val="28"/>
          <w:szCs w:val="28"/>
        </w:rPr>
        <w:t>设置、</w:t>
      </w:r>
      <w:r>
        <w:rPr>
          <w:rFonts w:hint="eastAsia" w:ascii="仿宋_GB2312" w:eastAsia="仿宋_GB2312"/>
          <w:sz w:val="28"/>
          <w:szCs w:val="28"/>
        </w:rPr>
        <w:t>职责</w:t>
      </w:r>
    </w:p>
    <w:p>
      <w:pPr>
        <w:widowControl/>
        <w:spacing w:before="100" w:beforeAutospacing="1" w:after="100" w:afterAutospacing="1" w:line="600" w:lineRule="exact"/>
        <w:ind w:firstLine="645"/>
        <w:jc w:val="left"/>
        <w:rPr>
          <w:rFonts w:ascii="宋体" w:hAnsi="宋体" w:cs="宋体"/>
          <w:color w:val="000000"/>
          <w:kern w:val="0"/>
          <w:sz w:val="24"/>
        </w:rPr>
      </w:pPr>
      <w:r>
        <w:rPr>
          <w:rFonts w:hint="eastAsia" w:ascii="仿宋" w:hAnsi="宋体" w:eastAsia="仿宋" w:cs="宋体"/>
          <w:color w:val="000000"/>
          <w:kern w:val="0"/>
          <w:sz w:val="28"/>
          <w:szCs w:val="28"/>
        </w:rPr>
        <w:t>1.执行本级人民代表大会的决议和上级国家机关的决议和命令，发布决定和命令。</w:t>
      </w:r>
    </w:p>
    <w:p>
      <w:pPr>
        <w:widowControl/>
        <w:spacing w:before="100" w:beforeAutospacing="1" w:after="100" w:afterAutospacing="1" w:line="600" w:lineRule="exact"/>
        <w:ind w:firstLine="645"/>
        <w:jc w:val="left"/>
        <w:rPr>
          <w:rFonts w:ascii="宋体" w:hAnsi="宋体" w:cs="宋体"/>
          <w:color w:val="000000"/>
          <w:kern w:val="0"/>
          <w:sz w:val="24"/>
        </w:rPr>
      </w:pPr>
      <w:r>
        <w:rPr>
          <w:rFonts w:hint="eastAsia" w:ascii="仿宋" w:hAnsi="宋体" w:eastAsia="仿宋" w:cs="宋体"/>
          <w:color w:val="000000"/>
          <w:kern w:val="0"/>
          <w:sz w:val="28"/>
          <w:szCs w:val="28"/>
        </w:rPr>
        <w:t>2.执行本镇的经济和社会发展规划、预算，管理本镇的经济、教育、科学、文化、卫生、体育事业和财政、社会事务、公安、司法行政、计划生育、安全生产、农村集体资产管理等行政工作。</w:t>
      </w:r>
    </w:p>
    <w:p>
      <w:pPr>
        <w:widowControl/>
        <w:spacing w:before="100" w:beforeAutospacing="1" w:after="100" w:afterAutospacing="1" w:line="600" w:lineRule="exact"/>
        <w:ind w:firstLine="645"/>
        <w:jc w:val="left"/>
        <w:rPr>
          <w:rFonts w:ascii="宋体" w:hAnsi="宋体" w:cs="宋体"/>
          <w:color w:val="000000"/>
          <w:kern w:val="0"/>
          <w:sz w:val="24"/>
        </w:rPr>
      </w:pPr>
      <w:r>
        <w:rPr>
          <w:rFonts w:hint="eastAsia" w:ascii="仿宋" w:hAnsi="宋体" w:eastAsia="仿宋" w:cs="宋体"/>
          <w:color w:val="000000"/>
          <w:kern w:val="0"/>
          <w:sz w:val="28"/>
          <w:szCs w:val="28"/>
        </w:rPr>
        <w:t>3.推动产业结构调整，转变农业发展方式，优化发展环境，大力发展环境友好型工业、休闲旅游业、都市型现代农业和现代服务业，着力构建绿色高端高效经济体系。</w:t>
      </w:r>
    </w:p>
    <w:p>
      <w:pPr>
        <w:widowControl/>
        <w:spacing w:before="100" w:beforeAutospacing="1" w:after="100" w:afterAutospacing="1" w:line="600" w:lineRule="exact"/>
        <w:ind w:firstLine="645"/>
        <w:jc w:val="left"/>
        <w:rPr>
          <w:rFonts w:ascii="宋体" w:hAnsi="宋体" w:cs="宋体"/>
          <w:color w:val="000000"/>
          <w:kern w:val="0"/>
          <w:sz w:val="24"/>
        </w:rPr>
      </w:pPr>
      <w:r>
        <w:rPr>
          <w:rFonts w:hint="eastAsia" w:ascii="仿宋" w:hAnsi="宋体" w:eastAsia="仿宋" w:cs="宋体"/>
          <w:color w:val="000000"/>
          <w:kern w:val="0"/>
          <w:sz w:val="28"/>
          <w:szCs w:val="28"/>
        </w:rPr>
        <w:t>4.关注和改善民生，加快社会事业发展，推动公共服务均等化。全面落实支农惠农政策，增加农民收入。</w:t>
      </w:r>
    </w:p>
    <w:p>
      <w:pPr>
        <w:widowControl/>
        <w:spacing w:before="100" w:beforeAutospacing="1" w:after="100" w:afterAutospacing="1" w:line="600" w:lineRule="exact"/>
        <w:ind w:firstLine="645"/>
        <w:jc w:val="left"/>
        <w:rPr>
          <w:rFonts w:ascii="宋体" w:hAnsi="宋体" w:cs="宋体"/>
          <w:color w:val="000000"/>
          <w:kern w:val="0"/>
          <w:sz w:val="24"/>
        </w:rPr>
      </w:pPr>
      <w:r>
        <w:rPr>
          <w:rFonts w:hint="eastAsia" w:ascii="仿宋" w:hAnsi="宋体" w:eastAsia="仿宋" w:cs="宋体"/>
          <w:color w:val="000000"/>
          <w:kern w:val="0"/>
          <w:sz w:val="28"/>
          <w:szCs w:val="28"/>
        </w:rPr>
        <w:t>5.加强生态建设和保护，加大环境整治，完善和落实护水、护河、护山、护林、护地、护环境的“六护”机制。</w:t>
      </w:r>
    </w:p>
    <w:p>
      <w:pPr>
        <w:widowControl/>
        <w:spacing w:before="100" w:beforeAutospacing="1" w:after="100" w:afterAutospacing="1" w:line="600" w:lineRule="exact"/>
        <w:ind w:firstLine="645"/>
        <w:jc w:val="left"/>
        <w:rPr>
          <w:rFonts w:ascii="宋体" w:hAnsi="宋体" w:cs="宋体"/>
          <w:color w:val="000000"/>
          <w:kern w:val="0"/>
          <w:sz w:val="24"/>
        </w:rPr>
      </w:pPr>
      <w:r>
        <w:rPr>
          <w:rFonts w:hint="eastAsia" w:ascii="仿宋" w:hAnsi="宋体" w:eastAsia="仿宋" w:cs="宋体"/>
          <w:color w:val="000000"/>
          <w:kern w:val="0"/>
          <w:sz w:val="28"/>
          <w:szCs w:val="28"/>
        </w:rPr>
        <w:t>6.保护合法财产，维护社会秩序，保障公民的人身权利、民主权利和其他权利。</w:t>
      </w:r>
    </w:p>
    <w:p>
      <w:pPr>
        <w:widowControl/>
        <w:spacing w:before="100" w:beforeAutospacing="1" w:after="100" w:afterAutospacing="1" w:line="600" w:lineRule="exact"/>
        <w:ind w:firstLine="645"/>
        <w:jc w:val="left"/>
        <w:rPr>
          <w:rFonts w:ascii="宋体" w:hAnsi="宋体" w:cs="宋体"/>
          <w:color w:val="000000"/>
          <w:kern w:val="0"/>
          <w:sz w:val="24"/>
        </w:rPr>
      </w:pPr>
      <w:r>
        <w:rPr>
          <w:rFonts w:hint="eastAsia" w:ascii="仿宋" w:hAnsi="宋体" w:eastAsia="仿宋" w:cs="宋体"/>
          <w:color w:val="000000"/>
          <w:kern w:val="0"/>
          <w:sz w:val="28"/>
          <w:szCs w:val="28"/>
        </w:rPr>
        <w:t>7.保护各种经济组织的合法权益。</w:t>
      </w:r>
    </w:p>
    <w:p>
      <w:pPr>
        <w:widowControl/>
        <w:spacing w:before="100" w:beforeAutospacing="1" w:after="100" w:afterAutospacing="1" w:line="600" w:lineRule="exact"/>
        <w:ind w:firstLine="645"/>
        <w:jc w:val="left"/>
        <w:rPr>
          <w:rFonts w:ascii="宋体" w:hAnsi="宋体" w:cs="宋体"/>
          <w:color w:val="000000"/>
          <w:kern w:val="0"/>
          <w:sz w:val="24"/>
        </w:rPr>
      </w:pPr>
      <w:r>
        <w:rPr>
          <w:rFonts w:hint="eastAsia" w:ascii="仿宋" w:hAnsi="宋体" w:eastAsia="仿宋" w:cs="宋体"/>
          <w:color w:val="000000"/>
          <w:kern w:val="0"/>
          <w:sz w:val="28"/>
          <w:szCs w:val="28"/>
        </w:rPr>
        <w:t>8.尊重少数民族的风俗习惯和保障少数民族的权利。</w:t>
      </w:r>
    </w:p>
    <w:p>
      <w:pPr>
        <w:widowControl/>
        <w:spacing w:before="100" w:beforeAutospacing="1" w:after="100" w:afterAutospacing="1" w:line="600" w:lineRule="exact"/>
        <w:ind w:firstLine="645"/>
        <w:jc w:val="left"/>
        <w:rPr>
          <w:rFonts w:ascii="宋体" w:hAnsi="宋体" w:cs="宋体"/>
          <w:color w:val="000000"/>
          <w:kern w:val="0"/>
          <w:sz w:val="24"/>
        </w:rPr>
      </w:pPr>
      <w:r>
        <w:rPr>
          <w:rFonts w:hint="eastAsia" w:ascii="仿宋" w:hAnsi="宋体" w:eastAsia="仿宋" w:cs="宋体"/>
          <w:color w:val="000000"/>
          <w:kern w:val="0"/>
          <w:sz w:val="28"/>
          <w:szCs w:val="28"/>
        </w:rPr>
        <w:t>9.保障宪法和法律赋予妇女的男女平等、同工同酬和婚姻自由等各项权利。</w:t>
      </w:r>
    </w:p>
    <w:p>
      <w:pPr>
        <w:widowControl/>
        <w:spacing w:before="100" w:beforeAutospacing="1" w:after="100" w:afterAutospacing="1" w:line="600" w:lineRule="exact"/>
        <w:ind w:firstLine="645"/>
        <w:jc w:val="left"/>
        <w:rPr>
          <w:rFonts w:ascii="宋体" w:hAnsi="宋体" w:cs="宋体"/>
          <w:color w:val="000000"/>
          <w:kern w:val="0"/>
          <w:sz w:val="24"/>
        </w:rPr>
      </w:pPr>
      <w:r>
        <w:rPr>
          <w:rFonts w:hint="eastAsia" w:ascii="仿宋" w:hAnsi="宋体" w:eastAsia="仿宋" w:cs="宋体"/>
          <w:color w:val="000000"/>
          <w:kern w:val="0"/>
          <w:sz w:val="28"/>
          <w:szCs w:val="28"/>
        </w:rPr>
        <w:t>10.不断强化社会维稳体系，加强农村社会治安综合治理，防范和化解农村社会矛盾，确保社会稳定。</w:t>
      </w:r>
    </w:p>
    <w:p>
      <w:pPr>
        <w:tabs>
          <w:tab w:val="center" w:pos="6979"/>
        </w:tabs>
        <w:spacing w:line="580" w:lineRule="exact"/>
        <w:ind w:firstLine="420" w:firstLineChars="150"/>
        <w:rPr>
          <w:rFonts w:ascii="仿宋_GB2312" w:eastAsia="仿宋_GB2312"/>
          <w:sz w:val="28"/>
          <w:szCs w:val="28"/>
        </w:rPr>
      </w:pPr>
      <w:r>
        <w:rPr>
          <w:rFonts w:hint="eastAsia" w:ascii="仿宋" w:hAnsi="宋体" w:eastAsia="仿宋" w:cs="宋体"/>
          <w:color w:val="000000"/>
          <w:kern w:val="0"/>
          <w:sz w:val="28"/>
          <w:szCs w:val="28"/>
        </w:rPr>
        <w:t>11.完成上级交办的其他事项。</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（二）人员构成情况</w:t>
      </w:r>
    </w:p>
    <w:p>
      <w:pPr>
        <w:tabs>
          <w:tab w:val="center" w:pos="6979"/>
        </w:tabs>
        <w:spacing w:line="580" w:lineRule="exact"/>
        <w:ind w:firstLine="560" w:firstLineChars="200"/>
        <w:rPr>
          <w:rFonts w:ascii="仿宋_GB2312" w:eastAsia="仿宋_GB2312"/>
          <w:kern w:val="0"/>
          <w:sz w:val="28"/>
          <w:szCs w:val="28"/>
        </w:rPr>
      </w:pPr>
      <w:r>
        <w:rPr>
          <w:rFonts w:hint="eastAsia" w:ascii="仿宋_GB2312" w:eastAsia="仿宋_GB2312"/>
          <w:kern w:val="0"/>
          <w:sz w:val="28"/>
          <w:szCs w:val="28"/>
        </w:rPr>
        <w:t>行政编制</w:t>
      </w:r>
      <w:r>
        <w:rPr>
          <w:rFonts w:hint="eastAsia" w:ascii="仿宋_GB2312" w:eastAsia="仿宋_GB2312"/>
          <w:kern w:val="0"/>
          <w:sz w:val="28"/>
          <w:szCs w:val="28"/>
          <w:lang w:val="en-US" w:eastAsia="zh-CN"/>
        </w:rPr>
        <w:t>62</w:t>
      </w:r>
      <w:r>
        <w:rPr>
          <w:rFonts w:hint="eastAsia" w:ascii="仿宋_GB2312" w:eastAsia="仿宋_GB2312"/>
          <w:kern w:val="0"/>
          <w:sz w:val="28"/>
          <w:szCs w:val="28"/>
        </w:rPr>
        <w:t>人，实有人数</w:t>
      </w:r>
      <w:r>
        <w:rPr>
          <w:rFonts w:hint="eastAsia" w:ascii="仿宋_GB2312" w:eastAsia="仿宋_GB2312"/>
          <w:kern w:val="0"/>
          <w:sz w:val="28"/>
          <w:szCs w:val="28"/>
          <w:lang w:val="en-US" w:eastAsia="zh-CN"/>
        </w:rPr>
        <w:t>58</w:t>
      </w:r>
      <w:r>
        <w:rPr>
          <w:rFonts w:hint="eastAsia" w:ascii="仿宋_GB2312" w:eastAsia="仿宋_GB2312"/>
          <w:kern w:val="0"/>
          <w:sz w:val="28"/>
          <w:szCs w:val="28"/>
        </w:rPr>
        <w:t>人；事业编制</w:t>
      </w:r>
      <w:r>
        <w:rPr>
          <w:rFonts w:hint="eastAsia" w:ascii="仿宋_GB2312" w:eastAsia="仿宋_GB2312"/>
          <w:kern w:val="0"/>
          <w:sz w:val="28"/>
          <w:szCs w:val="28"/>
          <w:lang w:val="en-US" w:eastAsia="zh-CN"/>
        </w:rPr>
        <w:t>75</w:t>
      </w:r>
      <w:r>
        <w:rPr>
          <w:rFonts w:hint="eastAsia" w:ascii="仿宋_GB2312" w:eastAsia="仿宋_GB2312"/>
          <w:kern w:val="0"/>
          <w:sz w:val="28"/>
          <w:szCs w:val="28"/>
        </w:rPr>
        <w:t>人，实有人数</w:t>
      </w:r>
      <w:r>
        <w:rPr>
          <w:rFonts w:hint="eastAsia" w:ascii="仿宋_GB2312" w:eastAsia="仿宋_GB2312"/>
          <w:kern w:val="0"/>
          <w:sz w:val="28"/>
          <w:szCs w:val="28"/>
          <w:lang w:val="en-US" w:eastAsia="zh-CN"/>
        </w:rPr>
        <w:t>69</w:t>
      </w:r>
      <w:r>
        <w:rPr>
          <w:rFonts w:hint="eastAsia" w:ascii="仿宋_GB2312" w:eastAsia="仿宋_GB2312"/>
          <w:kern w:val="0"/>
          <w:sz w:val="28"/>
          <w:szCs w:val="28"/>
        </w:rPr>
        <w:t>人。</w:t>
      </w:r>
    </w:p>
    <w:p>
      <w:pPr>
        <w:tabs>
          <w:tab w:val="center" w:pos="6979"/>
        </w:tabs>
        <w:spacing w:line="580" w:lineRule="exact"/>
        <w:rPr>
          <w:rFonts w:ascii="黑体" w:eastAsia="黑体"/>
          <w:b/>
          <w:sz w:val="28"/>
          <w:szCs w:val="28"/>
        </w:rPr>
      </w:pPr>
      <w:r>
        <w:rPr>
          <w:rFonts w:hint="eastAsia" w:ascii="仿宋_GB2312" w:eastAsia="仿宋_GB2312"/>
          <w:b/>
          <w:sz w:val="32"/>
          <w:szCs w:val="32"/>
        </w:rPr>
        <w:t xml:space="preserve">   </w:t>
      </w:r>
      <w:r>
        <w:rPr>
          <w:rFonts w:hint="eastAsia" w:ascii="黑体" w:eastAsia="黑体"/>
          <w:b/>
          <w:sz w:val="28"/>
          <w:szCs w:val="28"/>
        </w:rPr>
        <w:t>二、收入支出决算总体情况说明</w:t>
      </w:r>
    </w:p>
    <w:p>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2024年度收、</w:t>
      </w:r>
      <w:r>
        <w:rPr>
          <w:rFonts w:ascii="仿宋_GB2312" w:eastAsia="仿宋_GB2312"/>
          <w:sz w:val="28"/>
          <w:szCs w:val="28"/>
        </w:rPr>
        <w:t>支</w:t>
      </w:r>
      <w:r>
        <w:rPr>
          <w:rFonts w:hint="eastAsia" w:ascii="仿宋_GB2312" w:eastAsia="仿宋_GB2312"/>
          <w:sz w:val="28"/>
          <w:szCs w:val="28"/>
        </w:rPr>
        <w:t>总计</w:t>
      </w:r>
      <w:r>
        <w:rPr>
          <w:rFonts w:ascii="仿宋_GB2312" w:eastAsia="仿宋_GB2312"/>
          <w:sz w:val="28"/>
          <w:szCs w:val="28"/>
        </w:rPr>
        <w:t>32293.39</w:t>
      </w:r>
      <w:r>
        <w:rPr>
          <w:rFonts w:hint="eastAsia" w:ascii="仿宋_GB2312" w:eastAsia="仿宋_GB2312"/>
          <w:sz w:val="28"/>
          <w:szCs w:val="28"/>
        </w:rPr>
        <w:t>万元，</w:t>
      </w:r>
      <w:r>
        <w:rPr>
          <w:rFonts w:ascii="仿宋_GB2312" w:eastAsia="仿宋_GB2312"/>
          <w:sz w:val="28"/>
          <w:szCs w:val="28"/>
        </w:rPr>
        <w:t>比上年</w:t>
      </w:r>
      <w:r>
        <w:rPr>
          <w:rFonts w:hint="eastAsia" w:ascii="仿宋_GB2312" w:eastAsia="仿宋_GB2312"/>
          <w:sz w:val="28"/>
          <w:szCs w:val="28"/>
        </w:rPr>
        <w:t>减少</w:t>
      </w:r>
      <w:r>
        <w:rPr>
          <w:rFonts w:hint="eastAsia" w:ascii="仿宋_GB2312" w:eastAsia="仿宋_GB2312"/>
          <w:sz w:val="28"/>
          <w:szCs w:val="28"/>
          <w:lang w:val="en-US" w:eastAsia="zh-CN"/>
        </w:rPr>
        <w:t>22911.74</w:t>
      </w:r>
      <w:r>
        <w:rPr>
          <w:rFonts w:hint="eastAsia" w:ascii="仿宋_GB2312" w:eastAsia="仿宋_GB2312"/>
          <w:sz w:val="28"/>
          <w:szCs w:val="28"/>
        </w:rPr>
        <w:t>万元，下降</w:t>
      </w:r>
      <w:r>
        <w:rPr>
          <w:rFonts w:hint="eastAsia" w:ascii="仿宋_GB2312" w:eastAsia="仿宋_GB2312"/>
          <w:sz w:val="28"/>
          <w:szCs w:val="28"/>
          <w:lang w:val="en-US" w:eastAsia="zh-CN"/>
        </w:rPr>
        <w:t>41.5</w:t>
      </w:r>
      <w:r>
        <w:rPr>
          <w:rFonts w:hint="eastAsia" w:ascii="仿宋_GB2312" w:eastAsia="仿宋_GB2312"/>
          <w:sz w:val="28"/>
          <w:szCs w:val="28"/>
        </w:rPr>
        <w:t>%。</w:t>
      </w:r>
    </w:p>
    <w:p>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（一</w:t>
      </w:r>
      <w:r>
        <w:rPr>
          <w:rFonts w:ascii="仿宋_GB2312" w:eastAsia="仿宋_GB2312"/>
          <w:sz w:val="28"/>
          <w:szCs w:val="28"/>
        </w:rPr>
        <w:t>）</w:t>
      </w:r>
      <w:r>
        <w:rPr>
          <w:rFonts w:hint="eastAsia" w:ascii="仿宋_GB2312" w:eastAsia="仿宋_GB2312"/>
          <w:sz w:val="28"/>
          <w:szCs w:val="28"/>
        </w:rPr>
        <w:t>收入决算</w:t>
      </w:r>
      <w:r>
        <w:rPr>
          <w:rFonts w:ascii="仿宋_GB2312" w:eastAsia="仿宋_GB2312"/>
          <w:sz w:val="28"/>
          <w:szCs w:val="28"/>
        </w:rPr>
        <w:t>说明</w:t>
      </w:r>
    </w:p>
    <w:p>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2024年度本年收入合计</w:t>
      </w:r>
      <w:r>
        <w:rPr>
          <w:rFonts w:ascii="仿宋_GB2312" w:eastAsia="仿宋_GB2312"/>
          <w:sz w:val="28"/>
          <w:szCs w:val="28"/>
        </w:rPr>
        <w:t>23818.84</w:t>
      </w:r>
      <w:r>
        <w:rPr>
          <w:rFonts w:hint="eastAsia" w:ascii="仿宋_GB2312" w:eastAsia="仿宋_GB2312"/>
          <w:sz w:val="28"/>
          <w:szCs w:val="28"/>
        </w:rPr>
        <w:t>万元，</w:t>
      </w:r>
      <w:r>
        <w:rPr>
          <w:rFonts w:ascii="仿宋_GB2312" w:eastAsia="仿宋_GB2312"/>
          <w:sz w:val="28"/>
          <w:szCs w:val="28"/>
        </w:rPr>
        <w:t>比上年</w:t>
      </w:r>
      <w:r>
        <w:rPr>
          <w:rFonts w:hint="eastAsia" w:ascii="仿宋_GB2312" w:eastAsia="仿宋_GB2312"/>
          <w:sz w:val="28"/>
          <w:szCs w:val="28"/>
        </w:rPr>
        <w:t>减少</w:t>
      </w:r>
      <w:r>
        <w:rPr>
          <w:rFonts w:hint="eastAsia" w:ascii="仿宋_GB2312" w:eastAsia="仿宋_GB2312"/>
          <w:sz w:val="28"/>
          <w:szCs w:val="28"/>
          <w:lang w:val="en-US" w:eastAsia="zh-CN"/>
        </w:rPr>
        <w:t>6918.72</w:t>
      </w:r>
      <w:r>
        <w:rPr>
          <w:rFonts w:hint="eastAsia" w:ascii="仿宋_GB2312" w:eastAsia="仿宋_GB2312"/>
          <w:sz w:val="28"/>
          <w:szCs w:val="28"/>
        </w:rPr>
        <w:t>万元，下降</w:t>
      </w:r>
      <w:r>
        <w:rPr>
          <w:rFonts w:hint="eastAsia" w:ascii="仿宋_GB2312" w:eastAsia="仿宋_GB2312"/>
          <w:sz w:val="28"/>
          <w:szCs w:val="28"/>
          <w:lang w:val="en-US" w:eastAsia="zh-CN"/>
        </w:rPr>
        <w:t>22.5</w:t>
      </w:r>
      <w:r>
        <w:rPr>
          <w:rFonts w:hint="eastAsia" w:ascii="仿宋_GB2312" w:eastAsia="仿宋_GB2312"/>
          <w:sz w:val="28"/>
          <w:szCs w:val="28"/>
        </w:rPr>
        <w:t>%。</w:t>
      </w:r>
    </w:p>
    <w:p>
      <w:pPr>
        <w:tabs>
          <w:tab w:val="center" w:pos="6979"/>
        </w:tabs>
        <w:spacing w:line="580" w:lineRule="exact"/>
        <w:ind w:firstLine="560" w:firstLineChars="200"/>
      </w:pPr>
      <w:r>
        <w:rPr>
          <w:rFonts w:hint="eastAsia" w:ascii="仿宋_GB2312" w:eastAsia="仿宋_GB2312"/>
          <w:sz w:val="28"/>
          <w:szCs w:val="28"/>
        </w:rPr>
        <w:t>1.财政拨款收入</w:t>
      </w:r>
      <w:r>
        <w:rPr>
          <w:rFonts w:ascii="仿宋_GB2312" w:eastAsia="仿宋_GB2312"/>
          <w:sz w:val="28"/>
          <w:szCs w:val="28"/>
        </w:rPr>
        <w:t>23818.84</w:t>
      </w:r>
      <w:r>
        <w:rPr>
          <w:rFonts w:hint="eastAsia" w:ascii="仿宋_GB2312" w:eastAsia="仿宋_GB2312"/>
          <w:sz w:val="28"/>
          <w:szCs w:val="28"/>
        </w:rPr>
        <w:t>万元，占收入合计的100%。其中：一般公共预算财政拨款收入</w:t>
      </w:r>
      <w:r>
        <w:rPr>
          <w:rFonts w:ascii="仿宋_GB2312" w:eastAsia="仿宋_GB2312"/>
          <w:sz w:val="28"/>
          <w:szCs w:val="28"/>
        </w:rPr>
        <w:t>16072.44</w:t>
      </w:r>
      <w:r>
        <w:rPr>
          <w:rFonts w:hint="eastAsia" w:ascii="仿宋_GB2312" w:eastAsia="仿宋_GB2312"/>
          <w:sz w:val="28"/>
          <w:szCs w:val="28"/>
        </w:rPr>
        <w:t>万元，占收入合计的67.48%；政府性基金预算财政拨款收入</w:t>
      </w:r>
      <w:r>
        <w:rPr>
          <w:rFonts w:ascii="仿宋_GB2312" w:eastAsia="仿宋_GB2312"/>
          <w:sz w:val="28"/>
          <w:szCs w:val="28"/>
        </w:rPr>
        <w:t>7746.4</w:t>
      </w:r>
      <w:r>
        <w:rPr>
          <w:rFonts w:hint="eastAsia" w:ascii="仿宋_GB2312" w:eastAsia="仿宋_GB2312"/>
          <w:sz w:val="28"/>
          <w:szCs w:val="28"/>
        </w:rPr>
        <w:t>万元，占收入合计的32.52%；国有资本经营预算财政拨款收入</w:t>
      </w:r>
      <w:r>
        <w:rPr>
          <w:rFonts w:ascii="仿宋_GB2312" w:eastAsia="仿宋_GB2312"/>
          <w:sz w:val="28"/>
          <w:szCs w:val="28"/>
        </w:rPr>
        <w:t>0</w:t>
      </w:r>
      <w:r>
        <w:rPr>
          <w:rFonts w:hint="eastAsia" w:ascii="仿宋_GB2312" w:eastAsia="仿宋_GB2312"/>
          <w:sz w:val="28"/>
          <w:szCs w:val="28"/>
        </w:rPr>
        <w:t>万元，占收入合计的0%；</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2.上级补助收入</w:t>
      </w:r>
      <w:r>
        <w:rPr>
          <w:rFonts w:ascii="仿宋_GB2312" w:eastAsia="仿宋_GB2312"/>
          <w:sz w:val="28"/>
          <w:szCs w:val="28"/>
        </w:rPr>
        <w:t>0</w:t>
      </w:r>
      <w:r>
        <w:rPr>
          <w:rFonts w:hint="eastAsia" w:ascii="仿宋_GB2312" w:eastAsia="仿宋_GB2312"/>
          <w:sz w:val="28"/>
          <w:szCs w:val="28"/>
        </w:rPr>
        <w:t>万元，占收入合计的0%；</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3.事业收入</w:t>
      </w:r>
      <w:r>
        <w:rPr>
          <w:rFonts w:ascii="仿宋_GB2312" w:eastAsia="仿宋_GB2312"/>
          <w:sz w:val="28"/>
          <w:szCs w:val="28"/>
        </w:rPr>
        <w:t>0</w:t>
      </w:r>
      <w:r>
        <w:rPr>
          <w:rFonts w:hint="eastAsia" w:ascii="仿宋_GB2312" w:eastAsia="仿宋_GB2312"/>
          <w:sz w:val="28"/>
          <w:szCs w:val="28"/>
        </w:rPr>
        <w:t>万元，占收入合计的0%；</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4.经营收入</w:t>
      </w:r>
      <w:r>
        <w:rPr>
          <w:rFonts w:ascii="仿宋_GB2312" w:eastAsia="仿宋_GB2312"/>
          <w:sz w:val="28"/>
          <w:szCs w:val="28"/>
        </w:rPr>
        <w:t>0</w:t>
      </w:r>
      <w:r>
        <w:rPr>
          <w:rFonts w:hint="eastAsia" w:ascii="仿宋_GB2312" w:eastAsia="仿宋_GB2312"/>
          <w:sz w:val="28"/>
          <w:szCs w:val="28"/>
        </w:rPr>
        <w:t>万元，占收入合计的0%；</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5.附属单位上缴收入</w:t>
      </w:r>
      <w:r>
        <w:rPr>
          <w:rFonts w:ascii="仿宋_GB2312" w:eastAsia="仿宋_GB2312"/>
          <w:sz w:val="28"/>
          <w:szCs w:val="28"/>
        </w:rPr>
        <w:t>0</w:t>
      </w:r>
      <w:r>
        <w:rPr>
          <w:rFonts w:hint="eastAsia" w:ascii="仿宋_GB2312" w:eastAsia="仿宋_GB2312"/>
          <w:sz w:val="28"/>
          <w:szCs w:val="28"/>
        </w:rPr>
        <w:t>万元，占收入合计的0%；</w:t>
      </w:r>
    </w:p>
    <w:p>
      <w:pPr>
        <w:tabs>
          <w:tab w:val="center" w:pos="6979"/>
        </w:tabs>
        <w:spacing w:line="580" w:lineRule="exact"/>
        <w:ind w:firstLine="560" w:firstLineChars="200"/>
        <w:rPr>
          <w:rFonts w:ascii="仿宋_GB2312" w:eastAsia="仿宋_GB2312" w:cs="Droid Sans"/>
          <w:color w:val="000000"/>
          <w:sz w:val="32"/>
          <w:szCs w:val="32"/>
        </w:rPr>
      </w:pPr>
      <w:r>
        <w:rPr>
          <w:rFonts w:hint="eastAsia" w:ascii="仿宋_GB2312" w:eastAsia="仿宋_GB2312"/>
          <w:sz w:val="28"/>
          <w:szCs w:val="28"/>
        </w:rPr>
        <w:t>6.其他收入</w:t>
      </w:r>
      <w:r>
        <w:rPr>
          <w:rFonts w:ascii="仿宋_GB2312" w:eastAsia="仿宋_GB2312"/>
          <w:sz w:val="28"/>
          <w:szCs w:val="28"/>
        </w:rPr>
        <w:t>0</w:t>
      </w:r>
      <w:r>
        <w:rPr>
          <w:rFonts w:hint="eastAsia" w:ascii="仿宋_GB2312" w:eastAsia="仿宋_GB2312"/>
          <w:sz w:val="28"/>
          <w:szCs w:val="28"/>
        </w:rPr>
        <w:t>万元，占收入合计的0%。</w:t>
      </w:r>
    </w:p>
    <w:p>
      <w:pPr>
        <w:pStyle w:val="4"/>
        <w:spacing w:before="156" w:after="156"/>
        <w:jc w:val="center"/>
      </w:pPr>
      <w:r>
        <w:rPr>
          <w:rFonts w:hint="eastAsia" w:ascii="仿宋_GB2312" w:eastAsia="仿宋_GB2312"/>
          <w:color w:val="000000"/>
          <w:sz w:val="32"/>
        </w:rPr>
        <w:t>图1：收入决算</w:t>
      </w:r>
    </w:p>
    <w:p>
      <w:pPr>
        <w:pStyle w:val="5"/>
        <w:ind w:firstLine="420"/>
        <w:jc w:val="center"/>
      </w:pPr>
      <w:r>
        <w:drawing>
          <wp:inline distT="0" distB="0" distL="0" distR="0">
            <wp:extent cx="4036695" cy="2328545"/>
            <wp:effectExtent l="0" t="0" r="20955" b="14605"/>
            <wp:docPr id="3" name="图表 3" title="{{pieChar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（二</w:t>
      </w:r>
      <w:r>
        <w:rPr>
          <w:rFonts w:ascii="仿宋_GB2312" w:eastAsia="仿宋_GB2312"/>
          <w:sz w:val="28"/>
          <w:szCs w:val="28"/>
        </w:rPr>
        <w:t>）</w:t>
      </w:r>
      <w:r>
        <w:rPr>
          <w:rFonts w:hint="eastAsia" w:ascii="仿宋_GB2312" w:eastAsia="仿宋_GB2312"/>
          <w:sz w:val="28"/>
          <w:szCs w:val="28"/>
        </w:rPr>
        <w:t>支出决算</w:t>
      </w:r>
      <w:r>
        <w:rPr>
          <w:rFonts w:ascii="仿宋_GB2312" w:eastAsia="仿宋_GB2312"/>
          <w:sz w:val="28"/>
          <w:szCs w:val="28"/>
        </w:rPr>
        <w:t>说明</w:t>
      </w:r>
    </w:p>
    <w:p>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2024年度本年支出合计</w:t>
      </w:r>
      <w:r>
        <w:rPr>
          <w:rFonts w:ascii="仿宋_GB2312" w:eastAsia="仿宋_GB2312"/>
          <w:sz w:val="28"/>
          <w:szCs w:val="28"/>
        </w:rPr>
        <w:t>32293.39</w:t>
      </w:r>
      <w:r>
        <w:rPr>
          <w:rFonts w:hint="eastAsia" w:ascii="仿宋_GB2312" w:eastAsia="仿宋_GB2312"/>
          <w:sz w:val="28"/>
          <w:szCs w:val="28"/>
        </w:rPr>
        <w:t>万元，</w:t>
      </w:r>
      <w:r>
        <w:rPr>
          <w:rFonts w:ascii="仿宋_GB2312" w:eastAsia="仿宋_GB2312"/>
          <w:sz w:val="28"/>
          <w:szCs w:val="28"/>
        </w:rPr>
        <w:t>比上年</w:t>
      </w:r>
      <w:r>
        <w:rPr>
          <w:rFonts w:hint="eastAsia" w:ascii="仿宋_GB2312" w:eastAsia="仿宋_GB2312"/>
          <w:sz w:val="28"/>
          <w:szCs w:val="28"/>
        </w:rPr>
        <w:t>减少</w:t>
      </w:r>
      <w:r>
        <w:rPr>
          <w:rFonts w:hint="eastAsia" w:ascii="仿宋_GB2312" w:eastAsia="仿宋_GB2312"/>
          <w:sz w:val="28"/>
          <w:szCs w:val="28"/>
          <w:lang w:val="en-US" w:eastAsia="zh-CN"/>
        </w:rPr>
        <w:t>15840.26</w:t>
      </w:r>
      <w:r>
        <w:rPr>
          <w:rFonts w:hint="eastAsia" w:ascii="仿宋_GB2312" w:eastAsia="仿宋_GB2312"/>
          <w:sz w:val="28"/>
          <w:szCs w:val="28"/>
        </w:rPr>
        <w:t>万元，下降</w:t>
      </w:r>
      <w:r>
        <w:rPr>
          <w:rFonts w:hint="eastAsia" w:ascii="仿宋_GB2312" w:eastAsia="仿宋_GB2312"/>
          <w:sz w:val="28"/>
          <w:szCs w:val="28"/>
          <w:lang w:val="en-US" w:eastAsia="zh-CN"/>
        </w:rPr>
        <w:t>32.9</w:t>
      </w:r>
      <w:r>
        <w:rPr>
          <w:rFonts w:hint="eastAsia" w:ascii="仿宋_GB2312" w:eastAsia="仿宋_GB2312"/>
          <w:sz w:val="28"/>
          <w:szCs w:val="28"/>
        </w:rPr>
        <w:t>%，其中：基本支出</w:t>
      </w:r>
      <w:r>
        <w:rPr>
          <w:rFonts w:ascii="仿宋_GB2312" w:eastAsia="仿宋_GB2312"/>
          <w:sz w:val="28"/>
          <w:szCs w:val="28"/>
        </w:rPr>
        <w:t>3081.08</w:t>
      </w:r>
      <w:r>
        <w:rPr>
          <w:rFonts w:hint="eastAsia" w:ascii="仿宋_GB2312" w:eastAsia="仿宋_GB2312"/>
          <w:sz w:val="28"/>
          <w:szCs w:val="28"/>
        </w:rPr>
        <w:t>万元，占支出合计的9.54%；项目支出</w:t>
      </w:r>
      <w:r>
        <w:rPr>
          <w:rFonts w:ascii="仿宋_GB2312" w:eastAsia="仿宋_GB2312"/>
          <w:sz w:val="28"/>
          <w:szCs w:val="28"/>
        </w:rPr>
        <w:t>29212.31</w:t>
      </w:r>
      <w:r>
        <w:rPr>
          <w:rFonts w:hint="eastAsia" w:ascii="仿宋_GB2312" w:eastAsia="仿宋_GB2312"/>
          <w:sz w:val="28"/>
          <w:szCs w:val="28"/>
        </w:rPr>
        <w:t>万元，占支出合计的90.46%;上缴上级支出</w:t>
      </w:r>
      <w:r>
        <w:rPr>
          <w:rFonts w:ascii="仿宋_GB2312" w:eastAsia="仿宋_GB2312"/>
          <w:sz w:val="28"/>
          <w:szCs w:val="28"/>
        </w:rPr>
        <w:t>0</w:t>
      </w:r>
      <w:r>
        <w:rPr>
          <w:rFonts w:hint="eastAsia" w:ascii="仿宋_GB2312" w:eastAsia="仿宋_GB2312"/>
          <w:sz w:val="28"/>
          <w:szCs w:val="28"/>
        </w:rPr>
        <w:t>万元，占支出合计的0%；经营支出</w:t>
      </w:r>
      <w:r>
        <w:rPr>
          <w:rFonts w:ascii="仿宋_GB2312" w:eastAsia="仿宋_GB2312"/>
          <w:sz w:val="28"/>
          <w:szCs w:val="28"/>
        </w:rPr>
        <w:t>0</w:t>
      </w:r>
      <w:r>
        <w:rPr>
          <w:rFonts w:hint="eastAsia" w:ascii="仿宋_GB2312" w:eastAsia="仿宋_GB2312"/>
          <w:sz w:val="28"/>
          <w:szCs w:val="28"/>
        </w:rPr>
        <w:t>万元，占支出合计的0%；对附属单位补助支出</w:t>
      </w:r>
      <w:r>
        <w:rPr>
          <w:rFonts w:ascii="仿宋_GB2312" w:eastAsia="仿宋_GB2312"/>
          <w:sz w:val="28"/>
          <w:szCs w:val="28"/>
        </w:rPr>
        <w:t>0</w:t>
      </w:r>
      <w:r>
        <w:rPr>
          <w:rFonts w:hint="eastAsia" w:ascii="仿宋_GB2312" w:eastAsia="仿宋_GB2312"/>
          <w:sz w:val="28"/>
          <w:szCs w:val="28"/>
        </w:rPr>
        <w:t>万元，占支出合计的0%。</w:t>
      </w:r>
    </w:p>
    <w:p>
      <w:pPr>
        <w:spacing w:line="560" w:lineRule="exact"/>
        <w:ind w:firstLine="640"/>
        <w:rPr>
          <w:rFonts w:ascii="仿宋_GB2312" w:eastAsia="仿宋_GB2312" w:cs="Droid Sans"/>
          <w:color w:val="000000"/>
          <w:sz w:val="32"/>
          <w:szCs w:val="32"/>
        </w:rPr>
      </w:pPr>
      <w:r>
        <w:rPr>
          <w:rFonts w:hint="eastAsia" w:ascii="仿宋_GB2312" w:eastAsia="仿宋_GB2312" w:cs="Droid Sans"/>
          <w:color w:val="000000"/>
          <w:sz w:val="32"/>
          <w:szCs w:val="32"/>
        </w:rPr>
        <w:t>（此处插入图表，用上述支出金额制作饼状图，示例如下，无金额类型不必制图）</w:t>
      </w:r>
    </w:p>
    <w:p>
      <w:pPr>
        <w:pStyle w:val="4"/>
        <w:spacing w:before="156" w:after="156"/>
        <w:ind w:firstLine="642"/>
        <w:jc w:val="center"/>
        <w:rPr>
          <w:rFonts w:ascii="仿宋_GB2312" w:eastAsia="仿宋_GB2312"/>
          <w:color w:val="000000"/>
          <w:sz w:val="32"/>
        </w:rPr>
      </w:pPr>
      <w:r>
        <w:rPr>
          <w:rFonts w:hint="eastAsia" w:ascii="仿宋_GB2312" w:eastAsia="仿宋_GB2312"/>
          <w:color w:val="000000"/>
          <w:sz w:val="32"/>
        </w:rPr>
        <w:t>图2：基本支出和项目支出情况</w:t>
      </w:r>
    </w:p>
    <w:p>
      <w:pPr>
        <w:jc w:val="center"/>
        <w:rPr>
          <w:rFonts w:ascii="黑体" w:eastAsia="黑体"/>
          <w:b/>
          <w:sz w:val="28"/>
          <w:szCs w:val="28"/>
        </w:rPr>
      </w:pPr>
      <w:r>
        <w:drawing>
          <wp:inline distT="0" distB="0" distL="114300" distR="114300">
            <wp:extent cx="4572000" cy="2743200"/>
            <wp:effectExtent l="4445" t="4445" r="14605" b="14605"/>
            <wp:docPr id="1" name="图表 3" title="{{pieChart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tabs>
          <w:tab w:val="center" w:pos="6979"/>
        </w:tabs>
        <w:spacing w:line="580" w:lineRule="exact"/>
        <w:ind w:firstLine="548" w:firstLineChars="196"/>
        <w:rPr>
          <w:rFonts w:ascii="黑体" w:eastAsia="黑体"/>
          <w:b/>
          <w:sz w:val="28"/>
          <w:szCs w:val="28"/>
        </w:rPr>
      </w:pPr>
      <w:r>
        <w:rPr>
          <w:rFonts w:hint="eastAsia" w:ascii="黑体" w:eastAsia="黑体"/>
          <w:b/>
          <w:sz w:val="28"/>
          <w:szCs w:val="28"/>
        </w:rPr>
        <w:t>三</w:t>
      </w:r>
      <w:r>
        <w:rPr>
          <w:rFonts w:ascii="黑体" w:eastAsia="黑体"/>
          <w:b/>
          <w:sz w:val="28"/>
          <w:szCs w:val="28"/>
        </w:rPr>
        <w:t>、财政拨款</w:t>
      </w:r>
      <w:r>
        <w:rPr>
          <w:rFonts w:hint="eastAsia" w:ascii="黑体" w:eastAsia="黑体"/>
          <w:b/>
          <w:sz w:val="28"/>
          <w:szCs w:val="28"/>
        </w:rPr>
        <w:t>收入支出决算</w:t>
      </w:r>
      <w:r>
        <w:rPr>
          <w:rFonts w:ascii="黑体" w:eastAsia="黑体"/>
          <w:b/>
          <w:sz w:val="28"/>
          <w:szCs w:val="28"/>
        </w:rPr>
        <w:t>总体情况说明</w:t>
      </w:r>
    </w:p>
    <w:p>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2024年度财政拨款收、</w:t>
      </w:r>
      <w:r>
        <w:rPr>
          <w:rFonts w:ascii="仿宋_GB2312" w:eastAsia="仿宋_GB2312"/>
          <w:sz w:val="28"/>
          <w:szCs w:val="28"/>
        </w:rPr>
        <w:t>支</w:t>
      </w:r>
      <w:r>
        <w:rPr>
          <w:rFonts w:hint="eastAsia" w:ascii="仿宋_GB2312" w:eastAsia="仿宋_GB2312"/>
          <w:sz w:val="28"/>
          <w:szCs w:val="28"/>
        </w:rPr>
        <w:t>总计</w:t>
      </w:r>
      <w:r>
        <w:rPr>
          <w:rFonts w:ascii="仿宋_GB2312" w:eastAsia="仿宋_GB2312"/>
          <w:sz w:val="28"/>
          <w:szCs w:val="28"/>
        </w:rPr>
        <w:t>25221.91</w:t>
      </w:r>
      <w:r>
        <w:rPr>
          <w:rFonts w:hint="eastAsia" w:ascii="仿宋_GB2312" w:eastAsia="仿宋_GB2312"/>
          <w:sz w:val="28"/>
          <w:szCs w:val="28"/>
        </w:rPr>
        <w:t>万元，比上年减少</w:t>
      </w:r>
      <w:r>
        <w:rPr>
          <w:rFonts w:hint="eastAsia" w:ascii="仿宋_GB2312" w:eastAsia="仿宋_GB2312"/>
          <w:sz w:val="28"/>
          <w:szCs w:val="28"/>
          <w:lang w:val="en-US" w:eastAsia="zh-CN"/>
        </w:rPr>
        <w:t>10896.41</w:t>
      </w:r>
      <w:r>
        <w:rPr>
          <w:rFonts w:hint="eastAsia" w:ascii="仿宋_GB2312" w:eastAsia="仿宋_GB2312"/>
          <w:sz w:val="28"/>
          <w:szCs w:val="28"/>
        </w:rPr>
        <w:t>万元，下降</w:t>
      </w:r>
      <w:r>
        <w:rPr>
          <w:rFonts w:hint="eastAsia" w:ascii="仿宋_GB2312" w:eastAsia="仿宋_GB2312"/>
          <w:sz w:val="28"/>
          <w:szCs w:val="28"/>
          <w:lang w:val="en-US" w:eastAsia="zh-CN"/>
        </w:rPr>
        <w:t>30.2</w:t>
      </w:r>
      <w:r>
        <w:rPr>
          <w:rFonts w:hint="eastAsia" w:ascii="仿宋_GB2312" w:eastAsia="仿宋_GB2312"/>
          <w:sz w:val="28"/>
          <w:szCs w:val="28"/>
        </w:rPr>
        <w:t>%。主要原因：</w:t>
      </w:r>
      <w:r>
        <w:rPr>
          <w:rFonts w:hint="eastAsia" w:ascii="仿宋_GB2312" w:eastAsia="仿宋_GB2312"/>
          <w:sz w:val="28"/>
          <w:szCs w:val="28"/>
          <w:lang w:val="en-US" w:eastAsia="zh-CN"/>
        </w:rPr>
        <w:t>2024年一般性项目减少</w:t>
      </w:r>
      <w:r>
        <w:rPr>
          <w:rFonts w:hint="eastAsia" w:ascii="仿宋_GB2312" w:eastAsia="仿宋_GB2312"/>
          <w:sz w:val="28"/>
          <w:szCs w:val="28"/>
        </w:rPr>
        <w:t>。</w:t>
      </w:r>
    </w:p>
    <w:p>
      <w:pPr>
        <w:tabs>
          <w:tab w:val="center" w:pos="6979"/>
        </w:tabs>
        <w:spacing w:line="580" w:lineRule="exact"/>
        <w:ind w:firstLine="548" w:firstLineChars="196"/>
        <w:rPr>
          <w:rFonts w:ascii="黑体" w:eastAsia="黑体"/>
          <w:b/>
          <w:sz w:val="28"/>
          <w:szCs w:val="28"/>
        </w:rPr>
      </w:pPr>
      <w:r>
        <w:rPr>
          <w:rFonts w:hint="eastAsia" w:ascii="黑体" w:eastAsia="黑体"/>
          <w:b/>
          <w:sz w:val="28"/>
          <w:szCs w:val="28"/>
        </w:rPr>
        <w:t>四、一般公共预算财政拨款支出决算情况说明</w:t>
      </w:r>
    </w:p>
    <w:p>
      <w:pPr>
        <w:autoSpaceDE w:val="0"/>
        <w:autoSpaceDN w:val="0"/>
        <w:adjustRightInd w:val="0"/>
        <w:spacing w:line="580" w:lineRule="exact"/>
        <w:ind w:firstLine="560" w:firstLineChars="200"/>
        <w:jc w:val="left"/>
        <w:rPr>
          <w:rFonts w:ascii="仿宋_GB2312" w:eastAsia="仿宋_GB2312"/>
          <w:sz w:val="28"/>
          <w:szCs w:val="28"/>
        </w:rPr>
      </w:pPr>
      <w:r>
        <w:rPr>
          <w:rFonts w:hint="eastAsia" w:ascii="仿宋_GB2312" w:eastAsia="仿宋_GB2312"/>
          <w:sz w:val="28"/>
          <w:szCs w:val="28"/>
        </w:rPr>
        <w:t>（一）一般公共预算财政拨款支出决算总体情况</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2024年度一般公共预算财政拨款支出</w:t>
      </w:r>
      <w:r>
        <w:rPr>
          <w:rFonts w:ascii="仿宋_GB2312" w:eastAsia="仿宋_GB2312"/>
          <w:sz w:val="28"/>
          <w:szCs w:val="28"/>
        </w:rPr>
        <w:t>17455.2</w:t>
      </w:r>
      <w:r>
        <w:rPr>
          <w:rFonts w:hint="eastAsia" w:ascii="仿宋_GB2312" w:eastAsia="仿宋_GB2312"/>
          <w:sz w:val="28"/>
          <w:szCs w:val="28"/>
        </w:rPr>
        <w:t>万元，主要用于以下方面（按大类）：</w:t>
      </w:r>
      <w:r>
        <w:rPr>
          <w:rFonts w:hint="eastAsia" w:ascii="仿宋_GB2312" w:hAnsi="仿宋_GB2312" w:eastAsia="仿宋_GB2312" w:cs="仿宋_GB2312"/>
          <w:sz w:val="28"/>
          <w:szCs w:val="28"/>
        </w:rPr>
        <w:t>一般公共服务支出</w:t>
      </w:r>
      <w:r>
        <w:rPr>
          <w:rFonts w:hint="eastAsia" w:ascii="仿宋_GB2312" w:hAnsi="仿宋_GB2312" w:eastAsia="仿宋_GB2312" w:cs="仿宋_GB2312"/>
          <w:sz w:val="28"/>
          <w:szCs w:val="28"/>
          <w:lang w:val="en-US" w:eastAsia="zh-CN"/>
        </w:rPr>
        <w:t>4581.54</w:t>
      </w:r>
      <w:r>
        <w:rPr>
          <w:rFonts w:hint="eastAsia" w:ascii="仿宋_GB2312" w:hAnsi="仿宋_GB2312" w:eastAsia="仿宋_GB2312" w:cs="仿宋_GB2312"/>
          <w:sz w:val="28"/>
          <w:szCs w:val="28"/>
        </w:rPr>
        <w:t>万元，占本年财政拨款支出</w:t>
      </w:r>
      <w:r>
        <w:rPr>
          <w:rFonts w:hint="eastAsia" w:ascii="仿宋_GB2312" w:hAnsi="仿宋_GB2312" w:eastAsia="仿宋_GB2312" w:cs="仿宋_GB2312"/>
          <w:sz w:val="28"/>
          <w:szCs w:val="28"/>
          <w:lang w:val="en-US" w:eastAsia="zh-CN"/>
        </w:rPr>
        <w:t>26.25</w:t>
      </w:r>
      <w:r>
        <w:rPr>
          <w:rFonts w:hint="eastAsia" w:ascii="仿宋_GB2312" w:hAnsi="仿宋_GB2312" w:eastAsia="仿宋_GB2312" w:cs="仿宋_GB2312"/>
          <w:sz w:val="28"/>
          <w:szCs w:val="28"/>
        </w:rPr>
        <w:t>%；公共安全支出</w:t>
      </w:r>
      <w:r>
        <w:rPr>
          <w:rFonts w:hint="eastAsia" w:ascii="仿宋_GB2312" w:hAnsi="仿宋_GB2312" w:eastAsia="仿宋_GB2312" w:cs="仿宋_GB2312"/>
          <w:sz w:val="28"/>
          <w:szCs w:val="28"/>
          <w:lang w:val="en-US" w:eastAsia="zh-CN"/>
        </w:rPr>
        <w:t>0.67万元，</w:t>
      </w:r>
      <w:r>
        <w:rPr>
          <w:rFonts w:hint="eastAsia" w:ascii="仿宋_GB2312" w:hAnsi="仿宋_GB2312" w:eastAsia="仿宋_GB2312" w:cs="仿宋_GB2312"/>
          <w:sz w:val="28"/>
          <w:szCs w:val="28"/>
        </w:rPr>
        <w:t>占本年财政拨款支出</w:t>
      </w:r>
      <w:r>
        <w:rPr>
          <w:rFonts w:hint="eastAsia" w:ascii="仿宋_GB2312" w:hAnsi="仿宋_GB2312" w:eastAsia="仿宋_GB2312" w:cs="仿宋_GB2312"/>
          <w:sz w:val="28"/>
          <w:szCs w:val="28"/>
          <w:lang w:val="en-US" w:eastAsia="zh-CN"/>
        </w:rPr>
        <w:t>0.0039</w:t>
      </w:r>
      <w:r>
        <w:rPr>
          <w:rFonts w:hint="eastAsia" w:ascii="仿宋_GB2312" w:hAnsi="仿宋_GB2312" w:eastAsia="仿宋_GB2312" w:cs="仿宋_GB2312"/>
          <w:sz w:val="28"/>
          <w:szCs w:val="28"/>
        </w:rPr>
        <w:t>%；文化旅游体育与传媒支出</w:t>
      </w:r>
      <w:r>
        <w:rPr>
          <w:rFonts w:hint="eastAsia" w:ascii="仿宋_GB2312" w:hAnsi="仿宋_GB2312" w:eastAsia="仿宋_GB2312" w:cs="仿宋_GB2312"/>
          <w:sz w:val="28"/>
          <w:szCs w:val="28"/>
          <w:lang w:val="en-US" w:eastAsia="zh-CN"/>
        </w:rPr>
        <w:t>512.7万元，</w:t>
      </w:r>
      <w:r>
        <w:rPr>
          <w:rFonts w:hint="eastAsia" w:ascii="仿宋_GB2312" w:hAnsi="仿宋_GB2312" w:eastAsia="仿宋_GB2312" w:cs="仿宋_GB2312"/>
          <w:sz w:val="28"/>
          <w:szCs w:val="28"/>
        </w:rPr>
        <w:t>占本年财政拨款支出</w:t>
      </w:r>
      <w:r>
        <w:rPr>
          <w:rFonts w:hint="eastAsia" w:ascii="仿宋_GB2312" w:hAnsi="仿宋_GB2312" w:eastAsia="仿宋_GB2312" w:cs="仿宋_GB2312"/>
          <w:sz w:val="28"/>
          <w:szCs w:val="28"/>
          <w:lang w:val="en-US" w:eastAsia="zh-CN"/>
        </w:rPr>
        <w:t>2.94</w:t>
      </w:r>
      <w:r>
        <w:rPr>
          <w:rFonts w:hint="eastAsia" w:ascii="仿宋_GB2312" w:hAnsi="仿宋_GB2312" w:eastAsia="仿宋_GB2312" w:cs="仿宋_GB2312"/>
          <w:sz w:val="28"/>
          <w:szCs w:val="28"/>
        </w:rPr>
        <w:t>%；社会保障和就业支出</w:t>
      </w:r>
      <w:r>
        <w:rPr>
          <w:rFonts w:hint="eastAsia" w:ascii="仿宋_GB2312" w:hAnsi="仿宋_GB2312" w:eastAsia="仿宋_GB2312" w:cs="仿宋_GB2312"/>
          <w:sz w:val="28"/>
          <w:szCs w:val="28"/>
          <w:lang w:val="en-US" w:eastAsia="zh-CN"/>
        </w:rPr>
        <w:t>465.93万元，</w:t>
      </w:r>
      <w:r>
        <w:rPr>
          <w:rFonts w:hint="eastAsia" w:ascii="仿宋_GB2312" w:hAnsi="仿宋_GB2312" w:eastAsia="仿宋_GB2312" w:cs="仿宋_GB2312"/>
          <w:sz w:val="28"/>
          <w:szCs w:val="28"/>
        </w:rPr>
        <w:t>占本年财政拨款支出</w:t>
      </w:r>
      <w:r>
        <w:rPr>
          <w:rFonts w:hint="eastAsia" w:ascii="仿宋_GB2312" w:hAnsi="仿宋_GB2312" w:eastAsia="仿宋_GB2312" w:cs="仿宋_GB2312"/>
          <w:sz w:val="28"/>
          <w:szCs w:val="28"/>
          <w:lang w:val="en-US" w:eastAsia="zh-CN"/>
        </w:rPr>
        <w:t>2.67</w:t>
      </w:r>
      <w:r>
        <w:rPr>
          <w:rFonts w:hint="eastAsia" w:ascii="仿宋_GB2312" w:hAnsi="仿宋_GB2312" w:eastAsia="仿宋_GB2312" w:cs="仿宋_GB2312"/>
          <w:sz w:val="28"/>
          <w:szCs w:val="28"/>
        </w:rPr>
        <w:t>%；卫生健康支出</w:t>
      </w:r>
      <w:r>
        <w:rPr>
          <w:rFonts w:hint="eastAsia" w:ascii="仿宋_GB2312" w:hAnsi="仿宋_GB2312" w:eastAsia="仿宋_GB2312" w:cs="仿宋_GB2312"/>
          <w:sz w:val="28"/>
          <w:szCs w:val="28"/>
          <w:lang w:val="en-US" w:eastAsia="zh-CN"/>
        </w:rPr>
        <w:t>96.08万元，</w:t>
      </w:r>
      <w:r>
        <w:rPr>
          <w:rFonts w:hint="eastAsia" w:ascii="仿宋_GB2312" w:hAnsi="仿宋_GB2312" w:eastAsia="仿宋_GB2312" w:cs="仿宋_GB2312"/>
          <w:sz w:val="28"/>
          <w:szCs w:val="28"/>
        </w:rPr>
        <w:t>占本年财政拨款支出</w:t>
      </w:r>
      <w:r>
        <w:rPr>
          <w:rFonts w:hint="eastAsia" w:ascii="仿宋_GB2312" w:hAnsi="仿宋_GB2312" w:eastAsia="仿宋_GB2312" w:cs="仿宋_GB2312"/>
          <w:sz w:val="28"/>
          <w:szCs w:val="28"/>
          <w:lang w:val="en-US" w:eastAsia="zh-CN"/>
        </w:rPr>
        <w:t>5.5</w:t>
      </w:r>
      <w:r>
        <w:rPr>
          <w:rFonts w:hint="eastAsia" w:ascii="仿宋_GB2312" w:hAnsi="仿宋_GB2312" w:eastAsia="仿宋_GB2312" w:cs="仿宋_GB2312"/>
          <w:sz w:val="28"/>
          <w:szCs w:val="28"/>
        </w:rPr>
        <w:t>%；节能环保支出</w:t>
      </w:r>
      <w:r>
        <w:rPr>
          <w:rFonts w:hint="eastAsia" w:ascii="仿宋_GB2312" w:hAnsi="仿宋_GB2312" w:eastAsia="仿宋_GB2312" w:cs="仿宋_GB2312"/>
          <w:sz w:val="28"/>
          <w:szCs w:val="28"/>
          <w:lang w:val="en-US" w:eastAsia="zh-CN"/>
        </w:rPr>
        <w:t>403.1万元，</w:t>
      </w:r>
      <w:r>
        <w:rPr>
          <w:rFonts w:hint="eastAsia" w:ascii="仿宋_GB2312" w:hAnsi="仿宋_GB2312" w:eastAsia="仿宋_GB2312" w:cs="仿宋_GB2312"/>
          <w:sz w:val="28"/>
          <w:szCs w:val="28"/>
        </w:rPr>
        <w:t>占本年财政拨款支出</w:t>
      </w:r>
      <w:r>
        <w:rPr>
          <w:rFonts w:hint="eastAsia" w:ascii="仿宋_GB2312" w:hAnsi="仿宋_GB2312" w:eastAsia="仿宋_GB2312" w:cs="仿宋_GB2312"/>
          <w:sz w:val="28"/>
          <w:szCs w:val="28"/>
          <w:lang w:val="en-US" w:eastAsia="zh-CN"/>
        </w:rPr>
        <w:t>2.3</w:t>
      </w:r>
      <w:r>
        <w:rPr>
          <w:rFonts w:hint="eastAsia" w:ascii="仿宋_GB2312" w:hAnsi="仿宋_GB2312" w:eastAsia="仿宋_GB2312" w:cs="仿宋_GB2312"/>
          <w:sz w:val="28"/>
          <w:szCs w:val="28"/>
        </w:rPr>
        <w:t>%；城乡社区支出</w:t>
      </w:r>
      <w:r>
        <w:rPr>
          <w:rFonts w:hint="eastAsia" w:ascii="仿宋_GB2312" w:hAnsi="仿宋_GB2312" w:eastAsia="仿宋_GB2312" w:cs="仿宋_GB2312"/>
          <w:sz w:val="28"/>
          <w:szCs w:val="28"/>
          <w:lang w:val="en-US" w:eastAsia="zh-CN"/>
        </w:rPr>
        <w:t>1065.06万元，</w:t>
      </w:r>
      <w:r>
        <w:rPr>
          <w:rFonts w:hint="eastAsia" w:ascii="仿宋_GB2312" w:hAnsi="仿宋_GB2312" w:eastAsia="仿宋_GB2312" w:cs="仿宋_GB2312"/>
          <w:sz w:val="28"/>
          <w:szCs w:val="28"/>
        </w:rPr>
        <w:t>占本年财政拨款支出</w:t>
      </w:r>
      <w:r>
        <w:rPr>
          <w:rFonts w:hint="eastAsia" w:ascii="仿宋_GB2312" w:hAnsi="仿宋_GB2312" w:eastAsia="仿宋_GB2312" w:cs="仿宋_GB2312"/>
          <w:sz w:val="28"/>
          <w:szCs w:val="28"/>
          <w:lang w:val="en-US" w:eastAsia="zh-CN"/>
        </w:rPr>
        <w:t>6.1</w:t>
      </w:r>
      <w:r>
        <w:rPr>
          <w:rFonts w:hint="eastAsia" w:ascii="仿宋_GB2312" w:hAnsi="仿宋_GB2312" w:eastAsia="仿宋_GB2312" w:cs="仿宋_GB2312"/>
          <w:sz w:val="28"/>
          <w:szCs w:val="28"/>
        </w:rPr>
        <w:t>%；农林水支出</w:t>
      </w:r>
      <w:r>
        <w:rPr>
          <w:rFonts w:hint="eastAsia" w:ascii="仿宋_GB2312" w:hAnsi="仿宋_GB2312" w:eastAsia="仿宋_GB2312" w:cs="仿宋_GB2312"/>
          <w:sz w:val="28"/>
          <w:szCs w:val="28"/>
          <w:lang w:val="en-US" w:eastAsia="zh-CN"/>
        </w:rPr>
        <w:t>10183.13万元，</w:t>
      </w:r>
      <w:r>
        <w:rPr>
          <w:rFonts w:hint="eastAsia" w:ascii="仿宋_GB2312" w:hAnsi="仿宋_GB2312" w:eastAsia="仿宋_GB2312" w:cs="仿宋_GB2312"/>
          <w:sz w:val="28"/>
          <w:szCs w:val="28"/>
        </w:rPr>
        <w:t>占本年财政拨款支出</w:t>
      </w:r>
      <w:r>
        <w:rPr>
          <w:rFonts w:hint="eastAsia" w:ascii="仿宋_GB2312" w:hAnsi="仿宋_GB2312" w:eastAsia="仿宋_GB2312" w:cs="仿宋_GB2312"/>
          <w:sz w:val="28"/>
          <w:szCs w:val="28"/>
          <w:lang w:val="en-US" w:eastAsia="zh-CN"/>
        </w:rPr>
        <w:t>58.33</w:t>
      </w:r>
      <w:r>
        <w:rPr>
          <w:rFonts w:hint="eastAsia" w:ascii="仿宋_GB2312" w:hAnsi="仿宋_GB2312" w:eastAsia="仿宋_GB2312" w:cs="仿宋_GB2312"/>
          <w:sz w:val="28"/>
          <w:szCs w:val="28"/>
        </w:rPr>
        <w:t>%；灾害防治及应急管理支出</w:t>
      </w:r>
      <w:r>
        <w:rPr>
          <w:rFonts w:hint="eastAsia" w:ascii="仿宋_GB2312" w:hAnsi="仿宋_GB2312" w:eastAsia="仿宋_GB2312" w:cs="仿宋_GB2312"/>
          <w:sz w:val="28"/>
          <w:szCs w:val="28"/>
          <w:lang w:val="en-US" w:eastAsia="zh-CN"/>
        </w:rPr>
        <w:t>146.99万元，</w:t>
      </w:r>
      <w:r>
        <w:rPr>
          <w:rFonts w:hint="eastAsia" w:ascii="仿宋_GB2312" w:hAnsi="仿宋_GB2312" w:eastAsia="仿宋_GB2312" w:cs="仿宋_GB2312"/>
          <w:sz w:val="28"/>
          <w:szCs w:val="28"/>
        </w:rPr>
        <w:t>占本年财政拨款支出</w:t>
      </w:r>
      <w:r>
        <w:rPr>
          <w:rFonts w:hint="eastAsia" w:ascii="仿宋_GB2312" w:hAnsi="仿宋_GB2312" w:eastAsia="仿宋_GB2312" w:cs="仿宋_GB2312"/>
          <w:sz w:val="28"/>
          <w:szCs w:val="28"/>
          <w:lang w:val="en-US" w:eastAsia="zh-CN"/>
        </w:rPr>
        <w:t>0.84</w:t>
      </w:r>
      <w:r>
        <w:rPr>
          <w:rFonts w:hint="eastAsia" w:ascii="仿宋_GB2312" w:hAnsi="仿宋_GB2312" w:eastAsia="仿宋_GB2312" w:cs="仿宋_GB2312"/>
          <w:sz w:val="28"/>
          <w:szCs w:val="28"/>
        </w:rPr>
        <w:t>%</w:t>
      </w:r>
      <w:r>
        <w:rPr>
          <w:rFonts w:hint="eastAsia" w:ascii="仿宋_GB2312" w:eastAsia="仿宋_GB2312"/>
          <w:sz w:val="28"/>
          <w:szCs w:val="28"/>
        </w:rPr>
        <w:t>。</w:t>
      </w:r>
    </w:p>
    <w:p>
      <w:pPr>
        <w:autoSpaceDE w:val="0"/>
        <w:autoSpaceDN w:val="0"/>
        <w:adjustRightInd w:val="0"/>
        <w:spacing w:line="580" w:lineRule="exact"/>
        <w:ind w:firstLine="560" w:firstLineChars="200"/>
        <w:jc w:val="left"/>
        <w:rPr>
          <w:rFonts w:ascii="仿宋_GB2312" w:eastAsia="仿宋_GB2312"/>
          <w:sz w:val="28"/>
          <w:szCs w:val="28"/>
        </w:rPr>
      </w:pPr>
      <w:r>
        <w:rPr>
          <w:rFonts w:hint="eastAsia" w:ascii="仿宋_GB2312" w:eastAsia="仿宋_GB2312"/>
          <w:sz w:val="28"/>
          <w:szCs w:val="28"/>
        </w:rPr>
        <w:t>（二）一般公共预算财政拨款支出决算具体情况</w:t>
      </w:r>
    </w:p>
    <w:p>
      <w:pPr>
        <w:spacing w:line="580" w:lineRule="exact"/>
        <w:ind w:firstLine="560" w:firstLineChars="200"/>
        <w:rPr>
          <w:rFonts w:hint="eastAsia" w:ascii="仿宋_GB2312" w:eastAsia="仿宋_GB2312"/>
          <w:sz w:val="28"/>
          <w:szCs w:val="28"/>
        </w:rPr>
      </w:pPr>
      <w:r>
        <w:rPr>
          <w:rFonts w:hint="eastAsia" w:ascii="仿宋_GB2312" w:eastAsia="仿宋_GB2312"/>
          <w:sz w:val="28"/>
          <w:szCs w:val="28"/>
        </w:rPr>
        <w:t>1、“一般公共服务支出”（类）202</w:t>
      </w:r>
      <w:r>
        <w:rPr>
          <w:rFonts w:hint="eastAsia" w:ascii="仿宋_GB2312" w:eastAsia="仿宋_GB2312"/>
          <w:sz w:val="28"/>
          <w:szCs w:val="28"/>
          <w:lang w:val="en-US" w:eastAsia="zh-CN"/>
        </w:rPr>
        <w:t>4</w:t>
      </w:r>
      <w:r>
        <w:rPr>
          <w:rFonts w:hint="eastAsia" w:ascii="仿宋_GB2312" w:eastAsia="仿宋_GB2312"/>
          <w:sz w:val="28"/>
          <w:szCs w:val="28"/>
        </w:rPr>
        <w:t>年度决算</w:t>
      </w:r>
      <w:r>
        <w:rPr>
          <w:rFonts w:hint="eastAsia" w:ascii="仿宋_GB2312" w:hAnsi="仿宋_GB2312" w:eastAsia="仿宋_GB2312" w:cs="仿宋_GB2312"/>
          <w:sz w:val="28"/>
          <w:szCs w:val="28"/>
          <w:lang w:val="en-US" w:eastAsia="zh-CN"/>
        </w:rPr>
        <w:t>4581.54</w:t>
      </w:r>
      <w:r>
        <w:rPr>
          <w:rFonts w:hint="eastAsia" w:ascii="仿宋_GB2312" w:eastAsia="仿宋_GB2312"/>
          <w:sz w:val="28"/>
          <w:szCs w:val="28"/>
        </w:rPr>
        <w:t>万元。</w:t>
      </w:r>
    </w:p>
    <w:p>
      <w:pPr>
        <w:spacing w:line="580" w:lineRule="exact"/>
        <w:ind w:firstLine="560" w:firstLineChars="200"/>
        <w:rPr>
          <w:rFonts w:hint="eastAsia" w:ascii="仿宋_GB2312" w:eastAsia="仿宋_GB2312"/>
          <w:sz w:val="28"/>
          <w:szCs w:val="28"/>
        </w:rPr>
      </w:pPr>
      <w:r>
        <w:rPr>
          <w:rFonts w:hint="eastAsia" w:ascii="仿宋_GB2312" w:eastAsia="仿宋_GB2312"/>
          <w:sz w:val="28"/>
          <w:szCs w:val="28"/>
        </w:rPr>
        <w:t>2、“</w:t>
      </w:r>
      <w:r>
        <w:rPr>
          <w:rFonts w:hint="eastAsia" w:ascii="仿宋_GB2312" w:hAnsi="仿宋_GB2312" w:eastAsia="仿宋_GB2312" w:cs="仿宋_GB2312"/>
          <w:sz w:val="28"/>
          <w:szCs w:val="28"/>
        </w:rPr>
        <w:t>公共安全支出</w:t>
      </w:r>
      <w:r>
        <w:rPr>
          <w:rFonts w:hint="eastAsia" w:ascii="仿宋_GB2312" w:eastAsia="仿宋_GB2312"/>
          <w:sz w:val="28"/>
          <w:szCs w:val="28"/>
        </w:rPr>
        <w:t>”(类)202</w:t>
      </w:r>
      <w:r>
        <w:rPr>
          <w:rFonts w:hint="eastAsia" w:ascii="仿宋_GB2312" w:eastAsia="仿宋_GB2312"/>
          <w:sz w:val="28"/>
          <w:szCs w:val="28"/>
          <w:lang w:val="en-US" w:eastAsia="zh-CN"/>
        </w:rPr>
        <w:t>4</w:t>
      </w:r>
      <w:r>
        <w:rPr>
          <w:rFonts w:hint="eastAsia" w:ascii="仿宋_GB2312" w:eastAsia="仿宋_GB2312"/>
          <w:sz w:val="28"/>
          <w:szCs w:val="28"/>
        </w:rPr>
        <w:t>年度决算</w:t>
      </w:r>
      <w:r>
        <w:rPr>
          <w:rFonts w:hint="eastAsia" w:ascii="仿宋_GB2312" w:eastAsia="仿宋_GB2312"/>
          <w:sz w:val="28"/>
          <w:szCs w:val="28"/>
          <w:lang w:val="en-US" w:eastAsia="zh-CN"/>
        </w:rPr>
        <w:t>0.67</w:t>
      </w:r>
      <w:r>
        <w:rPr>
          <w:rFonts w:hint="eastAsia" w:ascii="仿宋_GB2312" w:eastAsia="仿宋_GB2312"/>
          <w:sz w:val="28"/>
          <w:szCs w:val="28"/>
        </w:rPr>
        <w:t>万元。</w:t>
      </w:r>
    </w:p>
    <w:p>
      <w:pPr>
        <w:pStyle w:val="5"/>
        <w:rPr>
          <w:rFonts w:hint="eastAsia" w:ascii="仿宋_GB2312" w:eastAsia="仿宋_GB2312"/>
          <w:sz w:val="28"/>
          <w:szCs w:val="28"/>
        </w:rPr>
      </w:pPr>
      <w:r>
        <w:rPr>
          <w:rFonts w:hint="eastAsia" w:ascii="仿宋_GB2312" w:eastAsia="仿宋_GB2312"/>
          <w:sz w:val="28"/>
          <w:szCs w:val="28"/>
          <w:lang w:val="en-US" w:eastAsia="zh-CN"/>
        </w:rPr>
        <w:t>3、“</w:t>
      </w:r>
      <w:r>
        <w:rPr>
          <w:rFonts w:hint="eastAsia" w:ascii="仿宋_GB2312" w:hAnsi="仿宋_GB2312" w:eastAsia="仿宋_GB2312" w:cs="仿宋_GB2312"/>
          <w:sz w:val="28"/>
          <w:szCs w:val="28"/>
        </w:rPr>
        <w:t>文化旅游体育与传媒支出</w:t>
      </w:r>
      <w:r>
        <w:rPr>
          <w:rFonts w:hint="eastAsia" w:ascii="仿宋_GB2312" w:eastAsia="仿宋_GB2312"/>
          <w:sz w:val="28"/>
          <w:szCs w:val="28"/>
          <w:lang w:val="en-US" w:eastAsia="zh-CN"/>
        </w:rPr>
        <w:t>”</w:t>
      </w:r>
      <w:r>
        <w:rPr>
          <w:rFonts w:hint="eastAsia" w:ascii="仿宋_GB2312" w:eastAsia="仿宋_GB2312"/>
          <w:sz w:val="28"/>
          <w:szCs w:val="28"/>
        </w:rPr>
        <w:t>(类)202</w:t>
      </w:r>
      <w:r>
        <w:rPr>
          <w:rFonts w:hint="eastAsia" w:ascii="仿宋_GB2312" w:eastAsia="仿宋_GB2312"/>
          <w:sz w:val="28"/>
          <w:szCs w:val="28"/>
          <w:lang w:val="en-US" w:eastAsia="zh-CN"/>
        </w:rPr>
        <w:t>4</w:t>
      </w:r>
      <w:r>
        <w:rPr>
          <w:rFonts w:hint="eastAsia" w:ascii="仿宋_GB2312" w:eastAsia="仿宋_GB2312"/>
          <w:sz w:val="28"/>
          <w:szCs w:val="28"/>
        </w:rPr>
        <w:t>年度决算</w:t>
      </w:r>
      <w:r>
        <w:rPr>
          <w:rFonts w:hint="eastAsia" w:ascii="仿宋_GB2312" w:hAnsi="仿宋_GB2312" w:eastAsia="仿宋_GB2312" w:cs="仿宋_GB2312"/>
          <w:sz w:val="28"/>
          <w:szCs w:val="28"/>
          <w:lang w:val="en-US" w:eastAsia="zh-CN"/>
        </w:rPr>
        <w:t>512.7</w:t>
      </w:r>
      <w:r>
        <w:rPr>
          <w:rFonts w:hint="eastAsia" w:ascii="仿宋_GB2312" w:eastAsia="仿宋_GB2312"/>
          <w:sz w:val="28"/>
          <w:szCs w:val="28"/>
        </w:rPr>
        <w:t>万元。</w:t>
      </w:r>
    </w:p>
    <w:p>
      <w:pPr>
        <w:pStyle w:val="5"/>
        <w:rPr>
          <w:rFonts w:hint="eastAsia" w:ascii="仿宋_GB2312" w:eastAsia="仿宋_GB2312"/>
          <w:sz w:val="28"/>
          <w:szCs w:val="28"/>
        </w:rPr>
      </w:pPr>
      <w:r>
        <w:rPr>
          <w:rFonts w:hint="eastAsia" w:ascii="仿宋_GB2312" w:eastAsia="仿宋_GB2312"/>
          <w:sz w:val="28"/>
          <w:szCs w:val="28"/>
          <w:lang w:val="en-US" w:eastAsia="zh-CN"/>
        </w:rPr>
        <w:t>4、“</w:t>
      </w:r>
      <w:r>
        <w:rPr>
          <w:rFonts w:hint="eastAsia" w:ascii="仿宋_GB2312" w:hAnsi="仿宋_GB2312" w:eastAsia="仿宋_GB2312" w:cs="仿宋_GB2312"/>
          <w:sz w:val="28"/>
          <w:szCs w:val="28"/>
        </w:rPr>
        <w:t>社会保障和就业支出</w:t>
      </w:r>
      <w:r>
        <w:rPr>
          <w:rFonts w:hint="eastAsia" w:ascii="仿宋_GB2312" w:eastAsia="仿宋_GB2312"/>
          <w:sz w:val="28"/>
          <w:szCs w:val="28"/>
          <w:lang w:val="en-US" w:eastAsia="zh-CN"/>
        </w:rPr>
        <w:t>”</w:t>
      </w:r>
      <w:r>
        <w:rPr>
          <w:rFonts w:hint="eastAsia" w:ascii="仿宋_GB2312" w:eastAsia="仿宋_GB2312"/>
          <w:sz w:val="28"/>
          <w:szCs w:val="28"/>
        </w:rPr>
        <w:t>(类)202</w:t>
      </w:r>
      <w:r>
        <w:rPr>
          <w:rFonts w:hint="eastAsia" w:ascii="仿宋_GB2312" w:eastAsia="仿宋_GB2312"/>
          <w:sz w:val="28"/>
          <w:szCs w:val="28"/>
          <w:lang w:val="en-US" w:eastAsia="zh-CN"/>
        </w:rPr>
        <w:t>4</w:t>
      </w:r>
      <w:r>
        <w:rPr>
          <w:rFonts w:hint="eastAsia" w:ascii="仿宋_GB2312" w:eastAsia="仿宋_GB2312"/>
          <w:sz w:val="28"/>
          <w:szCs w:val="28"/>
        </w:rPr>
        <w:t>年度决算</w:t>
      </w:r>
      <w:r>
        <w:rPr>
          <w:rFonts w:hint="eastAsia" w:ascii="仿宋_GB2312" w:hAnsi="仿宋_GB2312" w:eastAsia="仿宋_GB2312" w:cs="仿宋_GB2312"/>
          <w:sz w:val="28"/>
          <w:szCs w:val="28"/>
          <w:lang w:val="en-US" w:eastAsia="zh-CN"/>
        </w:rPr>
        <w:t>465.93</w:t>
      </w:r>
      <w:r>
        <w:rPr>
          <w:rFonts w:hint="eastAsia" w:ascii="仿宋_GB2312" w:eastAsia="仿宋_GB2312"/>
          <w:sz w:val="28"/>
          <w:szCs w:val="28"/>
        </w:rPr>
        <w:t>万元。</w:t>
      </w:r>
    </w:p>
    <w:p>
      <w:pPr>
        <w:pStyle w:val="5"/>
        <w:rPr>
          <w:rFonts w:hint="eastAsia" w:ascii="仿宋_GB2312" w:eastAsia="仿宋_GB2312"/>
          <w:sz w:val="28"/>
          <w:szCs w:val="28"/>
        </w:rPr>
      </w:pPr>
      <w:r>
        <w:rPr>
          <w:rFonts w:hint="eastAsia" w:ascii="仿宋_GB2312" w:eastAsia="仿宋_GB2312"/>
          <w:sz w:val="28"/>
          <w:szCs w:val="28"/>
          <w:lang w:val="en-US" w:eastAsia="zh-CN"/>
        </w:rPr>
        <w:t>5、“</w:t>
      </w:r>
      <w:r>
        <w:rPr>
          <w:rFonts w:hint="eastAsia" w:ascii="仿宋_GB2312" w:hAnsi="仿宋_GB2312" w:eastAsia="仿宋_GB2312" w:cs="仿宋_GB2312"/>
          <w:sz w:val="28"/>
          <w:szCs w:val="28"/>
        </w:rPr>
        <w:t>卫生健康支出</w:t>
      </w:r>
      <w:r>
        <w:rPr>
          <w:rFonts w:hint="eastAsia" w:ascii="仿宋_GB2312" w:eastAsia="仿宋_GB2312"/>
          <w:sz w:val="28"/>
          <w:szCs w:val="28"/>
          <w:lang w:val="en-US" w:eastAsia="zh-CN"/>
        </w:rPr>
        <w:t>”</w:t>
      </w:r>
      <w:r>
        <w:rPr>
          <w:rFonts w:hint="eastAsia" w:ascii="仿宋_GB2312" w:eastAsia="仿宋_GB2312"/>
          <w:sz w:val="28"/>
          <w:szCs w:val="28"/>
        </w:rPr>
        <w:t>(类)202</w:t>
      </w:r>
      <w:r>
        <w:rPr>
          <w:rFonts w:hint="eastAsia" w:ascii="仿宋_GB2312" w:eastAsia="仿宋_GB2312"/>
          <w:sz w:val="28"/>
          <w:szCs w:val="28"/>
          <w:lang w:val="en-US" w:eastAsia="zh-CN"/>
        </w:rPr>
        <w:t>4</w:t>
      </w:r>
      <w:r>
        <w:rPr>
          <w:rFonts w:hint="eastAsia" w:ascii="仿宋_GB2312" w:eastAsia="仿宋_GB2312"/>
          <w:sz w:val="28"/>
          <w:szCs w:val="28"/>
        </w:rPr>
        <w:t>年度决算</w:t>
      </w:r>
      <w:r>
        <w:rPr>
          <w:rFonts w:hint="eastAsia" w:ascii="仿宋_GB2312" w:hAnsi="仿宋_GB2312" w:eastAsia="仿宋_GB2312" w:cs="仿宋_GB2312"/>
          <w:sz w:val="28"/>
          <w:szCs w:val="28"/>
          <w:lang w:val="en-US" w:eastAsia="zh-CN"/>
        </w:rPr>
        <w:t>96.08</w:t>
      </w:r>
      <w:r>
        <w:rPr>
          <w:rFonts w:hint="eastAsia" w:ascii="仿宋_GB2312" w:eastAsia="仿宋_GB2312"/>
          <w:sz w:val="28"/>
          <w:szCs w:val="28"/>
        </w:rPr>
        <w:t>万元。</w:t>
      </w:r>
    </w:p>
    <w:p>
      <w:pPr>
        <w:spacing w:line="580" w:lineRule="exact"/>
        <w:ind w:firstLine="560" w:firstLineChars="200"/>
        <w:rPr>
          <w:rFonts w:hint="eastAsia" w:ascii="仿宋_GB2312" w:eastAsia="仿宋_GB2312"/>
          <w:sz w:val="28"/>
          <w:szCs w:val="28"/>
        </w:rPr>
      </w:pPr>
      <w:r>
        <w:rPr>
          <w:rFonts w:hint="eastAsia" w:ascii="仿宋_GB2312" w:eastAsia="仿宋_GB2312"/>
          <w:sz w:val="28"/>
          <w:szCs w:val="28"/>
          <w:lang w:val="en-US" w:eastAsia="zh-CN"/>
        </w:rPr>
        <w:t>6、</w:t>
      </w:r>
      <w:r>
        <w:rPr>
          <w:rFonts w:hint="eastAsia" w:ascii="仿宋_GB2312" w:eastAsia="仿宋_GB2312"/>
          <w:sz w:val="28"/>
          <w:szCs w:val="28"/>
        </w:rPr>
        <w:t>“</w:t>
      </w:r>
      <w:r>
        <w:rPr>
          <w:rFonts w:hint="eastAsia" w:ascii="仿宋_GB2312" w:hAnsi="仿宋_GB2312" w:eastAsia="仿宋_GB2312" w:cs="仿宋_GB2312"/>
          <w:sz w:val="28"/>
          <w:szCs w:val="28"/>
        </w:rPr>
        <w:t>节能环保支出</w:t>
      </w:r>
      <w:r>
        <w:rPr>
          <w:rFonts w:hint="eastAsia" w:ascii="仿宋_GB2312" w:eastAsia="仿宋_GB2312"/>
          <w:sz w:val="28"/>
          <w:szCs w:val="28"/>
        </w:rPr>
        <w:t>”(类)202</w:t>
      </w:r>
      <w:r>
        <w:rPr>
          <w:rFonts w:hint="eastAsia" w:ascii="仿宋_GB2312" w:eastAsia="仿宋_GB2312"/>
          <w:sz w:val="28"/>
          <w:szCs w:val="28"/>
          <w:lang w:val="en-US" w:eastAsia="zh-CN"/>
        </w:rPr>
        <w:t>4</w:t>
      </w:r>
      <w:r>
        <w:rPr>
          <w:rFonts w:hint="eastAsia" w:ascii="仿宋_GB2312" w:eastAsia="仿宋_GB2312"/>
          <w:sz w:val="28"/>
          <w:szCs w:val="28"/>
        </w:rPr>
        <w:t>年度决算</w:t>
      </w:r>
      <w:r>
        <w:rPr>
          <w:rFonts w:hint="eastAsia" w:ascii="仿宋_GB2312" w:eastAsia="仿宋_GB2312"/>
          <w:sz w:val="28"/>
          <w:szCs w:val="28"/>
          <w:lang w:val="en-US" w:eastAsia="zh-CN"/>
        </w:rPr>
        <w:t>403.1</w:t>
      </w:r>
      <w:r>
        <w:rPr>
          <w:rFonts w:hint="eastAsia" w:ascii="仿宋_GB2312" w:eastAsia="仿宋_GB2312"/>
          <w:sz w:val="28"/>
          <w:szCs w:val="28"/>
        </w:rPr>
        <w:t>万元。</w:t>
      </w:r>
    </w:p>
    <w:p>
      <w:pPr>
        <w:spacing w:line="580" w:lineRule="exact"/>
        <w:ind w:firstLine="560" w:firstLineChars="200"/>
        <w:rPr>
          <w:rFonts w:hint="eastAsia" w:ascii="仿宋_GB2312" w:eastAsia="仿宋_GB2312"/>
          <w:sz w:val="28"/>
          <w:szCs w:val="28"/>
        </w:rPr>
      </w:pPr>
      <w:r>
        <w:rPr>
          <w:rFonts w:hint="eastAsia" w:ascii="仿宋_GB2312" w:eastAsia="仿宋_GB2312"/>
          <w:sz w:val="28"/>
          <w:szCs w:val="28"/>
          <w:lang w:val="en-US" w:eastAsia="zh-CN"/>
        </w:rPr>
        <w:t>7、</w:t>
      </w:r>
      <w:r>
        <w:rPr>
          <w:rFonts w:hint="eastAsia" w:ascii="仿宋_GB2312" w:eastAsia="仿宋_GB2312"/>
          <w:sz w:val="28"/>
          <w:szCs w:val="28"/>
        </w:rPr>
        <w:t>“</w:t>
      </w:r>
      <w:r>
        <w:rPr>
          <w:rFonts w:hint="eastAsia" w:ascii="仿宋_GB2312" w:hAnsi="仿宋_GB2312" w:eastAsia="仿宋_GB2312" w:cs="仿宋_GB2312"/>
          <w:sz w:val="28"/>
          <w:szCs w:val="28"/>
        </w:rPr>
        <w:t>城乡社区支出</w:t>
      </w:r>
      <w:r>
        <w:rPr>
          <w:rFonts w:hint="eastAsia" w:ascii="仿宋_GB2312" w:eastAsia="仿宋_GB2312"/>
          <w:sz w:val="28"/>
          <w:szCs w:val="28"/>
        </w:rPr>
        <w:t>”(类)202</w:t>
      </w:r>
      <w:r>
        <w:rPr>
          <w:rFonts w:hint="eastAsia" w:ascii="仿宋_GB2312" w:eastAsia="仿宋_GB2312"/>
          <w:sz w:val="28"/>
          <w:szCs w:val="28"/>
          <w:lang w:val="en-US" w:eastAsia="zh-CN"/>
        </w:rPr>
        <w:t>4</w:t>
      </w:r>
      <w:r>
        <w:rPr>
          <w:rFonts w:hint="eastAsia" w:ascii="仿宋_GB2312" w:eastAsia="仿宋_GB2312"/>
          <w:sz w:val="28"/>
          <w:szCs w:val="28"/>
        </w:rPr>
        <w:t>年度决算</w:t>
      </w:r>
      <w:r>
        <w:rPr>
          <w:rFonts w:hint="eastAsia" w:ascii="仿宋_GB2312" w:hAnsi="仿宋_GB2312" w:eastAsia="仿宋_GB2312" w:cs="仿宋_GB2312"/>
          <w:sz w:val="28"/>
          <w:szCs w:val="28"/>
          <w:lang w:val="en-US" w:eastAsia="zh-CN"/>
        </w:rPr>
        <w:t>1065.06</w:t>
      </w:r>
      <w:r>
        <w:rPr>
          <w:rFonts w:hint="eastAsia" w:ascii="仿宋_GB2312" w:eastAsia="仿宋_GB2312"/>
          <w:sz w:val="28"/>
          <w:szCs w:val="28"/>
        </w:rPr>
        <w:t>万元。</w:t>
      </w:r>
    </w:p>
    <w:p>
      <w:pPr>
        <w:pStyle w:val="5"/>
        <w:rPr>
          <w:rFonts w:hint="eastAsia" w:ascii="仿宋_GB2312" w:eastAsia="仿宋_GB2312"/>
          <w:sz w:val="28"/>
          <w:szCs w:val="28"/>
        </w:rPr>
      </w:pPr>
      <w:r>
        <w:rPr>
          <w:rFonts w:hint="eastAsia" w:ascii="仿宋_GB2312" w:eastAsia="仿宋_GB2312"/>
          <w:sz w:val="28"/>
          <w:szCs w:val="28"/>
          <w:lang w:val="en-US" w:eastAsia="zh-CN"/>
        </w:rPr>
        <w:t>8、</w:t>
      </w:r>
      <w:r>
        <w:rPr>
          <w:rFonts w:hint="eastAsia" w:ascii="仿宋_GB2312" w:eastAsia="仿宋_GB2312"/>
          <w:sz w:val="28"/>
          <w:szCs w:val="28"/>
        </w:rPr>
        <w:t>“</w:t>
      </w:r>
      <w:r>
        <w:rPr>
          <w:rFonts w:hint="eastAsia" w:ascii="仿宋_GB2312" w:hAnsi="仿宋_GB2312" w:eastAsia="仿宋_GB2312" w:cs="仿宋_GB2312"/>
          <w:sz w:val="28"/>
          <w:szCs w:val="28"/>
        </w:rPr>
        <w:t>农林水支出</w:t>
      </w:r>
      <w:r>
        <w:rPr>
          <w:rFonts w:hint="eastAsia" w:ascii="仿宋_GB2312" w:eastAsia="仿宋_GB2312"/>
          <w:sz w:val="28"/>
          <w:szCs w:val="28"/>
        </w:rPr>
        <w:t>”(类)202</w:t>
      </w:r>
      <w:r>
        <w:rPr>
          <w:rFonts w:hint="eastAsia" w:ascii="仿宋_GB2312" w:eastAsia="仿宋_GB2312"/>
          <w:sz w:val="28"/>
          <w:szCs w:val="28"/>
          <w:lang w:val="en-US" w:eastAsia="zh-CN"/>
        </w:rPr>
        <w:t>4</w:t>
      </w:r>
      <w:r>
        <w:rPr>
          <w:rFonts w:hint="eastAsia" w:ascii="仿宋_GB2312" w:eastAsia="仿宋_GB2312"/>
          <w:sz w:val="28"/>
          <w:szCs w:val="28"/>
        </w:rPr>
        <w:t>年度决算</w:t>
      </w:r>
      <w:r>
        <w:rPr>
          <w:rFonts w:hint="eastAsia" w:ascii="仿宋_GB2312" w:hAnsi="仿宋_GB2312" w:eastAsia="仿宋_GB2312" w:cs="仿宋_GB2312"/>
          <w:sz w:val="28"/>
          <w:szCs w:val="28"/>
          <w:lang w:val="en-US" w:eastAsia="zh-CN"/>
        </w:rPr>
        <w:t>10183.13</w:t>
      </w:r>
      <w:r>
        <w:rPr>
          <w:rFonts w:hint="eastAsia" w:ascii="仿宋_GB2312" w:eastAsia="仿宋_GB2312"/>
          <w:sz w:val="28"/>
          <w:szCs w:val="28"/>
        </w:rPr>
        <w:t>万元。</w:t>
      </w:r>
    </w:p>
    <w:p>
      <w:pPr>
        <w:pStyle w:val="5"/>
        <w:rPr>
          <w:rFonts w:ascii="仿宋_GB2312" w:eastAsia="仿宋_GB2312"/>
          <w:sz w:val="28"/>
          <w:szCs w:val="28"/>
        </w:rPr>
      </w:pPr>
      <w:r>
        <w:rPr>
          <w:rFonts w:hint="eastAsia" w:ascii="仿宋_GB2312" w:eastAsia="仿宋_GB2312"/>
          <w:sz w:val="28"/>
          <w:szCs w:val="28"/>
          <w:lang w:val="en-US" w:eastAsia="zh-CN"/>
        </w:rPr>
        <w:t>9、</w:t>
      </w:r>
      <w:r>
        <w:rPr>
          <w:rFonts w:hint="eastAsia" w:ascii="仿宋_GB2312" w:eastAsia="仿宋_GB2312"/>
          <w:sz w:val="28"/>
          <w:szCs w:val="28"/>
        </w:rPr>
        <w:t>“</w:t>
      </w:r>
      <w:r>
        <w:rPr>
          <w:rFonts w:hint="eastAsia" w:ascii="仿宋_GB2312" w:hAnsi="仿宋_GB2312" w:eastAsia="仿宋_GB2312" w:cs="仿宋_GB2312"/>
          <w:sz w:val="28"/>
          <w:szCs w:val="28"/>
        </w:rPr>
        <w:t>灾害防治及应急管理支出</w:t>
      </w:r>
      <w:r>
        <w:rPr>
          <w:rFonts w:hint="eastAsia" w:ascii="仿宋_GB2312" w:eastAsia="仿宋_GB2312"/>
          <w:sz w:val="28"/>
          <w:szCs w:val="28"/>
        </w:rPr>
        <w:t>”(类)202</w:t>
      </w:r>
      <w:r>
        <w:rPr>
          <w:rFonts w:hint="eastAsia" w:ascii="仿宋_GB2312" w:eastAsia="仿宋_GB2312"/>
          <w:sz w:val="28"/>
          <w:szCs w:val="28"/>
          <w:lang w:val="en-US" w:eastAsia="zh-CN"/>
        </w:rPr>
        <w:t>4</w:t>
      </w:r>
      <w:r>
        <w:rPr>
          <w:rFonts w:hint="eastAsia" w:ascii="仿宋_GB2312" w:eastAsia="仿宋_GB2312"/>
          <w:sz w:val="28"/>
          <w:szCs w:val="28"/>
        </w:rPr>
        <w:t>年度决算</w:t>
      </w:r>
      <w:r>
        <w:rPr>
          <w:rFonts w:hint="eastAsia" w:ascii="仿宋_GB2312" w:hAnsi="仿宋_GB2312" w:eastAsia="仿宋_GB2312" w:cs="仿宋_GB2312"/>
          <w:sz w:val="28"/>
          <w:szCs w:val="28"/>
          <w:lang w:val="en-US" w:eastAsia="zh-CN"/>
        </w:rPr>
        <w:t>146.99</w:t>
      </w:r>
      <w:r>
        <w:rPr>
          <w:rFonts w:hint="eastAsia" w:ascii="仿宋_GB2312" w:eastAsia="仿宋_GB2312"/>
          <w:sz w:val="28"/>
          <w:szCs w:val="28"/>
        </w:rPr>
        <w:t>万</w:t>
      </w:r>
      <w:r>
        <w:rPr>
          <w:rFonts w:hint="eastAsia" w:ascii="仿宋_GB2312" w:eastAsia="仿宋_GB2312"/>
          <w:sz w:val="28"/>
          <w:szCs w:val="28"/>
          <w:lang w:eastAsia="zh-CN"/>
        </w:rPr>
        <w:t>元</w:t>
      </w:r>
      <w:r>
        <w:rPr>
          <w:rFonts w:hint="eastAsia" w:ascii="仿宋_GB2312" w:eastAsia="仿宋_GB2312"/>
          <w:sz w:val="28"/>
          <w:szCs w:val="28"/>
        </w:rPr>
        <w:t>。</w:t>
      </w:r>
    </w:p>
    <w:p>
      <w:pPr>
        <w:spacing w:line="580" w:lineRule="exact"/>
        <w:ind w:firstLine="560" w:firstLineChars="200"/>
        <w:rPr>
          <w:rFonts w:ascii="仿宋_GB2312" w:eastAsia="仿宋_GB2312"/>
          <w:sz w:val="28"/>
          <w:szCs w:val="28"/>
        </w:rPr>
      </w:pPr>
      <w:r>
        <w:rPr>
          <w:rFonts w:hint="eastAsia" w:ascii="黑体" w:eastAsia="黑体"/>
          <w:b/>
          <w:sz w:val="28"/>
          <w:szCs w:val="28"/>
        </w:rPr>
        <w:t>五、政府性基金预算财政拨款支出决算情况说明</w:t>
      </w:r>
    </w:p>
    <w:p>
      <w:pPr>
        <w:autoSpaceDE w:val="0"/>
        <w:autoSpaceDN w:val="0"/>
        <w:adjustRightInd w:val="0"/>
        <w:spacing w:line="580" w:lineRule="exact"/>
        <w:ind w:firstLine="560" w:firstLineChars="200"/>
        <w:jc w:val="left"/>
        <w:rPr>
          <w:rFonts w:ascii="仿宋_GB2312" w:eastAsia="仿宋_GB2312"/>
          <w:sz w:val="28"/>
          <w:szCs w:val="28"/>
        </w:rPr>
      </w:pPr>
      <w:r>
        <w:rPr>
          <w:rFonts w:hint="eastAsia" w:ascii="仿宋_GB2312" w:eastAsia="仿宋_GB2312"/>
          <w:sz w:val="28"/>
          <w:szCs w:val="28"/>
        </w:rPr>
        <w:t>（一）政府性基金预算财政拨款支出决算总体情况</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2024年度政府性基金预算财政拨款支出</w:t>
      </w:r>
      <w:r>
        <w:rPr>
          <w:rFonts w:ascii="仿宋_GB2312" w:eastAsia="仿宋_GB2312"/>
          <w:sz w:val="28"/>
          <w:szCs w:val="28"/>
        </w:rPr>
        <w:t>7766.71</w:t>
      </w:r>
      <w:r>
        <w:rPr>
          <w:rFonts w:hint="eastAsia" w:ascii="仿宋_GB2312" w:eastAsia="仿宋_GB2312"/>
          <w:sz w:val="28"/>
          <w:szCs w:val="28"/>
        </w:rPr>
        <w:t>万元，主要用于以下方面（按大类）：城乡社区支出</w:t>
      </w:r>
      <w:r>
        <w:rPr>
          <w:rFonts w:hint="eastAsia" w:ascii="仿宋_GB2312" w:eastAsia="仿宋_GB2312"/>
          <w:sz w:val="28"/>
          <w:szCs w:val="28"/>
          <w:lang w:val="en-US" w:eastAsia="zh-CN"/>
        </w:rPr>
        <w:t>6425.53</w:t>
      </w:r>
      <w:r>
        <w:rPr>
          <w:rFonts w:hint="eastAsia" w:ascii="仿宋_GB2312" w:eastAsia="仿宋_GB2312"/>
          <w:sz w:val="28"/>
          <w:szCs w:val="28"/>
        </w:rPr>
        <w:t>万元，占本年财政拨款支出</w:t>
      </w:r>
      <w:r>
        <w:rPr>
          <w:rFonts w:hint="eastAsia" w:ascii="仿宋_GB2312" w:eastAsia="仿宋_GB2312"/>
          <w:sz w:val="28"/>
          <w:szCs w:val="28"/>
          <w:lang w:val="en-US" w:eastAsia="zh-CN"/>
        </w:rPr>
        <w:t>82.73</w:t>
      </w:r>
      <w:r>
        <w:rPr>
          <w:rFonts w:hint="eastAsia" w:ascii="仿宋_GB2312" w:eastAsia="仿宋_GB2312"/>
          <w:sz w:val="28"/>
          <w:szCs w:val="28"/>
        </w:rPr>
        <w:t>%；</w:t>
      </w:r>
      <w:r>
        <w:rPr>
          <w:rFonts w:hint="eastAsia" w:ascii="仿宋_GB2312" w:eastAsia="仿宋_GB2312"/>
          <w:sz w:val="28"/>
          <w:szCs w:val="28"/>
          <w:lang w:eastAsia="zh-CN"/>
        </w:rPr>
        <w:t>农林水支出</w:t>
      </w:r>
      <w:r>
        <w:rPr>
          <w:rFonts w:hint="eastAsia" w:ascii="仿宋_GB2312" w:eastAsia="仿宋_GB2312"/>
          <w:sz w:val="28"/>
          <w:szCs w:val="28"/>
          <w:lang w:val="en-US" w:eastAsia="zh-CN"/>
        </w:rPr>
        <w:t>1341.18</w:t>
      </w:r>
      <w:r>
        <w:rPr>
          <w:rFonts w:hint="eastAsia" w:ascii="仿宋_GB2312" w:eastAsia="仿宋_GB2312"/>
          <w:sz w:val="28"/>
          <w:szCs w:val="28"/>
        </w:rPr>
        <w:t>，占本年财政拨款支出</w:t>
      </w:r>
      <w:r>
        <w:rPr>
          <w:rFonts w:hint="eastAsia" w:ascii="仿宋_GB2312" w:eastAsia="仿宋_GB2312"/>
          <w:sz w:val="28"/>
          <w:szCs w:val="28"/>
          <w:lang w:val="en-US" w:eastAsia="zh-CN"/>
        </w:rPr>
        <w:t>17.27</w:t>
      </w:r>
      <w:r>
        <w:rPr>
          <w:rFonts w:hint="eastAsia" w:ascii="仿宋_GB2312" w:eastAsia="仿宋_GB2312"/>
          <w:sz w:val="28"/>
          <w:szCs w:val="28"/>
        </w:rPr>
        <w:t>%。</w:t>
      </w:r>
    </w:p>
    <w:p>
      <w:pPr>
        <w:autoSpaceDE w:val="0"/>
        <w:autoSpaceDN w:val="0"/>
        <w:adjustRightInd w:val="0"/>
        <w:spacing w:line="580" w:lineRule="exact"/>
        <w:ind w:firstLine="560" w:firstLineChars="200"/>
        <w:jc w:val="left"/>
        <w:rPr>
          <w:rFonts w:ascii="仿宋_GB2312" w:eastAsia="仿宋_GB2312"/>
          <w:sz w:val="28"/>
          <w:szCs w:val="28"/>
        </w:rPr>
      </w:pPr>
      <w:r>
        <w:rPr>
          <w:rFonts w:hint="eastAsia" w:ascii="仿宋_GB2312" w:eastAsia="仿宋_GB2312"/>
          <w:sz w:val="28"/>
          <w:szCs w:val="28"/>
        </w:rPr>
        <w:t>（二）政府性基金预算财政拨款支出决算具体情况</w:t>
      </w:r>
    </w:p>
    <w:p>
      <w:pPr>
        <w:spacing w:line="580" w:lineRule="exact"/>
        <w:ind w:firstLine="840" w:firstLineChars="300"/>
        <w:rPr>
          <w:rFonts w:ascii="仿宋_GB2312" w:eastAsia="仿宋_GB2312"/>
          <w:sz w:val="28"/>
          <w:szCs w:val="28"/>
        </w:rPr>
      </w:pPr>
      <w:r>
        <w:rPr>
          <w:rFonts w:hint="eastAsia" w:ascii="仿宋_GB2312" w:eastAsia="仿宋_GB2312"/>
          <w:sz w:val="28"/>
          <w:szCs w:val="28"/>
        </w:rPr>
        <w:t>1、“</w:t>
      </w:r>
      <w:r>
        <w:rPr>
          <w:rFonts w:hint="eastAsia" w:ascii="仿宋_GB2312" w:hAnsi="仿宋_GB2312" w:eastAsia="仿宋_GB2312" w:cs="仿宋_GB2312"/>
          <w:sz w:val="28"/>
          <w:szCs w:val="28"/>
        </w:rPr>
        <w:t>城乡社区支出</w:t>
      </w:r>
      <w:r>
        <w:rPr>
          <w:rFonts w:hint="eastAsia" w:ascii="仿宋_GB2312" w:eastAsia="仿宋_GB2312"/>
          <w:sz w:val="28"/>
          <w:szCs w:val="28"/>
        </w:rPr>
        <w:t>”（类）202</w:t>
      </w:r>
      <w:r>
        <w:rPr>
          <w:rFonts w:hint="eastAsia" w:ascii="仿宋_GB2312" w:eastAsia="仿宋_GB2312"/>
          <w:sz w:val="28"/>
          <w:szCs w:val="28"/>
          <w:lang w:val="en-US" w:eastAsia="zh-CN"/>
        </w:rPr>
        <w:t>4</w:t>
      </w:r>
      <w:r>
        <w:rPr>
          <w:rFonts w:hint="eastAsia" w:ascii="仿宋_GB2312" w:eastAsia="仿宋_GB2312"/>
          <w:sz w:val="28"/>
          <w:szCs w:val="28"/>
        </w:rPr>
        <w:t>年度决算</w:t>
      </w:r>
      <w:r>
        <w:rPr>
          <w:rFonts w:hint="eastAsia" w:ascii="仿宋_GB2312" w:hAnsi="仿宋_GB2312" w:eastAsia="仿宋_GB2312" w:cs="仿宋_GB2312"/>
          <w:sz w:val="28"/>
          <w:szCs w:val="28"/>
          <w:lang w:val="en-US" w:eastAsia="zh-CN"/>
        </w:rPr>
        <w:t>6425.53</w:t>
      </w:r>
      <w:r>
        <w:rPr>
          <w:rFonts w:hint="eastAsia" w:ascii="仿宋_GB2312" w:eastAsia="仿宋_GB2312"/>
          <w:sz w:val="28"/>
          <w:szCs w:val="28"/>
        </w:rPr>
        <w:t>万元，比202</w:t>
      </w:r>
      <w:r>
        <w:rPr>
          <w:rFonts w:hint="eastAsia" w:ascii="仿宋_GB2312" w:eastAsia="仿宋_GB2312"/>
          <w:sz w:val="28"/>
          <w:szCs w:val="28"/>
          <w:lang w:val="en-US" w:eastAsia="zh-CN"/>
        </w:rPr>
        <w:t>4</w:t>
      </w:r>
      <w:r>
        <w:rPr>
          <w:rFonts w:hint="eastAsia" w:ascii="仿宋_GB2312" w:eastAsia="仿宋_GB2312"/>
          <w:sz w:val="28"/>
          <w:szCs w:val="28"/>
        </w:rPr>
        <w:t>年度年初预算增加</w:t>
      </w:r>
      <w:r>
        <w:rPr>
          <w:rFonts w:hint="eastAsia" w:ascii="仿宋_GB2312" w:hAnsi="仿宋_GB2312" w:eastAsia="仿宋_GB2312" w:cs="仿宋_GB2312"/>
          <w:sz w:val="28"/>
          <w:szCs w:val="28"/>
          <w:lang w:val="en-US" w:eastAsia="zh-CN"/>
        </w:rPr>
        <w:t>6425.53</w:t>
      </w:r>
      <w:r>
        <w:rPr>
          <w:rFonts w:hint="eastAsia" w:ascii="仿宋_GB2312" w:eastAsia="仿宋_GB2312"/>
          <w:sz w:val="28"/>
          <w:szCs w:val="28"/>
        </w:rPr>
        <w:t>万元，增长</w:t>
      </w:r>
      <w:r>
        <w:rPr>
          <w:rFonts w:hint="eastAsia" w:ascii="仿宋_GB2312" w:eastAsia="仿宋_GB2312"/>
          <w:sz w:val="28"/>
          <w:szCs w:val="28"/>
          <w:lang w:val="en-US" w:eastAsia="zh-CN"/>
        </w:rPr>
        <w:t>100</w:t>
      </w:r>
      <w:r>
        <w:rPr>
          <w:rFonts w:hint="eastAsia" w:ascii="仿宋_GB2312" w:eastAsia="仿宋_GB2312"/>
          <w:sz w:val="28"/>
          <w:szCs w:val="28"/>
        </w:rPr>
        <w:t>%。</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2、“</w:t>
      </w:r>
      <w:r>
        <w:rPr>
          <w:rFonts w:hint="eastAsia" w:ascii="仿宋_GB2312" w:eastAsia="仿宋_GB2312"/>
          <w:sz w:val="28"/>
          <w:szCs w:val="28"/>
          <w:lang w:eastAsia="zh-CN"/>
        </w:rPr>
        <w:t>农林水支出</w:t>
      </w:r>
      <w:r>
        <w:rPr>
          <w:rFonts w:hint="eastAsia" w:ascii="仿宋_GB2312" w:eastAsia="仿宋_GB2312"/>
          <w:sz w:val="28"/>
          <w:szCs w:val="28"/>
        </w:rPr>
        <w:t>”（类）2024年度决算</w:t>
      </w:r>
      <w:r>
        <w:rPr>
          <w:rFonts w:hint="eastAsia" w:ascii="仿宋_GB2312" w:eastAsia="仿宋_GB2312"/>
          <w:sz w:val="28"/>
          <w:szCs w:val="28"/>
          <w:lang w:val="en-US" w:eastAsia="zh-CN"/>
        </w:rPr>
        <w:t>1341.18</w:t>
      </w:r>
      <w:r>
        <w:rPr>
          <w:rFonts w:hint="eastAsia" w:ascii="仿宋_GB2312" w:eastAsia="仿宋_GB2312"/>
          <w:sz w:val="28"/>
          <w:szCs w:val="28"/>
        </w:rPr>
        <w:t>万元，比2024年度年初预算增加</w:t>
      </w:r>
      <w:r>
        <w:rPr>
          <w:rFonts w:hint="eastAsia" w:ascii="仿宋_GB2312" w:eastAsia="仿宋_GB2312"/>
          <w:sz w:val="28"/>
          <w:szCs w:val="28"/>
          <w:lang w:val="en-US" w:eastAsia="zh-CN"/>
        </w:rPr>
        <w:t>1341.18</w:t>
      </w:r>
      <w:r>
        <w:rPr>
          <w:rFonts w:hint="eastAsia" w:ascii="仿宋_GB2312" w:eastAsia="仿宋_GB2312"/>
          <w:sz w:val="28"/>
          <w:szCs w:val="28"/>
        </w:rPr>
        <w:t>万元，增长</w:t>
      </w:r>
      <w:r>
        <w:rPr>
          <w:rFonts w:hint="eastAsia" w:ascii="仿宋_GB2312" w:eastAsia="仿宋_GB2312"/>
          <w:sz w:val="28"/>
          <w:szCs w:val="28"/>
          <w:lang w:val="en-US" w:eastAsia="zh-CN"/>
        </w:rPr>
        <w:t>100</w:t>
      </w:r>
      <w:r>
        <w:rPr>
          <w:rFonts w:hint="eastAsia" w:ascii="仿宋_GB2312" w:eastAsia="仿宋_GB2312"/>
          <w:sz w:val="28"/>
          <w:szCs w:val="28"/>
        </w:rPr>
        <w:t>%。</w:t>
      </w:r>
    </w:p>
    <w:p>
      <w:pPr>
        <w:spacing w:line="580" w:lineRule="exact"/>
        <w:ind w:firstLine="560" w:firstLineChars="200"/>
        <w:rPr>
          <w:rFonts w:ascii="黑体" w:eastAsia="黑体"/>
          <w:b/>
          <w:sz w:val="28"/>
          <w:szCs w:val="28"/>
        </w:rPr>
      </w:pPr>
      <w:r>
        <w:rPr>
          <w:rFonts w:hint="eastAsia" w:ascii="黑体" w:eastAsia="黑体"/>
          <w:b/>
          <w:sz w:val="28"/>
          <w:szCs w:val="28"/>
        </w:rPr>
        <w:t>六、国有资本经营预算财</w:t>
      </w:r>
      <w:r>
        <w:rPr>
          <w:rFonts w:ascii="黑体" w:eastAsia="黑体"/>
          <w:b/>
          <w:sz w:val="28"/>
          <w:szCs w:val="28"/>
        </w:rPr>
        <w:t>政拨款</w:t>
      </w:r>
      <w:r>
        <w:rPr>
          <w:rFonts w:hint="eastAsia" w:ascii="黑体" w:eastAsia="黑体"/>
          <w:b/>
          <w:sz w:val="28"/>
          <w:szCs w:val="28"/>
        </w:rPr>
        <w:t>收支情况</w:t>
      </w:r>
    </w:p>
    <w:p>
      <w:pPr>
        <w:ind w:firstLine="537" w:firstLineChars="192"/>
        <w:rPr>
          <w:rFonts w:ascii="仿宋_GB2312" w:eastAsia="仿宋_GB2312"/>
          <w:sz w:val="28"/>
          <w:szCs w:val="28"/>
        </w:rPr>
      </w:pPr>
      <w:r>
        <w:rPr>
          <w:rFonts w:hint="eastAsia" w:ascii="仿宋_GB2312" w:eastAsia="仿宋_GB2312"/>
          <w:sz w:val="28"/>
          <w:szCs w:val="28"/>
          <w:lang w:eastAsia="zh-CN"/>
        </w:rPr>
        <w:t>本单位无此项支出</w:t>
      </w:r>
      <w:r>
        <w:rPr>
          <w:rFonts w:hint="eastAsia" w:ascii="仿宋_GB2312" w:eastAsia="仿宋_GB2312"/>
          <w:sz w:val="28"/>
          <w:szCs w:val="28"/>
        </w:rPr>
        <w:t>。</w:t>
      </w:r>
    </w:p>
    <w:p>
      <w:pPr>
        <w:spacing w:line="580" w:lineRule="exact"/>
        <w:ind w:firstLine="548" w:firstLineChars="196"/>
        <w:rPr>
          <w:rFonts w:ascii="黑体" w:eastAsia="黑体"/>
          <w:sz w:val="28"/>
          <w:szCs w:val="28"/>
        </w:rPr>
      </w:pPr>
      <w:r>
        <w:rPr>
          <w:rFonts w:hint="eastAsia" w:ascii="黑体" w:eastAsia="黑体"/>
          <w:b/>
          <w:sz w:val="28"/>
          <w:szCs w:val="28"/>
        </w:rPr>
        <w:t>七、财政拨款基本支出决算情况说明</w:t>
      </w:r>
    </w:p>
    <w:p>
      <w:pPr>
        <w:tabs>
          <w:tab w:val="center" w:pos="6979"/>
        </w:tabs>
        <w:spacing w:line="580" w:lineRule="exact"/>
        <w:ind w:firstLine="548" w:firstLineChars="196"/>
        <w:rPr>
          <w:rFonts w:ascii="黑体" w:eastAsia="黑体"/>
          <w:b/>
          <w:sz w:val="28"/>
          <w:szCs w:val="28"/>
        </w:rPr>
      </w:pPr>
      <w:r>
        <w:rPr>
          <w:rFonts w:hint="eastAsia" w:ascii="仿宋_GB2312" w:eastAsia="仿宋_GB2312"/>
          <w:sz w:val="28"/>
          <w:szCs w:val="28"/>
        </w:rPr>
        <w:t>2024年度使用一般公共预算财政拨款安排基本支出</w:t>
      </w:r>
      <w:r>
        <w:rPr>
          <w:rFonts w:ascii="仿宋_GB2312" w:eastAsia="仿宋_GB2312"/>
          <w:sz w:val="28"/>
          <w:szCs w:val="28"/>
        </w:rPr>
        <w:t>3081.08</w:t>
      </w:r>
      <w:r>
        <w:rPr>
          <w:rFonts w:hint="eastAsia" w:ascii="仿宋_GB2312" w:eastAsia="仿宋_GB2312"/>
          <w:sz w:val="28"/>
          <w:szCs w:val="28"/>
        </w:rPr>
        <w:t>万元，使用政府性基金财政拨款安排基本支出</w:t>
      </w:r>
      <w:r>
        <w:rPr>
          <w:rFonts w:ascii="仿宋_GB2312" w:eastAsia="仿宋_GB2312"/>
          <w:sz w:val="28"/>
          <w:szCs w:val="28"/>
        </w:rPr>
        <w:t>0</w:t>
      </w:r>
      <w:r>
        <w:rPr>
          <w:rFonts w:hint="eastAsia" w:ascii="仿宋_GB2312" w:eastAsia="仿宋_GB2312"/>
          <w:sz w:val="28"/>
          <w:szCs w:val="28"/>
        </w:rPr>
        <w:t>万元，其中：（1）工资福利支出包括基本工资</w:t>
      </w:r>
      <w:r>
        <w:rPr>
          <w:rFonts w:ascii="仿宋_GB2312" w:eastAsia="仿宋_GB2312"/>
          <w:sz w:val="28"/>
          <w:szCs w:val="28"/>
        </w:rPr>
        <w:t>、津贴补贴、奖金、伙食补助费、绩效工资、</w:t>
      </w:r>
      <w:r>
        <w:rPr>
          <w:rFonts w:hint="eastAsia" w:ascii="仿宋_GB2312" w:eastAsia="仿宋_GB2312"/>
          <w:sz w:val="28"/>
          <w:szCs w:val="28"/>
        </w:rPr>
        <w:t>其他</w:t>
      </w:r>
      <w:r>
        <w:rPr>
          <w:rFonts w:ascii="仿宋_GB2312" w:eastAsia="仿宋_GB2312"/>
          <w:sz w:val="28"/>
          <w:szCs w:val="28"/>
        </w:rPr>
        <w:t>社会保障缴费、其他工资福利</w:t>
      </w:r>
      <w:r>
        <w:rPr>
          <w:rFonts w:hint="eastAsia" w:ascii="仿宋_GB2312" w:eastAsia="仿宋_GB2312"/>
          <w:sz w:val="28"/>
          <w:szCs w:val="28"/>
        </w:rPr>
        <w:t>等</w:t>
      </w:r>
      <w:r>
        <w:rPr>
          <w:rFonts w:ascii="仿宋_GB2312" w:eastAsia="仿宋_GB2312"/>
          <w:sz w:val="28"/>
          <w:szCs w:val="28"/>
        </w:rPr>
        <w:t>支出</w:t>
      </w:r>
      <w:r>
        <w:rPr>
          <w:rFonts w:hint="eastAsia" w:ascii="仿宋_GB2312" w:eastAsia="仿宋_GB2312"/>
          <w:sz w:val="28"/>
          <w:szCs w:val="28"/>
        </w:rPr>
        <w:t>；（2）商品和服务支出包括</w:t>
      </w:r>
      <w:r>
        <w:rPr>
          <w:rFonts w:ascii="仿宋_GB2312" w:eastAsia="仿宋_GB2312"/>
          <w:sz w:val="28"/>
          <w:szCs w:val="28"/>
        </w:rPr>
        <w:t>办公费、印刷费、咨询费、手续费、水费、电费、邮电费、取暖费、物业管理费、差旅费、因公出国（境）费、维修（护）费、租赁费、会议费、培训费、公务接待费、专用材料费、劳务费、委托业务费、工会经费、福利费、公务用车运行维护费、其他交通费、其他商品和服务</w:t>
      </w:r>
      <w:r>
        <w:rPr>
          <w:rFonts w:hint="eastAsia" w:ascii="仿宋_GB2312" w:eastAsia="仿宋_GB2312"/>
          <w:sz w:val="28"/>
          <w:szCs w:val="28"/>
        </w:rPr>
        <w:t>等</w:t>
      </w:r>
      <w:r>
        <w:rPr>
          <w:rFonts w:ascii="仿宋_GB2312" w:eastAsia="仿宋_GB2312"/>
          <w:sz w:val="28"/>
          <w:szCs w:val="28"/>
        </w:rPr>
        <w:t>支出</w:t>
      </w:r>
      <w:r>
        <w:rPr>
          <w:rFonts w:hint="eastAsia" w:ascii="仿宋_GB2312" w:eastAsia="仿宋_GB2312"/>
          <w:sz w:val="28"/>
          <w:szCs w:val="28"/>
        </w:rPr>
        <w:t>；（3）对个人和家庭补助支出包括</w:t>
      </w:r>
      <w:r>
        <w:rPr>
          <w:rFonts w:ascii="仿宋_GB2312" w:eastAsia="仿宋_GB2312"/>
          <w:sz w:val="28"/>
          <w:szCs w:val="28"/>
        </w:rPr>
        <w:t>离休费、退休费、抚恤金、生活补助、</w:t>
      </w:r>
      <w:r>
        <w:rPr>
          <w:rFonts w:hint="eastAsia" w:ascii="仿宋_GB2312" w:eastAsia="仿宋_GB2312"/>
          <w:sz w:val="28"/>
          <w:szCs w:val="28"/>
        </w:rPr>
        <w:t>救济费</w:t>
      </w:r>
      <w:r>
        <w:rPr>
          <w:rFonts w:ascii="仿宋_GB2312" w:eastAsia="仿宋_GB2312"/>
          <w:sz w:val="28"/>
          <w:szCs w:val="28"/>
        </w:rPr>
        <w:t>、医疗费</w:t>
      </w:r>
      <w:r>
        <w:rPr>
          <w:rFonts w:hint="eastAsia" w:ascii="仿宋_GB2312" w:eastAsia="仿宋_GB2312"/>
          <w:sz w:val="28"/>
          <w:szCs w:val="28"/>
        </w:rPr>
        <w:t>补助</w:t>
      </w:r>
      <w:r>
        <w:rPr>
          <w:rFonts w:ascii="仿宋_GB2312" w:eastAsia="仿宋_GB2312"/>
          <w:sz w:val="28"/>
          <w:szCs w:val="28"/>
        </w:rPr>
        <w:t>、助学金、奖励金</w:t>
      </w:r>
      <w:r>
        <w:rPr>
          <w:rFonts w:hint="eastAsia" w:ascii="仿宋_GB2312" w:eastAsia="仿宋_GB2312"/>
          <w:sz w:val="28"/>
          <w:szCs w:val="28"/>
        </w:rPr>
        <w:t>、</w:t>
      </w:r>
      <w:r>
        <w:rPr>
          <w:rFonts w:ascii="仿宋_GB2312" w:eastAsia="仿宋_GB2312"/>
          <w:sz w:val="28"/>
          <w:szCs w:val="28"/>
        </w:rPr>
        <w:t>其他对个人和家庭的补助</w:t>
      </w:r>
      <w:r>
        <w:rPr>
          <w:rFonts w:hint="eastAsia" w:ascii="仿宋_GB2312" w:eastAsia="仿宋_GB2312"/>
          <w:sz w:val="28"/>
          <w:szCs w:val="28"/>
        </w:rPr>
        <w:t>等</w:t>
      </w:r>
      <w:r>
        <w:rPr>
          <w:rFonts w:ascii="仿宋_GB2312" w:eastAsia="仿宋_GB2312"/>
          <w:sz w:val="28"/>
          <w:szCs w:val="28"/>
        </w:rPr>
        <w:t>支出</w:t>
      </w:r>
      <w:r>
        <w:rPr>
          <w:rFonts w:hint="eastAsia" w:ascii="仿宋_GB2312" w:eastAsia="仿宋_GB2312"/>
          <w:sz w:val="28"/>
          <w:szCs w:val="28"/>
        </w:rPr>
        <w:t>。（4）其他资本性支出包括</w:t>
      </w:r>
      <w:r>
        <w:rPr>
          <w:rFonts w:ascii="仿宋_GB2312" w:eastAsia="仿宋_GB2312"/>
          <w:sz w:val="28"/>
          <w:szCs w:val="28"/>
        </w:rPr>
        <w:t>办公设备购置、专用设备购置</w:t>
      </w:r>
      <w:r>
        <w:rPr>
          <w:rFonts w:hint="eastAsia" w:ascii="仿宋_GB2312" w:eastAsia="仿宋_GB2312"/>
          <w:sz w:val="28"/>
          <w:szCs w:val="28"/>
        </w:rPr>
        <w:t>等</w:t>
      </w:r>
      <w:r>
        <w:rPr>
          <w:rFonts w:ascii="仿宋_GB2312" w:eastAsia="仿宋_GB2312"/>
          <w:sz w:val="28"/>
          <w:szCs w:val="28"/>
        </w:rPr>
        <w:t>。</w:t>
      </w:r>
    </w:p>
    <w:p>
      <w:pPr>
        <w:autoSpaceDE w:val="0"/>
        <w:autoSpaceDN w:val="0"/>
        <w:adjustRightInd w:val="0"/>
        <w:spacing w:line="580" w:lineRule="exact"/>
        <w:jc w:val="center"/>
        <w:rPr>
          <w:rFonts w:ascii="宋体" w:hAnsi="宋体" w:cs="宋体"/>
          <w:b/>
          <w:spacing w:val="40"/>
          <w:kern w:val="0"/>
          <w:sz w:val="32"/>
          <w:szCs w:val="32"/>
        </w:rPr>
      </w:pPr>
      <w:r>
        <w:rPr>
          <w:rFonts w:ascii="仿宋_GB2312" w:eastAsia="仿宋_GB2312"/>
          <w:sz w:val="28"/>
          <w:szCs w:val="28"/>
        </w:rPr>
        <w:br w:type="page"/>
      </w:r>
      <w:r>
        <w:rPr>
          <w:rFonts w:hint="eastAsia" w:ascii="宋体" w:hAnsi="宋体" w:cs="宋体"/>
          <w:b/>
          <w:bCs/>
          <w:spacing w:val="40"/>
          <w:kern w:val="0"/>
          <w:sz w:val="32"/>
          <w:szCs w:val="32"/>
        </w:rPr>
        <w:t>第三部分</w:t>
      </w:r>
      <w:r>
        <w:rPr>
          <w:rFonts w:hint="eastAsia" w:ascii="宋体" w:hAnsi="宋体"/>
          <w:b/>
          <w:spacing w:val="40"/>
          <w:sz w:val="32"/>
          <w:szCs w:val="32"/>
        </w:rPr>
        <w:t>2024年度</w:t>
      </w:r>
      <w:r>
        <w:rPr>
          <w:rFonts w:hint="eastAsia" w:ascii="宋体" w:hAnsi="宋体" w:cs="宋体"/>
          <w:b/>
          <w:spacing w:val="40"/>
          <w:kern w:val="0"/>
          <w:sz w:val="32"/>
          <w:szCs w:val="32"/>
        </w:rPr>
        <w:t>其他重要事项的情况说明</w:t>
      </w:r>
    </w:p>
    <w:p>
      <w:pPr>
        <w:spacing w:line="560" w:lineRule="exact"/>
        <w:ind w:firstLine="560" w:firstLineChars="200"/>
        <w:rPr>
          <w:rFonts w:ascii="黑体" w:eastAsia="黑体"/>
          <w:sz w:val="28"/>
          <w:szCs w:val="28"/>
        </w:rPr>
      </w:pPr>
      <w:r>
        <w:rPr>
          <w:rFonts w:hint="eastAsia" w:ascii="黑体" w:eastAsia="黑体"/>
          <w:sz w:val="28"/>
          <w:szCs w:val="28"/>
        </w:rPr>
        <w:t>一、“三公”经费财政拨款决算情况</w:t>
      </w:r>
    </w:p>
    <w:p>
      <w:pPr>
        <w:spacing w:line="560" w:lineRule="exact"/>
        <w:ind w:firstLine="600"/>
        <w:rPr>
          <w:rFonts w:ascii="仿宋_GB2312" w:eastAsia="仿宋_GB2312"/>
          <w:sz w:val="28"/>
          <w:szCs w:val="28"/>
        </w:rPr>
      </w:pPr>
      <w:r>
        <w:rPr>
          <w:rFonts w:hint="eastAsia" w:ascii="仿宋_GB2312" w:eastAsia="仿宋_GB2312"/>
          <w:sz w:val="28"/>
          <w:szCs w:val="28"/>
        </w:rPr>
        <w:t>“三公”经费包括本部门所属</w:t>
      </w:r>
      <w:r>
        <w:rPr>
          <w:rFonts w:hint="eastAsia" w:ascii="仿宋_GB2312" w:eastAsia="仿宋_GB2312"/>
          <w:bCs/>
          <w:sz w:val="28"/>
          <w:szCs w:val="28"/>
          <w:lang w:val="en-US" w:eastAsia="zh-CN"/>
        </w:rPr>
        <w:t>1</w:t>
      </w:r>
      <w:r>
        <w:rPr>
          <w:rFonts w:hint="eastAsia" w:ascii="仿宋_GB2312" w:eastAsia="仿宋_GB2312"/>
          <w:sz w:val="28"/>
          <w:szCs w:val="28"/>
        </w:rPr>
        <w:t>个行政单位。2024年度“三公”经费财政拨款决算数</w:t>
      </w:r>
      <w:r>
        <w:rPr>
          <w:rFonts w:ascii="仿宋_GB2312" w:eastAsia="仿宋_GB2312"/>
          <w:sz w:val="28"/>
          <w:szCs w:val="28"/>
        </w:rPr>
        <w:t>13.28</w:t>
      </w:r>
      <w:r>
        <w:rPr>
          <w:rFonts w:hint="eastAsia" w:ascii="仿宋_GB2312" w:eastAsia="仿宋_GB2312"/>
          <w:sz w:val="28"/>
          <w:szCs w:val="28"/>
        </w:rPr>
        <w:t>万元，比2024年度“三公”经费财政拨款年初预算</w:t>
      </w:r>
      <w:r>
        <w:rPr>
          <w:rFonts w:ascii="仿宋_GB2312" w:eastAsia="仿宋_GB2312"/>
          <w:sz w:val="28"/>
          <w:szCs w:val="28"/>
        </w:rPr>
        <w:t>29.43</w:t>
      </w:r>
      <w:r>
        <w:rPr>
          <w:rFonts w:hint="eastAsia" w:ascii="仿宋_GB2312" w:eastAsia="仿宋_GB2312"/>
          <w:sz w:val="28"/>
          <w:szCs w:val="28"/>
        </w:rPr>
        <w:t>万元增加（减少）</w:t>
      </w:r>
      <w:r>
        <w:rPr>
          <w:rFonts w:ascii="仿宋_GB2312" w:eastAsia="仿宋_GB2312"/>
          <w:sz w:val="28"/>
          <w:szCs w:val="28"/>
        </w:rPr>
        <w:t>-16.14</w:t>
      </w:r>
      <w:r>
        <w:rPr>
          <w:rFonts w:hint="eastAsia" w:ascii="仿宋_GB2312" w:eastAsia="仿宋_GB2312"/>
          <w:sz w:val="28"/>
          <w:szCs w:val="28"/>
        </w:rPr>
        <w:t>万元。其中：</w:t>
      </w:r>
    </w:p>
    <w:p>
      <w:pPr>
        <w:spacing w:line="560" w:lineRule="exact"/>
        <w:ind w:firstLine="600"/>
        <w:rPr>
          <w:rFonts w:ascii="仿宋_GB2312" w:eastAsia="仿宋_GB2312"/>
          <w:sz w:val="28"/>
          <w:szCs w:val="28"/>
        </w:rPr>
      </w:pPr>
      <w:r>
        <w:rPr>
          <w:rFonts w:hint="eastAsia" w:ascii="仿宋_GB2312" w:eastAsia="仿宋_GB2312"/>
          <w:sz w:val="28"/>
          <w:szCs w:val="28"/>
        </w:rPr>
        <w:t>1.因公出国（境）费用。2024年度决算数</w:t>
      </w:r>
      <w:r>
        <w:rPr>
          <w:rFonts w:ascii="仿宋_GB2312" w:eastAsia="仿宋_GB2312"/>
          <w:sz w:val="28"/>
          <w:szCs w:val="28"/>
        </w:rPr>
        <w:t>0</w:t>
      </w:r>
      <w:r>
        <w:rPr>
          <w:rFonts w:hint="eastAsia" w:ascii="仿宋_GB2312" w:eastAsia="仿宋_GB2312"/>
          <w:sz w:val="28"/>
          <w:szCs w:val="28"/>
        </w:rPr>
        <w:t>万元，比2024年度年初预算数</w:t>
      </w:r>
      <w:r>
        <w:rPr>
          <w:rFonts w:ascii="仿宋_GB2312" w:eastAsia="仿宋_GB2312"/>
          <w:sz w:val="28"/>
          <w:szCs w:val="28"/>
        </w:rPr>
        <w:t>0</w:t>
      </w:r>
      <w:r>
        <w:rPr>
          <w:rFonts w:hint="eastAsia" w:ascii="仿宋_GB2312" w:eastAsia="仿宋_GB2312"/>
          <w:sz w:val="28"/>
          <w:szCs w:val="28"/>
        </w:rPr>
        <w:t>万元增加（减少）</w:t>
      </w:r>
      <w:r>
        <w:rPr>
          <w:rFonts w:ascii="仿宋_GB2312" w:eastAsia="仿宋_GB2312"/>
          <w:sz w:val="28"/>
          <w:szCs w:val="28"/>
        </w:rPr>
        <w:t>0</w:t>
      </w:r>
      <w:r>
        <w:rPr>
          <w:rFonts w:hint="eastAsia" w:ascii="仿宋_GB2312" w:eastAsia="仿宋_GB2312"/>
          <w:sz w:val="28"/>
          <w:szCs w:val="28"/>
        </w:rPr>
        <w:t>万元。</w:t>
      </w:r>
    </w:p>
    <w:p>
      <w:pPr>
        <w:spacing w:line="560" w:lineRule="exact"/>
        <w:ind w:firstLine="600"/>
        <w:rPr>
          <w:rFonts w:ascii="仿宋_GB2312" w:eastAsia="仿宋_GB2312"/>
          <w:sz w:val="28"/>
          <w:szCs w:val="28"/>
        </w:rPr>
      </w:pPr>
      <w:r>
        <w:rPr>
          <w:rFonts w:hint="eastAsia" w:ascii="仿宋_GB2312" w:eastAsia="仿宋_GB2312"/>
          <w:sz w:val="28"/>
          <w:szCs w:val="28"/>
        </w:rPr>
        <w:t>2.公务接待费。2024年度决算数</w:t>
      </w:r>
      <w:r>
        <w:rPr>
          <w:rFonts w:ascii="仿宋_GB2312" w:eastAsia="仿宋_GB2312"/>
          <w:sz w:val="28"/>
          <w:szCs w:val="28"/>
        </w:rPr>
        <w:t>0</w:t>
      </w:r>
      <w:r>
        <w:rPr>
          <w:rFonts w:hint="eastAsia" w:ascii="仿宋_GB2312" w:eastAsia="仿宋_GB2312"/>
          <w:sz w:val="28"/>
          <w:szCs w:val="28"/>
        </w:rPr>
        <w:t>万元，比2024年度年初预算数</w:t>
      </w:r>
      <w:r>
        <w:rPr>
          <w:rFonts w:ascii="仿宋_GB2312" w:eastAsia="仿宋_GB2312"/>
          <w:sz w:val="28"/>
          <w:szCs w:val="28"/>
        </w:rPr>
        <w:t>0</w:t>
      </w:r>
      <w:r>
        <w:rPr>
          <w:rFonts w:hint="eastAsia" w:ascii="仿宋_GB2312" w:eastAsia="仿宋_GB2312"/>
          <w:sz w:val="28"/>
          <w:szCs w:val="28"/>
        </w:rPr>
        <w:t>万元增加（减少）</w:t>
      </w:r>
      <w:r>
        <w:rPr>
          <w:rFonts w:ascii="仿宋_GB2312" w:eastAsia="仿宋_GB2312"/>
          <w:sz w:val="28"/>
          <w:szCs w:val="28"/>
        </w:rPr>
        <w:t>0</w:t>
      </w:r>
      <w:r>
        <w:rPr>
          <w:rFonts w:hint="eastAsia" w:ascii="仿宋_GB2312" w:eastAsia="仿宋_GB2312"/>
          <w:sz w:val="28"/>
          <w:szCs w:val="28"/>
        </w:rPr>
        <w:t>万元。</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3.公务用车购置及运行维护费。2024年度决算数</w:t>
      </w:r>
      <w:r>
        <w:rPr>
          <w:rFonts w:ascii="仿宋_GB2312" w:eastAsia="仿宋_GB2312"/>
          <w:sz w:val="28"/>
          <w:szCs w:val="28"/>
        </w:rPr>
        <w:t>13.28</w:t>
      </w:r>
      <w:r>
        <w:rPr>
          <w:rFonts w:hint="eastAsia" w:ascii="仿宋_GB2312" w:eastAsia="仿宋_GB2312"/>
          <w:sz w:val="28"/>
          <w:szCs w:val="28"/>
        </w:rPr>
        <w:t>万元，比2024年度年初预算数</w:t>
      </w:r>
      <w:r>
        <w:rPr>
          <w:rFonts w:ascii="仿宋_GB2312" w:eastAsia="仿宋_GB2312"/>
          <w:sz w:val="28"/>
          <w:szCs w:val="28"/>
        </w:rPr>
        <w:t>29.43</w:t>
      </w:r>
      <w:r>
        <w:rPr>
          <w:rFonts w:hint="eastAsia" w:ascii="仿宋_GB2312" w:eastAsia="仿宋_GB2312"/>
          <w:sz w:val="28"/>
          <w:szCs w:val="28"/>
        </w:rPr>
        <w:t>万元增加（减少）</w:t>
      </w:r>
      <w:r>
        <w:rPr>
          <w:rFonts w:ascii="仿宋_GB2312" w:eastAsia="仿宋_GB2312"/>
          <w:sz w:val="28"/>
          <w:szCs w:val="28"/>
        </w:rPr>
        <w:t>-16.14</w:t>
      </w:r>
      <w:r>
        <w:rPr>
          <w:rFonts w:hint="eastAsia" w:ascii="仿宋_GB2312" w:eastAsia="仿宋_GB2312"/>
          <w:sz w:val="28"/>
          <w:szCs w:val="28"/>
        </w:rPr>
        <w:t>万元。</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其中，公务用车购置费2024年度决算数0万元，比2024年度年初预算数0万元增加（减少）</w:t>
      </w:r>
      <w:r>
        <w:rPr>
          <w:rFonts w:ascii="仿宋_GB2312" w:eastAsia="仿宋_GB2312"/>
          <w:sz w:val="28"/>
          <w:szCs w:val="28"/>
        </w:rPr>
        <w:t>0</w:t>
      </w:r>
      <w:r>
        <w:rPr>
          <w:rFonts w:hint="eastAsia" w:ascii="仿宋_GB2312" w:eastAsia="仿宋_GB2312"/>
          <w:sz w:val="28"/>
          <w:szCs w:val="28"/>
        </w:rPr>
        <w:t>万元。2024年度购置（更新）0辆，车均购置费</w:t>
      </w:r>
      <w:r>
        <w:rPr>
          <w:rFonts w:ascii="仿宋_GB2312" w:eastAsia="仿宋_GB2312"/>
          <w:sz w:val="28"/>
          <w:szCs w:val="28"/>
        </w:rPr>
        <w:t>0</w:t>
      </w:r>
      <w:r>
        <w:rPr>
          <w:rFonts w:hint="eastAsia" w:ascii="仿宋_GB2312" w:eastAsia="仿宋_GB2312"/>
          <w:sz w:val="28"/>
          <w:szCs w:val="28"/>
        </w:rPr>
        <w:t>万元。公务用车运行维护费2024年度决算数13.28万元，比2024年度年初预算数29.43万元增加（减少）</w:t>
      </w:r>
      <w:r>
        <w:rPr>
          <w:rFonts w:ascii="仿宋_GB2312" w:eastAsia="仿宋_GB2312"/>
          <w:sz w:val="28"/>
          <w:szCs w:val="28"/>
        </w:rPr>
        <w:t>-16.14</w:t>
      </w:r>
      <w:r>
        <w:rPr>
          <w:rFonts w:hint="eastAsia" w:ascii="仿宋_GB2312" w:eastAsia="仿宋_GB2312"/>
          <w:sz w:val="28"/>
          <w:szCs w:val="28"/>
        </w:rPr>
        <w:t>万元，主要原因：</w:t>
      </w:r>
      <w:r>
        <w:rPr>
          <w:rFonts w:hint="eastAsia" w:ascii="仿宋_GB2312" w:eastAsia="仿宋_GB2312"/>
          <w:sz w:val="28"/>
          <w:szCs w:val="28"/>
          <w:lang w:eastAsia="zh-CN"/>
        </w:rPr>
        <w:t>维修减少</w:t>
      </w:r>
      <w:r>
        <w:rPr>
          <w:rFonts w:hint="eastAsia" w:ascii="仿宋_GB2312" w:eastAsia="仿宋_GB2312"/>
          <w:sz w:val="28"/>
          <w:szCs w:val="28"/>
        </w:rPr>
        <w:t>。2024年度公务用车运行维护费中，公务用车加油</w:t>
      </w:r>
      <w:r>
        <w:rPr>
          <w:rFonts w:ascii="仿宋_GB2312" w:eastAsia="仿宋_GB2312"/>
          <w:sz w:val="28"/>
          <w:szCs w:val="28"/>
        </w:rPr>
        <w:t>5.89</w:t>
      </w:r>
      <w:r>
        <w:rPr>
          <w:rFonts w:hint="eastAsia" w:ascii="仿宋_GB2312" w:eastAsia="仿宋_GB2312"/>
          <w:sz w:val="28"/>
          <w:szCs w:val="28"/>
        </w:rPr>
        <w:t>万元，公务用车维修</w:t>
      </w:r>
      <w:r>
        <w:rPr>
          <w:rFonts w:ascii="仿宋_GB2312" w:eastAsia="仿宋_GB2312"/>
          <w:sz w:val="28"/>
          <w:szCs w:val="28"/>
        </w:rPr>
        <w:t>7.4</w:t>
      </w:r>
      <w:r>
        <w:rPr>
          <w:rFonts w:hint="eastAsia" w:ascii="仿宋_GB2312" w:eastAsia="仿宋_GB2312"/>
          <w:sz w:val="28"/>
          <w:szCs w:val="28"/>
        </w:rPr>
        <w:t>万元，公务用车保险</w:t>
      </w:r>
      <w:r>
        <w:rPr>
          <w:rFonts w:ascii="仿宋_GB2312" w:eastAsia="仿宋_GB2312"/>
          <w:sz w:val="28"/>
          <w:szCs w:val="28"/>
        </w:rPr>
        <w:t>0</w:t>
      </w:r>
      <w:r>
        <w:rPr>
          <w:rFonts w:hint="eastAsia" w:ascii="仿宋_GB2312" w:eastAsia="仿宋_GB2312"/>
          <w:sz w:val="28"/>
          <w:szCs w:val="28"/>
        </w:rPr>
        <w:t>万元，公务用车其他支出</w:t>
      </w:r>
      <w:r>
        <w:rPr>
          <w:rFonts w:ascii="仿宋_GB2312" w:eastAsia="仿宋_GB2312"/>
          <w:sz w:val="28"/>
          <w:szCs w:val="28"/>
        </w:rPr>
        <w:t>0</w:t>
      </w:r>
      <w:r>
        <w:rPr>
          <w:rFonts w:hint="eastAsia" w:ascii="仿宋_GB2312" w:eastAsia="仿宋_GB2312"/>
          <w:sz w:val="28"/>
          <w:szCs w:val="28"/>
        </w:rPr>
        <w:t>万元。2024年度公务用车保有量</w:t>
      </w:r>
      <w:r>
        <w:rPr>
          <w:rFonts w:ascii="仿宋_GB2312" w:eastAsia="仿宋_GB2312"/>
          <w:sz w:val="28"/>
          <w:szCs w:val="28"/>
        </w:rPr>
        <w:t>22</w:t>
      </w:r>
      <w:r>
        <w:rPr>
          <w:rFonts w:hint="eastAsia" w:ascii="仿宋_GB2312" w:eastAsia="仿宋_GB2312"/>
          <w:sz w:val="28"/>
          <w:szCs w:val="28"/>
        </w:rPr>
        <w:t>辆，车均运行维护费</w:t>
      </w:r>
      <w:r>
        <w:rPr>
          <w:rFonts w:ascii="仿宋_GB2312" w:eastAsia="仿宋_GB2312"/>
          <w:sz w:val="28"/>
          <w:szCs w:val="28"/>
        </w:rPr>
        <w:t>0.6</w:t>
      </w:r>
      <w:r>
        <w:rPr>
          <w:rFonts w:hint="eastAsia" w:ascii="仿宋_GB2312" w:eastAsia="仿宋_GB2312"/>
          <w:sz w:val="28"/>
          <w:szCs w:val="28"/>
        </w:rPr>
        <w:t>万元。</w:t>
      </w:r>
    </w:p>
    <w:p>
      <w:pPr>
        <w:tabs>
          <w:tab w:val="center" w:pos="6979"/>
        </w:tabs>
        <w:ind w:firstLine="554" w:firstLineChars="198"/>
        <w:rPr>
          <w:rFonts w:ascii="黑体" w:eastAsia="黑体"/>
          <w:sz w:val="28"/>
          <w:szCs w:val="28"/>
        </w:rPr>
      </w:pPr>
      <w:r>
        <w:rPr>
          <w:rFonts w:hint="eastAsia" w:ascii="黑体" w:eastAsia="黑体"/>
          <w:sz w:val="28"/>
          <w:szCs w:val="28"/>
        </w:rPr>
        <w:t>二、机关运行经费支出情况</w:t>
      </w:r>
    </w:p>
    <w:p>
      <w:pPr>
        <w:ind w:firstLine="537" w:firstLineChars="192"/>
        <w:rPr>
          <w:rFonts w:ascii="仿宋_GB2312" w:eastAsia="仿宋_GB2312"/>
          <w:sz w:val="28"/>
          <w:szCs w:val="28"/>
        </w:rPr>
      </w:pPr>
      <w:r>
        <w:rPr>
          <w:rFonts w:hint="eastAsia" w:ascii="仿宋_GB2312" w:eastAsia="仿宋_GB2312"/>
          <w:sz w:val="28"/>
          <w:szCs w:val="28"/>
        </w:rPr>
        <w:t>2024年度使用财政拨款安排的基本支出中的日常公用经费支出，合计</w:t>
      </w:r>
      <w:r>
        <w:rPr>
          <w:rFonts w:hint="eastAsia" w:ascii="仿宋_GB2312" w:eastAsia="仿宋_GB2312"/>
          <w:sz w:val="28"/>
          <w:szCs w:val="28"/>
          <w:lang w:val="en-US" w:eastAsia="zh-CN"/>
        </w:rPr>
        <w:t>270.34</w:t>
      </w:r>
      <w:r>
        <w:rPr>
          <w:rFonts w:hint="eastAsia" w:ascii="仿宋_GB2312" w:eastAsia="仿宋_GB2312"/>
          <w:sz w:val="28"/>
          <w:szCs w:val="28"/>
        </w:rPr>
        <w:t>万元。</w:t>
      </w:r>
    </w:p>
    <w:p>
      <w:pPr>
        <w:ind w:left="540"/>
        <w:rPr>
          <w:rFonts w:ascii="黑体" w:eastAsia="黑体"/>
          <w:sz w:val="28"/>
          <w:szCs w:val="28"/>
        </w:rPr>
      </w:pPr>
      <w:r>
        <w:rPr>
          <w:rFonts w:hint="eastAsia" w:ascii="黑体" w:eastAsia="黑体"/>
          <w:sz w:val="28"/>
          <w:szCs w:val="28"/>
        </w:rPr>
        <w:t>三、政府采购支出情况</w:t>
      </w:r>
    </w:p>
    <w:p>
      <w:pPr>
        <w:ind w:firstLine="560" w:firstLineChars="200"/>
        <w:rPr>
          <w:rFonts w:ascii="仿宋_GB2312" w:eastAsia="仿宋_GB2312"/>
          <w:sz w:val="28"/>
          <w:szCs w:val="28"/>
          <w:highlight w:val="yellow"/>
        </w:rPr>
      </w:pPr>
      <w:r>
        <w:rPr>
          <w:rFonts w:hint="eastAsia" w:ascii="仿宋_GB2312" w:eastAsia="仿宋_GB2312"/>
          <w:sz w:val="28"/>
          <w:szCs w:val="28"/>
          <w:lang w:eastAsia="zh-CN"/>
        </w:rPr>
        <w:t>本单位无此项支出</w:t>
      </w:r>
      <w:r>
        <w:rPr>
          <w:rFonts w:hint="eastAsia" w:ascii="仿宋_GB2312" w:eastAsia="仿宋_GB2312"/>
          <w:sz w:val="28"/>
          <w:szCs w:val="28"/>
        </w:rPr>
        <w:t>。</w:t>
      </w:r>
    </w:p>
    <w:p>
      <w:pPr>
        <w:ind w:firstLine="560" w:firstLineChars="200"/>
        <w:rPr>
          <w:rFonts w:ascii="黑体" w:eastAsia="黑体"/>
          <w:sz w:val="28"/>
          <w:szCs w:val="28"/>
          <w:highlight w:val="yellow"/>
        </w:rPr>
      </w:pPr>
      <w:r>
        <w:rPr>
          <w:rFonts w:hint="eastAsia" w:ascii="黑体" w:eastAsia="黑体"/>
          <w:sz w:val="28"/>
          <w:szCs w:val="28"/>
        </w:rPr>
        <w:t>四、国有资产占用情况</w:t>
      </w:r>
    </w:p>
    <w:p>
      <w:pPr>
        <w:ind w:firstLine="560" w:firstLineChars="200"/>
        <w:rPr>
          <w:rFonts w:ascii="仿宋_GB2312" w:eastAsia="仿宋_GB2312"/>
          <w:sz w:val="32"/>
          <w:szCs w:val="32"/>
        </w:rPr>
      </w:pPr>
      <w:r>
        <w:rPr>
          <w:rFonts w:hint="eastAsia" w:ascii="仿宋_GB2312" w:eastAsia="仿宋_GB2312"/>
          <w:sz w:val="28"/>
          <w:szCs w:val="28"/>
        </w:rPr>
        <w:t>2024年度新购置车辆</w:t>
      </w:r>
      <w:r>
        <w:rPr>
          <w:rFonts w:hint="eastAsia" w:ascii="仿宋_GB2312" w:eastAsia="仿宋_GB2312"/>
          <w:sz w:val="28"/>
          <w:szCs w:val="28"/>
          <w:lang w:val="en-US" w:eastAsia="zh-CN"/>
        </w:rPr>
        <w:t>0</w:t>
      </w:r>
      <w:r>
        <w:rPr>
          <w:rFonts w:hint="eastAsia" w:ascii="仿宋_GB2312" w:eastAsia="仿宋_GB2312"/>
          <w:sz w:val="28"/>
          <w:szCs w:val="28"/>
        </w:rPr>
        <w:t>台，共计</w:t>
      </w:r>
      <w:r>
        <w:rPr>
          <w:rFonts w:hint="eastAsia" w:ascii="仿宋_GB2312" w:eastAsia="仿宋_GB2312"/>
          <w:sz w:val="28"/>
          <w:szCs w:val="28"/>
          <w:lang w:val="en-US" w:eastAsia="zh-CN"/>
        </w:rPr>
        <w:t>0</w:t>
      </w:r>
      <w:r>
        <w:rPr>
          <w:rFonts w:hint="eastAsia" w:ascii="仿宋_GB2312" w:eastAsia="仿宋_GB2312"/>
          <w:sz w:val="28"/>
          <w:szCs w:val="28"/>
        </w:rPr>
        <w:t>万元；新购置单位价值100万元（含）以上的设备</w:t>
      </w:r>
      <w:r>
        <w:rPr>
          <w:rFonts w:hint="eastAsia" w:ascii="仿宋_GB2312" w:eastAsia="仿宋_GB2312"/>
          <w:sz w:val="28"/>
          <w:szCs w:val="28"/>
          <w:lang w:val="en-US" w:eastAsia="zh-CN"/>
        </w:rPr>
        <w:t>0</w:t>
      </w:r>
      <w:r>
        <w:rPr>
          <w:rFonts w:hint="eastAsia" w:ascii="仿宋_GB2312" w:eastAsia="仿宋_GB2312"/>
          <w:sz w:val="28"/>
          <w:szCs w:val="28"/>
        </w:rPr>
        <w:t>台（套），共计</w:t>
      </w:r>
      <w:r>
        <w:rPr>
          <w:rFonts w:hint="eastAsia" w:ascii="仿宋_GB2312" w:eastAsia="仿宋_GB2312"/>
          <w:sz w:val="28"/>
          <w:szCs w:val="28"/>
          <w:lang w:val="en-US" w:eastAsia="zh-CN"/>
        </w:rPr>
        <w:t>0</w:t>
      </w:r>
      <w:r>
        <w:rPr>
          <w:rFonts w:hint="eastAsia" w:ascii="仿宋_GB2312" w:eastAsia="仿宋_GB2312"/>
          <w:sz w:val="28"/>
          <w:szCs w:val="28"/>
        </w:rPr>
        <w:t>万元。截至12月31日，部门共有车辆</w:t>
      </w:r>
      <w:r>
        <w:rPr>
          <w:rFonts w:hint="eastAsia" w:ascii="仿宋_GB2312" w:eastAsia="仿宋_GB2312"/>
          <w:sz w:val="28"/>
          <w:szCs w:val="28"/>
          <w:lang w:val="en-US" w:eastAsia="zh-CN"/>
        </w:rPr>
        <w:t>22</w:t>
      </w:r>
      <w:r>
        <w:rPr>
          <w:rFonts w:hint="eastAsia" w:ascii="仿宋_GB2312" w:eastAsia="仿宋_GB2312"/>
          <w:sz w:val="28"/>
          <w:szCs w:val="28"/>
        </w:rPr>
        <w:t>台，共计</w:t>
      </w:r>
      <w:r>
        <w:rPr>
          <w:rFonts w:ascii="宋体" w:hAnsi="宋体" w:eastAsia="宋体" w:cs="宋体"/>
          <w:sz w:val="24"/>
          <w:szCs w:val="24"/>
        </w:rPr>
        <w:t>201</w:t>
      </w:r>
      <w:r>
        <w:rPr>
          <w:rFonts w:hint="eastAsia" w:ascii="宋体" w:hAnsi="宋体" w:cs="宋体"/>
          <w:sz w:val="24"/>
          <w:szCs w:val="24"/>
          <w:lang w:val="en-US" w:eastAsia="zh-CN"/>
        </w:rPr>
        <w:t>.</w:t>
      </w:r>
      <w:r>
        <w:rPr>
          <w:rFonts w:ascii="宋体" w:hAnsi="宋体" w:eastAsia="宋体" w:cs="宋体"/>
          <w:sz w:val="24"/>
          <w:szCs w:val="24"/>
        </w:rPr>
        <w:t>3</w:t>
      </w:r>
      <w:r>
        <w:rPr>
          <w:rFonts w:hint="eastAsia" w:ascii="宋体" w:hAnsi="宋体" w:cs="宋体"/>
          <w:sz w:val="24"/>
          <w:szCs w:val="24"/>
          <w:lang w:val="en-US" w:eastAsia="zh-CN"/>
        </w:rPr>
        <w:t>9</w:t>
      </w:r>
      <w:r>
        <w:rPr>
          <w:rFonts w:hint="eastAsia" w:ascii="仿宋_GB2312" w:eastAsia="仿宋_GB2312"/>
          <w:sz w:val="28"/>
          <w:szCs w:val="28"/>
        </w:rPr>
        <w:t>万元；单位价值100万元（含）以上的设备</w:t>
      </w:r>
      <w:r>
        <w:rPr>
          <w:rFonts w:hint="eastAsia" w:ascii="仿宋_GB2312" w:eastAsia="仿宋_GB2312"/>
          <w:sz w:val="28"/>
          <w:szCs w:val="28"/>
          <w:lang w:val="en-US" w:eastAsia="zh-CN"/>
        </w:rPr>
        <w:t>0</w:t>
      </w:r>
      <w:r>
        <w:rPr>
          <w:rFonts w:hint="eastAsia" w:ascii="仿宋_GB2312" w:eastAsia="仿宋_GB2312"/>
          <w:sz w:val="28"/>
          <w:szCs w:val="28"/>
        </w:rPr>
        <w:t>台（套），共计</w:t>
      </w:r>
      <w:r>
        <w:rPr>
          <w:rFonts w:hint="eastAsia" w:ascii="仿宋_GB2312" w:eastAsia="仿宋_GB2312"/>
          <w:sz w:val="28"/>
          <w:szCs w:val="28"/>
          <w:lang w:val="en-US" w:eastAsia="zh-CN"/>
        </w:rPr>
        <w:t>0</w:t>
      </w:r>
      <w:r>
        <w:rPr>
          <w:rFonts w:hint="eastAsia" w:ascii="仿宋_GB2312" w:eastAsia="仿宋_GB2312"/>
          <w:sz w:val="28"/>
          <w:szCs w:val="28"/>
        </w:rPr>
        <w:t>万元。</w:t>
      </w:r>
    </w:p>
    <w:p>
      <w:pPr>
        <w:ind w:firstLine="537" w:firstLineChars="192"/>
        <w:rPr>
          <w:rFonts w:ascii="黑体" w:eastAsia="黑体"/>
          <w:sz w:val="28"/>
          <w:szCs w:val="28"/>
        </w:rPr>
      </w:pPr>
      <w:r>
        <w:rPr>
          <w:rFonts w:hint="eastAsia" w:ascii="黑体" w:eastAsia="黑体"/>
          <w:sz w:val="28"/>
          <w:szCs w:val="28"/>
        </w:rPr>
        <w:t>五</w:t>
      </w:r>
      <w:r>
        <w:rPr>
          <w:rFonts w:ascii="黑体" w:eastAsia="黑体"/>
          <w:sz w:val="28"/>
          <w:szCs w:val="28"/>
        </w:rPr>
        <w:t>、政府购买服务</w:t>
      </w:r>
      <w:r>
        <w:rPr>
          <w:rFonts w:hint="eastAsia" w:ascii="黑体" w:eastAsia="黑体"/>
          <w:sz w:val="28"/>
          <w:szCs w:val="28"/>
        </w:rPr>
        <w:t>支出</w:t>
      </w:r>
      <w:r>
        <w:rPr>
          <w:rFonts w:ascii="黑体" w:eastAsia="黑体"/>
          <w:sz w:val="28"/>
          <w:szCs w:val="28"/>
        </w:rPr>
        <w:t>说明</w:t>
      </w:r>
    </w:p>
    <w:p>
      <w:pPr>
        <w:ind w:firstLine="537" w:firstLineChars="192"/>
        <w:rPr>
          <w:rFonts w:ascii="仿宋_GB2312" w:eastAsia="仿宋_GB2312"/>
          <w:sz w:val="28"/>
          <w:szCs w:val="28"/>
        </w:rPr>
      </w:pPr>
      <w:r>
        <w:rPr>
          <w:rFonts w:hint="eastAsia" w:ascii="仿宋_GB2312" w:eastAsia="仿宋_GB2312"/>
          <w:sz w:val="28"/>
          <w:szCs w:val="28"/>
          <w:lang w:eastAsia="zh-CN"/>
        </w:rPr>
        <w:t>本单位无此项支出</w:t>
      </w:r>
      <w:r>
        <w:rPr>
          <w:rFonts w:hint="eastAsia" w:ascii="仿宋_GB2312" w:eastAsia="仿宋_GB2312"/>
          <w:sz w:val="28"/>
          <w:szCs w:val="28"/>
        </w:rPr>
        <w:t>。</w:t>
      </w:r>
    </w:p>
    <w:p>
      <w:pPr>
        <w:ind w:firstLine="560" w:firstLineChars="200"/>
        <w:jc w:val="left"/>
        <w:rPr>
          <w:rFonts w:ascii="仿宋_GB2312" w:eastAsia="仿宋_GB2312"/>
          <w:color w:val="000000"/>
          <w:sz w:val="32"/>
          <w:szCs w:val="32"/>
        </w:rPr>
      </w:pPr>
      <w:r>
        <w:rPr>
          <w:rFonts w:hint="eastAsia" w:ascii="黑体" w:eastAsia="黑体"/>
          <w:sz w:val="28"/>
          <w:szCs w:val="28"/>
        </w:rPr>
        <w:t>六、</w:t>
      </w:r>
      <w:r>
        <w:rPr>
          <w:rFonts w:ascii="黑体" w:eastAsia="黑体"/>
          <w:sz w:val="28"/>
          <w:szCs w:val="28"/>
        </w:rPr>
        <w:t>专业名词解释</w:t>
      </w:r>
    </w:p>
    <w:p>
      <w:pPr>
        <w:ind w:firstLine="560" w:firstLineChars="200"/>
        <w:rPr>
          <w:rFonts w:ascii="仿宋_GB2312" w:eastAsia="仿宋_GB2312"/>
          <w:sz w:val="28"/>
          <w:szCs w:val="28"/>
        </w:rPr>
      </w:pPr>
      <w:r>
        <w:rPr>
          <w:rFonts w:hint="eastAsia" w:ascii="仿宋_GB2312" w:eastAsia="仿宋_GB2312"/>
          <w:sz w:val="28"/>
          <w:szCs w:val="28"/>
        </w:rPr>
        <w:t>1.基本支出：指为保障机构正常运转、完成日常工作任务而发生的人员支出和公用支出。</w:t>
      </w:r>
    </w:p>
    <w:p>
      <w:pPr>
        <w:ind w:firstLine="560" w:firstLineChars="200"/>
        <w:rPr>
          <w:rFonts w:ascii="仿宋_GB2312" w:eastAsia="仿宋_GB2312"/>
          <w:sz w:val="28"/>
          <w:szCs w:val="28"/>
        </w:rPr>
      </w:pPr>
      <w:r>
        <w:rPr>
          <w:rFonts w:hint="eastAsia" w:ascii="仿宋_GB2312" w:eastAsia="仿宋_GB2312"/>
          <w:sz w:val="28"/>
          <w:szCs w:val="28"/>
        </w:rPr>
        <w:t>2.项目支出：指在基本支出之外为完成特定行政任务或事业发展目标所发生的支出。</w:t>
      </w:r>
    </w:p>
    <w:p>
      <w:pPr>
        <w:ind w:firstLine="560" w:firstLineChars="200"/>
        <w:rPr>
          <w:rFonts w:ascii="仿宋_GB2312" w:hAnsi="宋体" w:eastAsia="仿宋_GB2312"/>
          <w:sz w:val="28"/>
          <w:szCs w:val="28"/>
        </w:rPr>
      </w:pPr>
      <w:r>
        <w:rPr>
          <w:rFonts w:hint="eastAsia" w:ascii="仿宋_GB2312" w:eastAsia="仿宋_GB2312"/>
          <w:sz w:val="28"/>
          <w:szCs w:val="28"/>
        </w:rPr>
        <w:t>3.“三公”经费：</w:t>
      </w:r>
      <w:r>
        <w:rPr>
          <w:rFonts w:hint="eastAsia" w:ascii="仿宋_GB2312" w:hAnsi="宋体" w:eastAsia="仿宋_GB2312"/>
          <w:sz w:val="28"/>
          <w:szCs w:val="28"/>
        </w:rPr>
        <w:t>是指单位通过财政拨款资金安排的因公出国（境）费、公务用车购置及运行费和公务接待费。其中，因公出国（境）费指单位公务出国（境）的国际旅费、国外城市间交通费、住宿费、伙食费、培训费、公杂费等支出；公务用车购置及运行费指单位公务用车购置支出（含车辆购置税、牌照费）及单位按规定保留的公务用车燃料费、维修费、过路过桥费、保险费、安全奖励费等支出；公务接待费指单位按规定开支的各类公务接待（含外宾接待）支出。</w:t>
      </w:r>
    </w:p>
    <w:p>
      <w:pPr>
        <w:ind w:firstLine="560" w:firstLineChars="200"/>
        <w:rPr>
          <w:rFonts w:ascii="仿宋_GB2312" w:hAnsi="宋体" w:eastAsia="仿宋_GB2312"/>
          <w:sz w:val="28"/>
          <w:szCs w:val="28"/>
        </w:rPr>
      </w:pPr>
      <w:r>
        <w:rPr>
          <w:rFonts w:hint="eastAsia" w:ascii="仿宋_GB2312" w:eastAsia="仿宋_GB2312"/>
          <w:sz w:val="28"/>
          <w:szCs w:val="28"/>
        </w:rPr>
        <w:t>4</w:t>
      </w:r>
      <w:r>
        <w:rPr>
          <w:rFonts w:ascii="仿宋_GB2312" w:eastAsia="仿宋_GB2312"/>
          <w:sz w:val="28"/>
          <w:szCs w:val="28"/>
        </w:rPr>
        <w:t>.</w:t>
      </w:r>
      <w:r>
        <w:rPr>
          <w:rFonts w:hint="eastAsia" w:ascii="仿宋_GB2312" w:eastAsia="仿宋_GB2312"/>
          <w:sz w:val="28"/>
          <w:szCs w:val="28"/>
        </w:rPr>
        <w:t>机关运行经费：</w:t>
      </w:r>
      <w:r>
        <w:rPr>
          <w:rFonts w:hint="eastAsia" w:ascii="仿宋_GB2312" w:hAnsi="宋体" w:eastAsia="仿宋_GB2312"/>
          <w:sz w:val="28"/>
          <w:szCs w:val="28"/>
        </w:rPr>
        <w:t>指为</w:t>
      </w:r>
      <w:r>
        <w:rPr>
          <w:rFonts w:ascii="仿宋_GB2312" w:hAnsi="宋体" w:eastAsia="仿宋_GB2312"/>
          <w:sz w:val="28"/>
          <w:szCs w:val="28"/>
        </w:rPr>
        <w:t>保障</w:t>
      </w:r>
      <w:r>
        <w:rPr>
          <w:rFonts w:hint="eastAsia" w:ascii="仿宋_GB2312" w:hAnsi="宋体" w:eastAsia="仿宋_GB2312"/>
          <w:sz w:val="28"/>
          <w:szCs w:val="28"/>
        </w:rPr>
        <w:t>行政单位（含参照公务员法管理事业单位）运行用于</w:t>
      </w:r>
      <w:r>
        <w:rPr>
          <w:rFonts w:ascii="仿宋_GB2312" w:hAnsi="宋体" w:eastAsia="仿宋_GB2312"/>
          <w:sz w:val="28"/>
          <w:szCs w:val="28"/>
        </w:rPr>
        <w:t>购买货物和服务的各项资金</w:t>
      </w:r>
      <w:r>
        <w:rPr>
          <w:rFonts w:hint="eastAsia" w:ascii="仿宋_GB2312" w:hAnsi="宋体" w:eastAsia="仿宋_GB2312"/>
          <w:sz w:val="28"/>
          <w:szCs w:val="28"/>
        </w:rPr>
        <w:t>，包括办公及印刷费、邮电费、差旅费、会议费、福利费、日常维修费、专用材料及一般设备购置费、办公用房水电费、办公用房取暖费、办公用房物业管理费、公务用车运行维护费以及其他费用。</w:t>
      </w:r>
    </w:p>
    <w:p>
      <w:pPr>
        <w:ind w:firstLine="420" w:firstLineChars="150"/>
        <w:rPr>
          <w:rFonts w:ascii="仿宋_GB2312" w:eastAsia="仿宋_GB2312"/>
          <w:sz w:val="28"/>
          <w:szCs w:val="28"/>
        </w:rPr>
      </w:pPr>
      <w:r>
        <w:rPr>
          <w:rFonts w:hint="eastAsia" w:ascii="仿宋_GB2312" w:eastAsia="仿宋_GB2312"/>
          <w:sz w:val="28"/>
          <w:szCs w:val="28"/>
        </w:rPr>
        <w:t>5</w:t>
      </w:r>
      <w:r>
        <w:rPr>
          <w:rFonts w:ascii="仿宋_GB2312" w:eastAsia="仿宋_GB2312"/>
          <w:sz w:val="28"/>
          <w:szCs w:val="28"/>
        </w:rPr>
        <w:t>.</w:t>
      </w:r>
      <w:r>
        <w:rPr>
          <w:rFonts w:hint="eastAsia" w:ascii="仿宋_GB2312" w:eastAsia="仿宋_GB2312"/>
          <w:sz w:val="28"/>
          <w:szCs w:val="28"/>
        </w:rPr>
        <w:t>政府采购</w:t>
      </w:r>
      <w:r>
        <w:rPr>
          <w:rFonts w:ascii="仿宋_GB2312" w:eastAsia="仿宋_GB2312"/>
          <w:sz w:val="28"/>
          <w:szCs w:val="28"/>
        </w:rPr>
        <w:t>：</w:t>
      </w:r>
      <w:r>
        <w:rPr>
          <w:rFonts w:hint="eastAsia" w:ascii="仿宋_GB2312" w:eastAsia="仿宋_GB2312"/>
          <w:sz w:val="28"/>
          <w:szCs w:val="28"/>
        </w:rPr>
        <w:t>指</w:t>
      </w:r>
      <w:r>
        <w:rPr>
          <w:rFonts w:ascii="仿宋_GB2312" w:eastAsia="仿宋_GB2312"/>
          <w:sz w:val="28"/>
          <w:szCs w:val="28"/>
        </w:rPr>
        <w:t>各级国家机关、事业单位和团体组织，使用</w:t>
      </w:r>
      <w:r>
        <w:rPr>
          <w:rFonts w:hint="eastAsia" w:ascii="仿宋_GB2312" w:eastAsia="仿宋_GB2312"/>
          <w:sz w:val="28"/>
          <w:szCs w:val="28"/>
        </w:rPr>
        <w:t>财政性</w:t>
      </w:r>
      <w:r>
        <w:rPr>
          <w:rFonts w:ascii="仿宋_GB2312" w:eastAsia="仿宋_GB2312"/>
          <w:sz w:val="28"/>
          <w:szCs w:val="28"/>
        </w:rPr>
        <w:t>资金采购依法制定的集中目录以内的或者采购限额标准以上的货物、工程和服务的行为</w:t>
      </w:r>
      <w:r>
        <w:rPr>
          <w:rFonts w:hint="eastAsia" w:ascii="仿宋_GB2312" w:eastAsia="仿宋_GB2312"/>
          <w:sz w:val="28"/>
          <w:szCs w:val="28"/>
        </w:rPr>
        <w:t>，</w:t>
      </w:r>
      <w:r>
        <w:rPr>
          <w:rFonts w:ascii="仿宋_GB2312" w:eastAsia="仿宋_GB2312"/>
          <w:sz w:val="28"/>
          <w:szCs w:val="28"/>
        </w:rPr>
        <w:t>是规范财政支出管理和强化预算约束的有效措施。</w:t>
      </w:r>
    </w:p>
    <w:p>
      <w:pPr>
        <w:ind w:firstLine="420" w:firstLineChars="150"/>
        <w:rPr>
          <w:rFonts w:ascii="仿宋_GB2312" w:eastAsia="仿宋_GB2312"/>
          <w:sz w:val="28"/>
          <w:szCs w:val="28"/>
        </w:rPr>
      </w:pPr>
      <w:r>
        <w:rPr>
          <w:rFonts w:hint="eastAsia" w:ascii="仿宋_GB2312" w:eastAsia="仿宋_GB2312"/>
          <w:sz w:val="28"/>
          <w:szCs w:val="28"/>
        </w:rPr>
        <w:t>6</w:t>
      </w:r>
      <w:r>
        <w:rPr>
          <w:rFonts w:ascii="仿宋_GB2312" w:eastAsia="仿宋_GB2312"/>
          <w:sz w:val="28"/>
          <w:szCs w:val="28"/>
        </w:rPr>
        <w:t>.政府购买服务：</w:t>
      </w:r>
      <w:r>
        <w:rPr>
          <w:rFonts w:hint="eastAsia" w:ascii="仿宋_GB2312" w:eastAsia="仿宋_GB2312"/>
          <w:sz w:val="28"/>
          <w:szCs w:val="28"/>
        </w:rPr>
        <w:t>是指各级国家机关将属于自身职责范围且适合通过市场化方式提供的服务事项，按照政府采购方式和程序，交由符合条件的服务供应商承担，并根据服务数量和质量等因素向其支付费用的行为。</w:t>
      </w:r>
    </w:p>
    <w:p>
      <w:pPr>
        <w:rPr>
          <w:rFonts w:ascii="仿宋_GB2312" w:eastAsia="仿宋_GB2312"/>
          <w:sz w:val="28"/>
          <w:szCs w:val="28"/>
        </w:rPr>
      </w:pPr>
    </w:p>
    <w:p>
      <w:pPr>
        <w:ind w:firstLine="632" w:firstLineChars="200"/>
        <w:rPr>
          <w:rFonts w:ascii="仿宋_GB2312" w:eastAsia="仿宋_GB2312"/>
          <w:b/>
          <w:color w:val="000000"/>
          <w:spacing w:val="-2"/>
          <w:sz w:val="32"/>
          <w:szCs w:val="32"/>
        </w:rPr>
      </w:pPr>
    </w:p>
    <w:p>
      <w:pPr>
        <w:ind w:firstLine="640" w:firstLineChars="200"/>
        <w:jc w:val="center"/>
        <w:rPr>
          <w:rFonts w:ascii="黑体" w:eastAsia="黑体"/>
          <w:sz w:val="32"/>
          <w:szCs w:val="32"/>
        </w:rPr>
      </w:pPr>
    </w:p>
    <w:p>
      <w:pPr>
        <w:ind w:firstLine="640" w:firstLineChars="200"/>
        <w:jc w:val="center"/>
        <w:rPr>
          <w:rFonts w:ascii="黑体" w:eastAsia="黑体"/>
          <w:sz w:val="32"/>
          <w:szCs w:val="32"/>
        </w:rPr>
      </w:pPr>
    </w:p>
    <w:p>
      <w:pPr>
        <w:ind w:firstLine="640" w:firstLineChars="200"/>
        <w:jc w:val="center"/>
        <w:rPr>
          <w:rFonts w:ascii="黑体" w:eastAsia="黑体"/>
          <w:sz w:val="32"/>
          <w:szCs w:val="32"/>
        </w:rPr>
      </w:pPr>
    </w:p>
    <w:p>
      <w:pPr>
        <w:ind w:firstLine="640" w:firstLineChars="200"/>
        <w:jc w:val="center"/>
        <w:rPr>
          <w:rFonts w:ascii="黑体" w:eastAsia="黑体"/>
          <w:sz w:val="32"/>
          <w:szCs w:val="32"/>
        </w:rPr>
      </w:pPr>
    </w:p>
    <w:p>
      <w:pPr>
        <w:ind w:firstLine="640" w:firstLineChars="200"/>
        <w:jc w:val="center"/>
        <w:rPr>
          <w:rFonts w:ascii="黑体" w:eastAsia="黑体"/>
          <w:sz w:val="32"/>
          <w:szCs w:val="32"/>
        </w:rPr>
      </w:pPr>
    </w:p>
    <w:p>
      <w:pPr>
        <w:ind w:firstLine="640" w:firstLineChars="200"/>
        <w:jc w:val="center"/>
        <w:rPr>
          <w:rFonts w:ascii="黑体" w:eastAsia="黑体"/>
          <w:sz w:val="32"/>
          <w:szCs w:val="32"/>
        </w:rPr>
      </w:pPr>
    </w:p>
    <w:p>
      <w:pPr>
        <w:ind w:firstLine="640" w:firstLineChars="200"/>
        <w:jc w:val="center"/>
        <w:rPr>
          <w:rFonts w:ascii="黑体" w:eastAsia="黑体"/>
          <w:sz w:val="32"/>
          <w:szCs w:val="32"/>
        </w:rPr>
      </w:pPr>
      <w:r>
        <w:rPr>
          <w:rFonts w:hint="eastAsia" w:ascii="黑体" w:eastAsia="黑体"/>
          <w:sz w:val="32"/>
          <w:szCs w:val="32"/>
        </w:rPr>
        <w:t>第四部分  2024年度部门绩效评价情况</w:t>
      </w:r>
    </w:p>
    <w:p>
      <w:pPr>
        <w:ind w:firstLine="560" w:firstLineChars="200"/>
        <w:rPr>
          <w:rFonts w:ascii="黑体" w:eastAsia="黑体"/>
          <w:sz w:val="28"/>
          <w:szCs w:val="28"/>
          <w:highlight w:val="yellow"/>
        </w:rPr>
      </w:pPr>
    </w:p>
    <w:p>
      <w:pPr>
        <w:ind w:firstLine="560" w:firstLineChars="200"/>
        <w:rPr>
          <w:rFonts w:ascii="黑体" w:eastAsia="黑体"/>
          <w:sz w:val="28"/>
          <w:szCs w:val="28"/>
        </w:rPr>
      </w:pPr>
      <w:r>
        <w:rPr>
          <w:rFonts w:hint="eastAsia" w:ascii="黑体" w:eastAsia="黑体"/>
          <w:sz w:val="28"/>
          <w:szCs w:val="28"/>
        </w:rPr>
        <w:t>一、部门整体绩效评价报告（详见附件）</w:t>
      </w:r>
    </w:p>
    <w:p>
      <w:pPr>
        <w:ind w:firstLine="560" w:firstLineChars="200"/>
        <w:rPr>
          <w:rFonts w:ascii="黑体" w:eastAsia="黑体"/>
          <w:sz w:val="28"/>
          <w:szCs w:val="28"/>
        </w:rPr>
      </w:pPr>
      <w:r>
        <w:rPr>
          <w:rFonts w:hint="eastAsia" w:ascii="黑体" w:eastAsia="黑体"/>
          <w:sz w:val="28"/>
          <w:szCs w:val="28"/>
        </w:rPr>
        <w:t>二、项目支出绩效评价报告（详见附件）</w:t>
      </w:r>
    </w:p>
    <w:p>
      <w:pPr>
        <w:ind w:firstLine="560" w:firstLineChars="200"/>
        <w:rPr>
          <w:rFonts w:ascii="黑体" w:eastAsia="黑体"/>
          <w:sz w:val="28"/>
          <w:szCs w:val="28"/>
        </w:rPr>
      </w:pPr>
      <w:r>
        <w:rPr>
          <w:rFonts w:hint="eastAsia" w:ascii="黑体" w:eastAsia="黑体"/>
          <w:sz w:val="28"/>
          <w:szCs w:val="28"/>
        </w:rPr>
        <w:t>三</w:t>
      </w:r>
      <w:r>
        <w:rPr>
          <w:rFonts w:ascii="黑体" w:eastAsia="黑体"/>
          <w:sz w:val="28"/>
          <w:szCs w:val="28"/>
        </w:rPr>
        <w:t>、</w:t>
      </w:r>
      <w:r>
        <w:rPr>
          <w:rFonts w:hint="eastAsia" w:ascii="黑体" w:eastAsia="黑体"/>
          <w:sz w:val="28"/>
          <w:szCs w:val="28"/>
        </w:rPr>
        <w:t>项目</w:t>
      </w:r>
      <w:r>
        <w:rPr>
          <w:rFonts w:ascii="黑体" w:eastAsia="黑体"/>
          <w:sz w:val="28"/>
          <w:szCs w:val="28"/>
        </w:rPr>
        <w:t>支出绩效自评表</w:t>
      </w:r>
      <w:r>
        <w:rPr>
          <w:rFonts w:hint="eastAsia" w:ascii="黑体" w:eastAsia="黑体"/>
          <w:sz w:val="28"/>
          <w:szCs w:val="28"/>
        </w:rPr>
        <w:t>（详见附件）</w:t>
      </w:r>
    </w:p>
    <w:p>
      <w:pPr>
        <w:spacing w:line="480" w:lineRule="exact"/>
        <w:ind w:firstLine="560"/>
        <w:rPr>
          <w:rFonts w:ascii="黑体" w:eastAsia="黑体"/>
          <w:sz w:val="28"/>
          <w:szCs w:val="28"/>
        </w:rPr>
      </w:pPr>
      <w:r>
        <w:rPr>
          <w:rFonts w:hint="eastAsia" w:ascii="黑体" w:eastAsia="黑体"/>
          <w:sz w:val="28"/>
          <w:szCs w:val="28"/>
        </w:rPr>
        <w:t>（注：一级预算部门，公开“一、二、三、”；二级预算单位仅公开“三”。）</w:t>
      </w:r>
    </w:p>
    <w:p/>
    <w:p>
      <w:pPr>
        <w:pStyle w:val="5"/>
      </w:pPr>
    </w:p>
    <w:p/>
    <w:p>
      <w:pPr>
        <w:pStyle w:val="5"/>
      </w:pPr>
    </w:p>
    <w:p/>
    <w:p>
      <w:pPr>
        <w:pStyle w:val="5"/>
      </w:pPr>
    </w:p>
    <w:p/>
    <w:p>
      <w:pPr>
        <w:pStyle w:val="5"/>
      </w:pPr>
    </w:p>
    <w:p/>
    <w:p>
      <w:pPr>
        <w:pStyle w:val="5"/>
      </w:pPr>
    </w:p>
    <w:p/>
    <w:p/>
    <w:p>
      <w:pPr>
        <w:pStyle w:val="5"/>
      </w:pPr>
    </w:p>
    <w:p>
      <w:pPr>
        <w:pStyle w:val="5"/>
        <w:ind w:firstLine="0" w:firstLineChars="0"/>
        <w:rPr>
          <w:rFonts w:ascii="黑体" w:hAnsi="黑体" w:eastAsia="黑体" w:cs="黑体"/>
          <w:sz w:val="32"/>
          <w:szCs w:val="32"/>
        </w:rPr>
      </w:pPr>
      <w:r>
        <w:rPr>
          <w:rFonts w:hint="eastAsia" w:ascii="黑体" w:hAnsi="黑体" w:eastAsia="黑体" w:cs="黑体"/>
          <w:sz w:val="32"/>
          <w:szCs w:val="32"/>
        </w:rPr>
        <w:t>附件</w:t>
      </w:r>
    </w:p>
    <w:p>
      <w:pPr>
        <w:spacing w:line="560" w:lineRule="exact"/>
        <w:jc w:val="center"/>
        <w:rPr>
          <w:rFonts w:ascii="方正小标宋简体" w:eastAsia="方正小标宋简体"/>
          <w:sz w:val="36"/>
          <w:szCs w:val="36"/>
        </w:rPr>
      </w:pPr>
      <w:r>
        <w:rPr>
          <w:rFonts w:hint="eastAsia" w:ascii="方正小标宋简体" w:eastAsia="方正小标宋简体"/>
          <w:sz w:val="36"/>
          <w:szCs w:val="36"/>
        </w:rPr>
        <w:t>部门整体绩效评价报告</w:t>
      </w:r>
    </w:p>
    <w:p>
      <w:pPr>
        <w:spacing w:line="560" w:lineRule="exact"/>
        <w:jc w:val="center"/>
        <w:rPr>
          <w:rFonts w:ascii="方正小标宋简体" w:eastAsia="方正小标宋简体"/>
          <w:sz w:val="36"/>
          <w:szCs w:val="36"/>
        </w:rPr>
      </w:pPr>
    </w:p>
    <w:p>
      <w:pPr>
        <w:jc w:val="center"/>
        <w:rPr>
          <w:rFonts w:ascii="仿宋_GB2312"/>
          <w:szCs w:val="30"/>
        </w:rPr>
      </w:pPr>
    </w:p>
    <w:p>
      <w:pPr>
        <w:spacing w:line="600" w:lineRule="exact"/>
        <w:ind w:firstLine="640" w:firstLineChars="200"/>
        <w:rPr>
          <w:rFonts w:ascii="黑体" w:hAnsi="黑体" w:eastAsia="黑体" w:cs="宋体"/>
          <w:color w:val="000000"/>
          <w:kern w:val="0"/>
          <w:sz w:val="32"/>
          <w:szCs w:val="32"/>
        </w:rPr>
      </w:pPr>
      <w:r>
        <w:rPr>
          <w:rFonts w:hint="eastAsia" w:ascii="黑体" w:hAnsi="黑体" w:eastAsia="黑体" w:cs="宋体"/>
          <w:color w:val="000000"/>
          <w:kern w:val="0"/>
          <w:sz w:val="32"/>
          <w:szCs w:val="32"/>
        </w:rPr>
        <w:t>一、部门概况</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（一）</w:t>
      </w:r>
      <w:r>
        <w:rPr>
          <w:rFonts w:hint="eastAsia" w:ascii="楷体_GB2312" w:eastAsia="楷体_GB2312"/>
          <w:sz w:val="32"/>
          <w:szCs w:val="32"/>
        </w:rPr>
        <w:t>机构设置及职责工作任务情况</w:t>
      </w:r>
    </w:p>
    <w:p>
      <w:pPr>
        <w:widowControl/>
        <w:spacing w:before="100" w:beforeAutospacing="1" w:after="100" w:afterAutospacing="1" w:line="600" w:lineRule="exact"/>
        <w:ind w:firstLine="645"/>
        <w:jc w:val="left"/>
        <w:rPr>
          <w:rFonts w:ascii="宋体" w:hAnsi="宋体" w:cs="宋体"/>
          <w:color w:val="000000"/>
          <w:kern w:val="0"/>
          <w:sz w:val="24"/>
        </w:rPr>
      </w:pPr>
      <w:r>
        <w:rPr>
          <w:rFonts w:hint="eastAsia" w:ascii="仿宋" w:hAnsi="宋体" w:eastAsia="仿宋" w:cs="宋体"/>
          <w:color w:val="000000"/>
          <w:kern w:val="0"/>
          <w:sz w:val="28"/>
          <w:szCs w:val="28"/>
        </w:rPr>
        <w:t>1.执行本级人民代表大会的决议和上级国家机关的决议和命令，发布决定和命令。</w:t>
      </w:r>
    </w:p>
    <w:p>
      <w:pPr>
        <w:widowControl/>
        <w:spacing w:before="100" w:beforeAutospacing="1" w:after="100" w:afterAutospacing="1" w:line="600" w:lineRule="exact"/>
        <w:ind w:firstLine="645"/>
        <w:jc w:val="left"/>
        <w:rPr>
          <w:rFonts w:ascii="宋体" w:hAnsi="宋体" w:cs="宋体"/>
          <w:color w:val="000000"/>
          <w:kern w:val="0"/>
          <w:sz w:val="24"/>
        </w:rPr>
      </w:pPr>
      <w:r>
        <w:rPr>
          <w:rFonts w:hint="eastAsia" w:ascii="仿宋" w:hAnsi="宋体" w:eastAsia="仿宋" w:cs="宋体"/>
          <w:color w:val="000000"/>
          <w:kern w:val="0"/>
          <w:sz w:val="28"/>
          <w:szCs w:val="28"/>
        </w:rPr>
        <w:t>2.执行本镇的经济和社会发展规划、预算，管理本镇的经济、教育、科学、文化、卫生、体育事业和财政、社会事务、公安、司法行政、计划生育、安全生产、农村集体资产管理等行政工作。</w:t>
      </w:r>
    </w:p>
    <w:p>
      <w:pPr>
        <w:widowControl/>
        <w:spacing w:before="100" w:beforeAutospacing="1" w:after="100" w:afterAutospacing="1" w:line="600" w:lineRule="exact"/>
        <w:ind w:firstLine="645"/>
        <w:jc w:val="left"/>
        <w:rPr>
          <w:rFonts w:ascii="宋体" w:hAnsi="宋体" w:cs="宋体"/>
          <w:color w:val="000000"/>
          <w:kern w:val="0"/>
          <w:sz w:val="24"/>
        </w:rPr>
      </w:pPr>
      <w:r>
        <w:rPr>
          <w:rFonts w:hint="eastAsia" w:ascii="仿宋" w:hAnsi="宋体" w:eastAsia="仿宋" w:cs="宋体"/>
          <w:color w:val="000000"/>
          <w:kern w:val="0"/>
          <w:sz w:val="28"/>
          <w:szCs w:val="28"/>
        </w:rPr>
        <w:t>3.推动产业结构调整，转变农业发展方式，优化发展环境，大力发展环境友好型工业、休闲旅游业、都市型现代农业和现代服务业，着力构建绿色高端高效经济体系。</w:t>
      </w:r>
    </w:p>
    <w:p>
      <w:pPr>
        <w:widowControl/>
        <w:spacing w:before="100" w:beforeAutospacing="1" w:after="100" w:afterAutospacing="1" w:line="600" w:lineRule="exact"/>
        <w:ind w:firstLine="645"/>
        <w:jc w:val="left"/>
        <w:rPr>
          <w:rFonts w:ascii="宋体" w:hAnsi="宋体" w:cs="宋体"/>
          <w:color w:val="000000"/>
          <w:kern w:val="0"/>
          <w:sz w:val="24"/>
        </w:rPr>
      </w:pPr>
      <w:r>
        <w:rPr>
          <w:rFonts w:hint="eastAsia" w:ascii="仿宋" w:hAnsi="宋体" w:eastAsia="仿宋" w:cs="宋体"/>
          <w:color w:val="000000"/>
          <w:kern w:val="0"/>
          <w:sz w:val="28"/>
          <w:szCs w:val="28"/>
        </w:rPr>
        <w:t>4.关注和改善民生，加快社会事业发展，推动公共服务均等化。全面落实支农惠农政策，增加农民收入。</w:t>
      </w:r>
    </w:p>
    <w:p>
      <w:pPr>
        <w:widowControl/>
        <w:spacing w:before="100" w:beforeAutospacing="1" w:after="100" w:afterAutospacing="1" w:line="600" w:lineRule="exact"/>
        <w:ind w:firstLine="645"/>
        <w:jc w:val="left"/>
        <w:rPr>
          <w:rFonts w:ascii="宋体" w:hAnsi="宋体" w:cs="宋体"/>
          <w:color w:val="000000"/>
          <w:kern w:val="0"/>
          <w:sz w:val="24"/>
        </w:rPr>
      </w:pPr>
      <w:r>
        <w:rPr>
          <w:rFonts w:hint="eastAsia" w:ascii="仿宋" w:hAnsi="宋体" w:eastAsia="仿宋" w:cs="宋体"/>
          <w:color w:val="000000"/>
          <w:kern w:val="0"/>
          <w:sz w:val="28"/>
          <w:szCs w:val="28"/>
        </w:rPr>
        <w:t>5.加强生态建设和保护，加大环境整治，完善和落实护水、护河、护山、护林、护地、护环境的“六护”机制。</w:t>
      </w:r>
    </w:p>
    <w:p>
      <w:pPr>
        <w:widowControl/>
        <w:spacing w:before="100" w:beforeAutospacing="1" w:after="100" w:afterAutospacing="1" w:line="600" w:lineRule="exact"/>
        <w:ind w:firstLine="645"/>
        <w:jc w:val="left"/>
        <w:rPr>
          <w:rFonts w:ascii="宋体" w:hAnsi="宋体" w:cs="宋体"/>
          <w:color w:val="000000"/>
          <w:kern w:val="0"/>
          <w:sz w:val="24"/>
        </w:rPr>
      </w:pPr>
      <w:r>
        <w:rPr>
          <w:rFonts w:hint="eastAsia" w:ascii="仿宋" w:hAnsi="宋体" w:eastAsia="仿宋" w:cs="宋体"/>
          <w:color w:val="000000"/>
          <w:kern w:val="0"/>
          <w:sz w:val="28"/>
          <w:szCs w:val="28"/>
        </w:rPr>
        <w:t>6.保护合法财产，维护社会秩序，保障公民的人身权利、民主权利和其他权利。</w:t>
      </w:r>
    </w:p>
    <w:p>
      <w:pPr>
        <w:widowControl/>
        <w:spacing w:before="100" w:beforeAutospacing="1" w:after="100" w:afterAutospacing="1" w:line="600" w:lineRule="exact"/>
        <w:ind w:firstLine="645"/>
        <w:jc w:val="left"/>
        <w:rPr>
          <w:rFonts w:ascii="宋体" w:hAnsi="宋体" w:cs="宋体"/>
          <w:color w:val="000000"/>
          <w:kern w:val="0"/>
          <w:sz w:val="24"/>
        </w:rPr>
      </w:pPr>
      <w:r>
        <w:rPr>
          <w:rFonts w:hint="eastAsia" w:ascii="仿宋" w:hAnsi="宋体" w:eastAsia="仿宋" w:cs="宋体"/>
          <w:color w:val="000000"/>
          <w:kern w:val="0"/>
          <w:sz w:val="28"/>
          <w:szCs w:val="28"/>
        </w:rPr>
        <w:t>7.保护各种经济组织的合法权益。</w:t>
      </w:r>
    </w:p>
    <w:p>
      <w:pPr>
        <w:widowControl/>
        <w:spacing w:before="100" w:beforeAutospacing="1" w:after="100" w:afterAutospacing="1" w:line="600" w:lineRule="exact"/>
        <w:ind w:firstLine="645"/>
        <w:jc w:val="left"/>
        <w:rPr>
          <w:rFonts w:ascii="宋体" w:hAnsi="宋体" w:cs="宋体"/>
          <w:color w:val="000000"/>
          <w:kern w:val="0"/>
          <w:sz w:val="24"/>
        </w:rPr>
      </w:pPr>
      <w:r>
        <w:rPr>
          <w:rFonts w:hint="eastAsia" w:ascii="仿宋" w:hAnsi="宋体" w:eastAsia="仿宋" w:cs="宋体"/>
          <w:color w:val="000000"/>
          <w:kern w:val="0"/>
          <w:sz w:val="28"/>
          <w:szCs w:val="28"/>
        </w:rPr>
        <w:t>8.尊重少数民族的风俗习惯和保障少数民族的权利。</w:t>
      </w:r>
    </w:p>
    <w:p>
      <w:pPr>
        <w:widowControl/>
        <w:spacing w:before="100" w:beforeAutospacing="1" w:after="100" w:afterAutospacing="1" w:line="600" w:lineRule="exact"/>
        <w:ind w:firstLine="645"/>
        <w:jc w:val="left"/>
        <w:rPr>
          <w:rFonts w:ascii="宋体" w:hAnsi="宋体" w:cs="宋体"/>
          <w:color w:val="000000"/>
          <w:kern w:val="0"/>
          <w:sz w:val="24"/>
        </w:rPr>
      </w:pPr>
      <w:r>
        <w:rPr>
          <w:rFonts w:hint="eastAsia" w:ascii="仿宋" w:hAnsi="宋体" w:eastAsia="仿宋" w:cs="宋体"/>
          <w:color w:val="000000"/>
          <w:kern w:val="0"/>
          <w:sz w:val="28"/>
          <w:szCs w:val="28"/>
        </w:rPr>
        <w:t>9.保障宪法和法律赋予妇女的男女平等、同工同酬和婚姻自由等各项权利。</w:t>
      </w:r>
    </w:p>
    <w:p>
      <w:pPr>
        <w:widowControl/>
        <w:spacing w:before="100" w:beforeAutospacing="1" w:after="100" w:afterAutospacing="1" w:line="600" w:lineRule="exact"/>
        <w:ind w:firstLine="645"/>
        <w:jc w:val="left"/>
        <w:rPr>
          <w:rFonts w:ascii="宋体" w:hAnsi="宋体" w:cs="宋体"/>
          <w:color w:val="000000"/>
          <w:kern w:val="0"/>
          <w:sz w:val="24"/>
        </w:rPr>
      </w:pPr>
      <w:r>
        <w:rPr>
          <w:rFonts w:hint="eastAsia" w:ascii="仿宋" w:hAnsi="宋体" w:eastAsia="仿宋" w:cs="宋体"/>
          <w:color w:val="000000"/>
          <w:kern w:val="0"/>
          <w:sz w:val="28"/>
          <w:szCs w:val="28"/>
        </w:rPr>
        <w:t>10.不断强化社会维稳体系，加强农村社会治安综合治理，防范和化解农村社会矛盾，确保社会稳定。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rPr>
      </w:pPr>
      <w:r>
        <w:rPr>
          <w:rFonts w:hint="eastAsia" w:ascii="仿宋" w:hAnsi="宋体" w:eastAsia="仿宋" w:cs="宋体"/>
          <w:color w:val="000000"/>
          <w:kern w:val="0"/>
          <w:sz w:val="28"/>
          <w:szCs w:val="28"/>
        </w:rPr>
        <w:t>11.完成上级交办的其他事项。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28"/>
          <w:szCs w:val="28"/>
        </w:rPr>
      </w:pPr>
      <w:r>
        <w:rPr>
          <w:rFonts w:hint="eastAsia" w:ascii="楷体_GB2312" w:eastAsia="楷体_GB2312"/>
          <w:sz w:val="32"/>
          <w:szCs w:val="32"/>
        </w:rPr>
        <w:t>（二）部门整体绩效目标设立情况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rPr>
        <w:t>202</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年，</w:t>
      </w:r>
      <w:r>
        <w:rPr>
          <w:rFonts w:hint="eastAsia" w:ascii="仿宋" w:hAnsi="仿宋" w:eastAsia="仿宋" w:cs="仿宋"/>
          <w:color w:val="auto"/>
          <w:sz w:val="28"/>
          <w:szCs w:val="28"/>
          <w:lang w:eastAsia="zh-CN"/>
        </w:rPr>
        <w:t>太师屯镇人民政府</w:t>
      </w:r>
      <w:r>
        <w:rPr>
          <w:rFonts w:hint="eastAsia" w:ascii="仿宋" w:hAnsi="仿宋" w:eastAsia="仿宋" w:cs="仿宋"/>
          <w:color w:val="auto"/>
          <w:sz w:val="28"/>
          <w:szCs w:val="28"/>
        </w:rPr>
        <w:t>对202</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年度部门项目支出实施了绩效评价，评价项</w:t>
      </w:r>
      <w:r>
        <w:rPr>
          <w:rFonts w:hint="eastAsia" w:ascii="仿宋" w:hAnsi="仿宋" w:eastAsia="仿宋" w:cs="仿宋"/>
          <w:color w:val="auto"/>
          <w:sz w:val="28"/>
          <w:szCs w:val="28"/>
          <w:highlight w:val="none"/>
        </w:rPr>
        <w:t>目</w:t>
      </w:r>
      <w:r>
        <w:rPr>
          <w:rFonts w:hint="eastAsia" w:ascii="仿宋_GB2312" w:hAnsi="仿宋" w:eastAsia="仿宋_GB2312"/>
          <w:sz w:val="28"/>
          <w:szCs w:val="28"/>
          <w:highlight w:val="none"/>
          <w:lang w:val="en-US" w:eastAsia="zh-CN"/>
        </w:rPr>
        <w:t>8</w:t>
      </w:r>
      <w:r>
        <w:rPr>
          <w:rFonts w:hint="eastAsia" w:ascii="仿宋_GB2312" w:hAnsi="仿宋" w:eastAsia="仿宋_GB2312"/>
          <w:sz w:val="28"/>
          <w:szCs w:val="28"/>
        </w:rPr>
        <w:t>个</w:t>
      </w:r>
      <w:r>
        <w:rPr>
          <w:rFonts w:hint="eastAsia" w:ascii="仿宋" w:hAnsi="仿宋" w:eastAsia="仿宋" w:cs="仿宋"/>
          <w:color w:val="auto"/>
          <w:sz w:val="28"/>
          <w:szCs w:val="28"/>
          <w:highlight w:val="none"/>
        </w:rPr>
        <w:t>，占部门项目总数的</w:t>
      </w:r>
      <w:r>
        <w:rPr>
          <w:rFonts w:hint="eastAsia" w:ascii="仿宋" w:hAnsi="仿宋" w:eastAsia="仿宋" w:cs="仿宋"/>
          <w:color w:val="auto"/>
          <w:sz w:val="28"/>
          <w:szCs w:val="28"/>
          <w:highlight w:val="none"/>
          <w:lang w:val="en-US" w:eastAsia="zh-CN"/>
        </w:rPr>
        <w:t>100</w:t>
      </w:r>
      <w:r>
        <w:rPr>
          <w:rFonts w:hint="eastAsia" w:ascii="仿宋" w:hAnsi="仿宋" w:eastAsia="仿宋" w:cs="仿宋"/>
          <w:color w:val="auto"/>
          <w:sz w:val="28"/>
          <w:szCs w:val="28"/>
          <w:highlight w:val="none"/>
        </w:rPr>
        <w:t>%。</w:t>
      </w:r>
    </w:p>
    <w:p>
      <w:pPr>
        <w:spacing w:line="600" w:lineRule="exact"/>
        <w:ind w:firstLine="640" w:firstLineChars="200"/>
        <w:rPr>
          <w:rFonts w:ascii="黑体" w:hAnsi="黑体" w:eastAsia="黑体" w:cs="宋体"/>
          <w:color w:val="000000"/>
          <w:kern w:val="0"/>
          <w:sz w:val="32"/>
          <w:szCs w:val="32"/>
        </w:rPr>
      </w:pPr>
      <w:r>
        <w:rPr>
          <w:rFonts w:hint="eastAsia" w:ascii="黑体" w:hAnsi="黑体" w:eastAsia="黑体" w:cs="宋体"/>
          <w:color w:val="000000"/>
          <w:kern w:val="0"/>
          <w:sz w:val="32"/>
          <w:szCs w:val="32"/>
        </w:rPr>
        <w:t>二</w:t>
      </w:r>
      <w:r>
        <w:rPr>
          <w:rFonts w:ascii="黑体" w:hAnsi="黑体" w:eastAsia="黑体" w:cs="宋体"/>
          <w:color w:val="000000"/>
          <w:kern w:val="0"/>
          <w:sz w:val="32"/>
          <w:szCs w:val="32"/>
        </w:rPr>
        <w:t>、</w:t>
      </w:r>
      <w:r>
        <w:rPr>
          <w:rFonts w:hint="eastAsia" w:ascii="黑体" w:hAnsi="黑体" w:eastAsia="黑体" w:cs="宋体"/>
          <w:color w:val="000000"/>
          <w:kern w:val="0"/>
          <w:sz w:val="32"/>
          <w:szCs w:val="32"/>
        </w:rPr>
        <w:t>当年</w:t>
      </w:r>
      <w:r>
        <w:rPr>
          <w:rFonts w:ascii="黑体" w:hAnsi="黑体" w:eastAsia="黑体" w:cs="宋体"/>
          <w:color w:val="000000"/>
          <w:kern w:val="0"/>
          <w:sz w:val="32"/>
          <w:szCs w:val="32"/>
        </w:rPr>
        <w:t>预算执行情况</w:t>
      </w:r>
    </w:p>
    <w:p>
      <w:pPr>
        <w:spacing w:line="600" w:lineRule="exact"/>
        <w:ind w:firstLine="640" w:firstLineChars="200"/>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2024年</w:t>
      </w:r>
      <w:r>
        <w:rPr>
          <w:rFonts w:ascii="仿宋_GB2312" w:hAnsi="宋体" w:eastAsia="仿宋_GB2312" w:cs="宋体"/>
          <w:color w:val="000000"/>
          <w:kern w:val="0"/>
          <w:sz w:val="32"/>
          <w:szCs w:val="32"/>
        </w:rPr>
        <w:t>全年</w:t>
      </w:r>
      <w:r>
        <w:rPr>
          <w:rFonts w:hint="eastAsia" w:ascii="仿宋_GB2312" w:hAnsi="宋体" w:eastAsia="仿宋_GB2312" w:cs="宋体"/>
          <w:color w:val="000000"/>
          <w:kern w:val="0"/>
          <w:sz w:val="32"/>
          <w:szCs w:val="32"/>
        </w:rPr>
        <w:t>预算数</w:t>
      </w:r>
      <w:r>
        <w:rPr>
          <w:rFonts w:hint="eastAsia" w:ascii="仿宋_GB2312" w:hAnsi="宋体" w:eastAsia="仿宋_GB2312" w:cs="宋体"/>
          <w:color w:val="000000"/>
          <w:kern w:val="0"/>
          <w:sz w:val="32"/>
          <w:szCs w:val="32"/>
          <w:lang w:val="en-US" w:eastAsia="zh-CN"/>
        </w:rPr>
        <w:t>9412.22</w:t>
      </w:r>
      <w:r>
        <w:rPr>
          <w:rFonts w:hint="eastAsia" w:ascii="仿宋_GB2312" w:hAnsi="宋体" w:eastAsia="仿宋_GB2312" w:cs="宋体"/>
          <w:color w:val="000000"/>
          <w:kern w:val="0"/>
          <w:sz w:val="32"/>
          <w:szCs w:val="32"/>
        </w:rPr>
        <w:t>万元</w:t>
      </w:r>
      <w:r>
        <w:rPr>
          <w:rFonts w:ascii="仿宋_GB2312" w:hAnsi="宋体" w:eastAsia="仿宋_GB2312" w:cs="宋体"/>
          <w:color w:val="000000"/>
          <w:kern w:val="0"/>
          <w:sz w:val="32"/>
          <w:szCs w:val="32"/>
        </w:rPr>
        <w:t>，</w:t>
      </w:r>
      <w:r>
        <w:rPr>
          <w:rFonts w:hint="eastAsia" w:ascii="仿宋_GB2312" w:hAnsi="宋体" w:eastAsia="仿宋_GB2312" w:cs="宋体"/>
          <w:color w:val="000000"/>
          <w:kern w:val="0"/>
          <w:sz w:val="32"/>
          <w:szCs w:val="32"/>
        </w:rPr>
        <w:t>其中</w:t>
      </w:r>
      <w:r>
        <w:rPr>
          <w:rFonts w:ascii="仿宋_GB2312" w:hAnsi="宋体" w:eastAsia="仿宋_GB2312" w:cs="宋体"/>
          <w:color w:val="000000"/>
          <w:kern w:val="0"/>
          <w:sz w:val="32"/>
          <w:szCs w:val="32"/>
        </w:rPr>
        <w:t>，基本</w:t>
      </w:r>
      <w:r>
        <w:rPr>
          <w:rFonts w:hint="eastAsia" w:ascii="仿宋_GB2312" w:hAnsi="宋体" w:eastAsia="仿宋_GB2312" w:cs="宋体"/>
          <w:color w:val="000000"/>
          <w:kern w:val="0"/>
          <w:sz w:val="32"/>
          <w:szCs w:val="32"/>
        </w:rPr>
        <w:t>支出</w:t>
      </w:r>
      <w:r>
        <w:rPr>
          <w:rFonts w:ascii="仿宋_GB2312" w:hAnsi="宋体" w:eastAsia="仿宋_GB2312" w:cs="宋体"/>
          <w:color w:val="000000"/>
          <w:kern w:val="0"/>
          <w:sz w:val="32"/>
          <w:szCs w:val="32"/>
        </w:rPr>
        <w:t>预算数</w:t>
      </w:r>
      <w:r>
        <w:rPr>
          <w:rFonts w:hint="eastAsia" w:ascii="仿宋_GB2312" w:hAnsi="宋体" w:eastAsia="仿宋_GB2312" w:cs="宋体"/>
          <w:color w:val="000000"/>
          <w:kern w:val="0"/>
          <w:sz w:val="32"/>
          <w:szCs w:val="32"/>
          <w:lang w:val="en-US" w:eastAsia="zh-CN"/>
        </w:rPr>
        <w:t>3963.09</w:t>
      </w:r>
      <w:r>
        <w:rPr>
          <w:rFonts w:ascii="仿宋_GB2312" w:hAnsi="宋体" w:eastAsia="仿宋_GB2312" w:cs="宋体"/>
          <w:color w:val="000000"/>
          <w:kern w:val="0"/>
          <w:sz w:val="32"/>
          <w:szCs w:val="32"/>
        </w:rPr>
        <w:t>万元，</w:t>
      </w:r>
      <w:r>
        <w:rPr>
          <w:rFonts w:hint="eastAsia" w:ascii="仿宋_GB2312" w:hAnsi="宋体" w:eastAsia="仿宋_GB2312" w:cs="宋体"/>
          <w:color w:val="000000"/>
          <w:kern w:val="0"/>
          <w:sz w:val="32"/>
          <w:szCs w:val="32"/>
        </w:rPr>
        <w:t>项目支出预算数</w:t>
      </w:r>
      <w:r>
        <w:rPr>
          <w:rFonts w:hint="eastAsia" w:ascii="仿宋_GB2312" w:hAnsi="宋体" w:eastAsia="仿宋_GB2312" w:cs="宋体"/>
          <w:color w:val="000000"/>
          <w:kern w:val="0"/>
          <w:sz w:val="32"/>
          <w:szCs w:val="32"/>
          <w:lang w:val="en-US" w:eastAsia="zh-CN"/>
        </w:rPr>
        <w:t>5449.13</w:t>
      </w:r>
      <w:r>
        <w:rPr>
          <w:rFonts w:ascii="仿宋_GB2312" w:hAnsi="宋体" w:eastAsia="仿宋_GB2312" w:cs="宋体"/>
          <w:color w:val="000000"/>
          <w:kern w:val="0"/>
          <w:sz w:val="32"/>
          <w:szCs w:val="32"/>
        </w:rPr>
        <w:t>万元，其他支出</w:t>
      </w:r>
      <w:r>
        <w:rPr>
          <w:rFonts w:hint="eastAsia" w:ascii="仿宋_GB2312" w:hAnsi="宋体" w:eastAsia="仿宋_GB2312" w:cs="宋体"/>
          <w:color w:val="000000"/>
          <w:kern w:val="0"/>
          <w:sz w:val="32"/>
          <w:szCs w:val="32"/>
        </w:rPr>
        <w:t>预算数</w:t>
      </w:r>
      <w:r>
        <w:rPr>
          <w:rFonts w:hint="eastAsia" w:ascii="仿宋_GB2312" w:hAnsi="宋体" w:eastAsia="仿宋_GB2312" w:cs="宋体"/>
          <w:color w:val="000000"/>
          <w:kern w:val="0"/>
          <w:sz w:val="32"/>
          <w:szCs w:val="32"/>
          <w:lang w:val="en-US" w:eastAsia="zh-CN"/>
        </w:rPr>
        <w:t>0</w:t>
      </w:r>
      <w:r>
        <w:rPr>
          <w:rFonts w:ascii="仿宋_GB2312" w:hAnsi="宋体" w:eastAsia="仿宋_GB2312" w:cs="宋体"/>
          <w:color w:val="000000"/>
          <w:kern w:val="0"/>
          <w:sz w:val="32"/>
          <w:szCs w:val="32"/>
        </w:rPr>
        <w:t>万元</w:t>
      </w: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资金总体</w:t>
      </w:r>
      <w:r>
        <w:rPr>
          <w:rFonts w:hint="eastAsia" w:ascii="仿宋_GB2312" w:hAnsi="宋体" w:eastAsia="仿宋_GB2312" w:cs="宋体"/>
          <w:color w:val="000000"/>
          <w:kern w:val="0"/>
          <w:sz w:val="32"/>
          <w:szCs w:val="32"/>
        </w:rPr>
        <w:t>支出</w:t>
      </w:r>
      <w:r>
        <w:rPr>
          <w:rFonts w:hint="eastAsia" w:ascii="仿宋_GB2312" w:hAnsi="宋体" w:eastAsia="仿宋_GB2312" w:cs="宋体"/>
          <w:color w:val="000000"/>
          <w:kern w:val="0"/>
          <w:sz w:val="32"/>
          <w:szCs w:val="32"/>
          <w:lang w:val="en-US" w:eastAsia="zh-CN"/>
        </w:rPr>
        <w:t>16072.44</w:t>
      </w:r>
      <w:r>
        <w:rPr>
          <w:rFonts w:ascii="仿宋_GB2312" w:hAnsi="宋体" w:eastAsia="仿宋_GB2312" w:cs="宋体"/>
          <w:color w:val="000000"/>
          <w:kern w:val="0"/>
          <w:sz w:val="32"/>
          <w:szCs w:val="32"/>
        </w:rPr>
        <w:t>万元，其中，基本支出</w:t>
      </w:r>
      <w:r>
        <w:rPr>
          <w:rFonts w:hint="eastAsia" w:ascii="仿宋_GB2312" w:hAnsi="宋体" w:eastAsia="仿宋_GB2312" w:cs="宋体"/>
          <w:color w:val="000000"/>
          <w:kern w:val="0"/>
          <w:sz w:val="32"/>
          <w:szCs w:val="32"/>
          <w:lang w:val="en-US" w:eastAsia="zh-CN"/>
        </w:rPr>
        <w:t>3081.09</w:t>
      </w:r>
      <w:r>
        <w:rPr>
          <w:rFonts w:ascii="仿宋_GB2312" w:hAnsi="宋体" w:eastAsia="仿宋_GB2312" w:cs="宋体"/>
          <w:color w:val="000000"/>
          <w:kern w:val="0"/>
          <w:sz w:val="32"/>
          <w:szCs w:val="32"/>
        </w:rPr>
        <w:t>万元，项目</w:t>
      </w:r>
      <w:r>
        <w:rPr>
          <w:rFonts w:hint="eastAsia" w:ascii="仿宋_GB2312" w:hAnsi="宋体" w:eastAsia="仿宋_GB2312" w:cs="宋体"/>
          <w:color w:val="000000"/>
          <w:kern w:val="0"/>
          <w:sz w:val="32"/>
          <w:szCs w:val="32"/>
        </w:rPr>
        <w:t>支出</w:t>
      </w:r>
      <w:r>
        <w:rPr>
          <w:rFonts w:hint="eastAsia" w:ascii="仿宋_GB2312" w:hAnsi="宋体" w:eastAsia="仿宋_GB2312" w:cs="宋体"/>
          <w:color w:val="000000"/>
          <w:kern w:val="0"/>
          <w:sz w:val="32"/>
          <w:szCs w:val="32"/>
          <w:lang w:val="en-US" w:eastAsia="zh-CN"/>
        </w:rPr>
        <w:t>12991.35</w:t>
      </w:r>
      <w:r>
        <w:rPr>
          <w:rFonts w:ascii="仿宋_GB2312" w:hAnsi="宋体" w:eastAsia="仿宋_GB2312" w:cs="宋体"/>
          <w:color w:val="000000"/>
          <w:kern w:val="0"/>
          <w:sz w:val="32"/>
          <w:szCs w:val="32"/>
        </w:rPr>
        <w:t>万元，其他支出</w:t>
      </w:r>
      <w:r>
        <w:rPr>
          <w:rFonts w:hint="eastAsia" w:ascii="仿宋_GB2312" w:hAnsi="宋体" w:eastAsia="仿宋_GB2312" w:cs="宋体"/>
          <w:color w:val="000000"/>
          <w:kern w:val="0"/>
          <w:sz w:val="32"/>
          <w:szCs w:val="32"/>
          <w:lang w:val="en-US" w:eastAsia="zh-CN"/>
        </w:rPr>
        <w:t>0</w:t>
      </w:r>
      <w:r>
        <w:rPr>
          <w:rFonts w:ascii="仿宋_GB2312" w:hAnsi="宋体" w:eastAsia="仿宋_GB2312" w:cs="宋体"/>
          <w:color w:val="000000"/>
          <w:kern w:val="0"/>
          <w:sz w:val="32"/>
          <w:szCs w:val="32"/>
        </w:rPr>
        <w:t>万元。</w:t>
      </w:r>
      <w:r>
        <w:rPr>
          <w:rFonts w:hint="eastAsia" w:ascii="仿宋_GB2312" w:hAnsi="宋体" w:eastAsia="仿宋_GB2312" w:cs="宋体"/>
          <w:color w:val="000000"/>
          <w:kern w:val="0"/>
          <w:sz w:val="32"/>
          <w:szCs w:val="32"/>
        </w:rPr>
        <w:t>预算</w:t>
      </w:r>
      <w:r>
        <w:rPr>
          <w:rFonts w:ascii="仿宋_GB2312" w:hAnsi="宋体" w:eastAsia="仿宋_GB2312" w:cs="宋体"/>
          <w:color w:val="000000"/>
          <w:kern w:val="0"/>
          <w:sz w:val="32"/>
          <w:szCs w:val="32"/>
        </w:rPr>
        <w:t>执行率为</w:t>
      </w:r>
      <w:r>
        <w:rPr>
          <w:rFonts w:hint="eastAsia" w:ascii="仿宋_GB2312" w:hAnsi="宋体" w:eastAsia="仿宋_GB2312" w:cs="宋体"/>
          <w:color w:val="000000"/>
          <w:kern w:val="0"/>
          <w:sz w:val="32"/>
          <w:szCs w:val="32"/>
          <w:lang w:val="en-US" w:eastAsia="zh-CN"/>
        </w:rPr>
        <w:t>100%</w:t>
      </w:r>
      <w:r>
        <w:rPr>
          <w:rFonts w:hint="eastAsia" w:ascii="仿宋_GB2312" w:hAnsi="宋体" w:eastAsia="仿宋_GB2312" w:cs="宋体"/>
          <w:color w:val="000000"/>
          <w:kern w:val="0"/>
          <w:sz w:val="32"/>
          <w:szCs w:val="32"/>
        </w:rPr>
        <w:t>。</w:t>
      </w:r>
    </w:p>
    <w:p>
      <w:pPr>
        <w:keepNext w:val="0"/>
        <w:keepLines w:val="0"/>
        <w:pageBreakBefore w:val="0"/>
        <w:widowControl w:val="0"/>
        <w:kinsoku/>
        <w:wordWrap/>
        <w:overflowPunct/>
        <w:topLinePunct w:val="0"/>
        <w:autoSpaceDE/>
        <w:autoSpaceDN/>
        <w:bidi w:val="0"/>
        <w:adjustRightInd/>
        <w:spacing w:line="520" w:lineRule="atLeast"/>
        <w:ind w:firstLine="560" w:firstLineChars="200"/>
        <w:textAlignment w:val="auto"/>
        <w:rPr>
          <w:rFonts w:hint="eastAsia" w:ascii="黑体" w:hAnsi="Times New Roman" w:eastAsia="黑体" w:cs="Times New Roman"/>
          <w:sz w:val="28"/>
          <w:szCs w:val="28"/>
        </w:rPr>
      </w:pPr>
      <w:r>
        <w:rPr>
          <w:rFonts w:hint="eastAsia" w:ascii="黑体" w:hAnsi="Times New Roman" w:eastAsia="黑体" w:cs="Times New Roman"/>
          <w:sz w:val="28"/>
          <w:szCs w:val="28"/>
        </w:rPr>
        <w:t>三、整体绩效目标实现情况</w:t>
      </w:r>
    </w:p>
    <w:p>
      <w:pPr>
        <w:keepNext w:val="0"/>
        <w:keepLines w:val="0"/>
        <w:pageBreakBefore w:val="0"/>
        <w:widowControl w:val="0"/>
        <w:kinsoku/>
        <w:wordWrap/>
        <w:overflowPunct/>
        <w:topLinePunct w:val="0"/>
        <w:autoSpaceDE/>
        <w:autoSpaceDN/>
        <w:bidi w:val="0"/>
        <w:adjustRightInd/>
        <w:spacing w:line="520" w:lineRule="atLeast"/>
        <w:ind w:firstLine="560" w:firstLineChars="200"/>
        <w:textAlignment w:val="auto"/>
        <w:rPr>
          <w:rFonts w:hint="eastAsia" w:ascii="仿宋_GB2312" w:hAnsi="黑体" w:eastAsia="仿宋_GB2312" w:cs="仿宋"/>
          <w:sz w:val="28"/>
          <w:szCs w:val="28"/>
          <w:lang w:val="en-US" w:eastAsia="zh-CN"/>
        </w:rPr>
      </w:pPr>
      <w:r>
        <w:rPr>
          <w:rFonts w:hint="eastAsia" w:ascii="仿宋_GB2312" w:hAnsi="黑体" w:eastAsia="仿宋_GB2312" w:cs="仿宋_GB2312"/>
          <w:sz w:val="28"/>
          <w:szCs w:val="28"/>
        </w:rPr>
        <w:t>202</w:t>
      </w:r>
      <w:r>
        <w:rPr>
          <w:rFonts w:hint="eastAsia" w:ascii="仿宋_GB2312" w:hAnsi="黑体" w:eastAsia="仿宋_GB2312" w:cs="仿宋_GB2312"/>
          <w:sz w:val="28"/>
          <w:szCs w:val="28"/>
          <w:lang w:val="en-US" w:eastAsia="zh-CN"/>
        </w:rPr>
        <w:t>5</w:t>
      </w:r>
      <w:r>
        <w:rPr>
          <w:rFonts w:hint="eastAsia" w:ascii="仿宋_GB2312" w:hAnsi="黑体" w:eastAsia="仿宋_GB2312" w:cs="仿宋_GB2312"/>
          <w:sz w:val="28"/>
          <w:szCs w:val="28"/>
        </w:rPr>
        <w:t>年北京市密云区</w:t>
      </w:r>
      <w:r>
        <w:rPr>
          <w:rFonts w:hint="eastAsia" w:ascii="仿宋_GB2312" w:hAnsi="黑体" w:eastAsia="仿宋_GB2312" w:cs="仿宋_GB2312"/>
          <w:sz w:val="28"/>
          <w:szCs w:val="28"/>
          <w:lang w:eastAsia="zh-CN"/>
        </w:rPr>
        <w:t>太师屯镇人民政府</w:t>
      </w:r>
      <w:r>
        <w:rPr>
          <w:rFonts w:hint="eastAsia" w:ascii="仿宋_GB2312" w:hAnsi="黑体" w:eastAsia="仿宋_GB2312" w:cs="仿宋_GB2312"/>
          <w:sz w:val="28"/>
          <w:szCs w:val="28"/>
        </w:rPr>
        <w:t>对202</w:t>
      </w:r>
      <w:r>
        <w:rPr>
          <w:rFonts w:hint="eastAsia" w:ascii="仿宋_GB2312" w:hAnsi="黑体" w:eastAsia="仿宋_GB2312" w:cs="仿宋_GB2312"/>
          <w:sz w:val="28"/>
          <w:szCs w:val="28"/>
          <w:lang w:val="en-US" w:eastAsia="zh-CN"/>
        </w:rPr>
        <w:t>4</w:t>
      </w:r>
      <w:r>
        <w:rPr>
          <w:rFonts w:hint="eastAsia" w:ascii="仿宋_GB2312" w:hAnsi="黑体" w:eastAsia="仿宋_GB2312" w:cs="仿宋_GB2312"/>
          <w:sz w:val="28"/>
          <w:szCs w:val="28"/>
        </w:rPr>
        <w:t>年度部门项目支出实施了绩效评价，评价项目</w:t>
      </w:r>
      <w:r>
        <w:rPr>
          <w:rFonts w:hint="eastAsia" w:ascii="仿宋_GB2312" w:hAnsi="仿宋" w:eastAsia="仿宋_GB2312"/>
          <w:sz w:val="28"/>
          <w:szCs w:val="28"/>
          <w:highlight w:val="none"/>
          <w:lang w:val="en-US" w:eastAsia="zh-CN"/>
        </w:rPr>
        <w:t>8</w:t>
      </w:r>
      <w:r>
        <w:rPr>
          <w:rFonts w:hint="eastAsia" w:ascii="仿宋_GB2312" w:hAnsi="仿宋" w:eastAsia="仿宋_GB2312"/>
          <w:sz w:val="28"/>
          <w:szCs w:val="28"/>
        </w:rPr>
        <w:t>个</w:t>
      </w:r>
      <w:r>
        <w:rPr>
          <w:rFonts w:hint="eastAsia" w:ascii="仿宋_GB2312" w:hAnsi="黑体" w:eastAsia="仿宋_GB2312" w:cs="仿宋_GB2312"/>
          <w:sz w:val="28"/>
          <w:szCs w:val="28"/>
        </w:rPr>
        <w:t>，占部门项目总数的</w:t>
      </w:r>
      <w:r>
        <w:rPr>
          <w:rFonts w:hint="eastAsia" w:ascii="仿宋_GB2312" w:hAnsi="黑体" w:eastAsia="仿宋_GB2312" w:cs="仿宋_GB2312"/>
          <w:sz w:val="28"/>
          <w:szCs w:val="28"/>
          <w:lang w:val="en-US" w:eastAsia="zh-CN"/>
        </w:rPr>
        <w:t>100</w:t>
      </w:r>
      <w:r>
        <w:rPr>
          <w:rFonts w:hint="eastAsia" w:ascii="仿宋_GB2312" w:hAnsi="黑体" w:eastAsia="仿宋_GB2312" w:cs="仿宋_GB2312"/>
          <w:sz w:val="28"/>
          <w:szCs w:val="28"/>
        </w:rPr>
        <w:t>%，涉及金额</w:t>
      </w:r>
      <w:r>
        <w:rPr>
          <w:rFonts w:hint="eastAsia" w:ascii="仿宋_GB2312" w:hAnsi="黑体" w:eastAsia="仿宋_GB2312" w:cs="仿宋_GB2312"/>
          <w:sz w:val="28"/>
          <w:szCs w:val="28"/>
          <w:lang w:val="en-US" w:eastAsia="zh-CN"/>
        </w:rPr>
        <w:t>5449.13</w:t>
      </w:r>
      <w:r>
        <w:rPr>
          <w:rFonts w:hint="eastAsia" w:ascii="仿宋_GB2312" w:hAnsi="黑体" w:eastAsia="仿宋_GB2312" w:cs="仿宋_GB2312"/>
          <w:sz w:val="28"/>
          <w:szCs w:val="28"/>
        </w:rPr>
        <w:t>万元。</w:t>
      </w:r>
      <w:r>
        <w:rPr>
          <w:rFonts w:hint="eastAsia" w:ascii="仿宋_GB2312" w:hAnsi="黑体" w:eastAsia="仿宋_GB2312" w:cs="仿宋"/>
          <w:sz w:val="28"/>
          <w:szCs w:val="28"/>
        </w:rPr>
        <w:t>各业务部门结合实际情况，</w:t>
      </w:r>
      <w:r>
        <w:rPr>
          <w:rFonts w:hint="eastAsia" w:ascii="仿宋_GB2312" w:hAnsi="黑体" w:eastAsia="仿宋_GB2312" w:cs="仿宋_GB2312"/>
          <w:sz w:val="28"/>
          <w:szCs w:val="28"/>
        </w:rPr>
        <w:t>对项目开展情况进行梳理，对照项目绩效评价标准，以资金使用结果为导向，重点对绩效目标及完成情况、效益实现情况进行综合评价。在各部门的努力下，部门自评结果整体情况较好，设定的绩效目标基本完成，与预期完成情况相差极小。通过自评打分，90分(含)以</w:t>
      </w:r>
      <w:r>
        <w:rPr>
          <w:rFonts w:hint="eastAsia" w:ascii="仿宋_GB2312" w:hAnsi="黑体" w:eastAsia="仿宋_GB2312" w:cs="仿宋"/>
          <w:sz w:val="28"/>
          <w:szCs w:val="28"/>
        </w:rPr>
        <w:t>上有</w:t>
      </w:r>
      <w:r>
        <w:rPr>
          <w:rFonts w:hint="eastAsia" w:ascii="仿宋_GB2312" w:hAnsi="仿宋" w:eastAsia="仿宋_GB2312"/>
          <w:sz w:val="28"/>
          <w:szCs w:val="28"/>
          <w:highlight w:val="none"/>
          <w:lang w:val="en-US" w:eastAsia="zh-CN"/>
        </w:rPr>
        <w:t>8</w:t>
      </w:r>
      <w:r>
        <w:rPr>
          <w:rFonts w:hint="eastAsia" w:ascii="仿宋_GB2312" w:hAnsi="仿宋" w:eastAsia="仿宋_GB2312"/>
          <w:sz w:val="28"/>
          <w:szCs w:val="28"/>
        </w:rPr>
        <w:t>个</w:t>
      </w:r>
      <w:r>
        <w:rPr>
          <w:rFonts w:hint="eastAsia" w:ascii="仿宋_GB2312" w:hAnsi="黑体" w:eastAsia="仿宋_GB2312" w:cs="仿宋"/>
          <w:sz w:val="28"/>
          <w:szCs w:val="28"/>
        </w:rPr>
        <w:t>项目，占</w:t>
      </w:r>
      <w:r>
        <w:rPr>
          <w:rFonts w:hint="eastAsia" w:ascii="仿宋_GB2312" w:hAnsi="黑体" w:eastAsia="仿宋_GB2312" w:cs="仿宋"/>
          <w:sz w:val="28"/>
          <w:szCs w:val="28"/>
          <w:lang w:val="en-US" w:eastAsia="zh-CN"/>
        </w:rPr>
        <w:t>100</w:t>
      </w:r>
      <w:r>
        <w:rPr>
          <w:rFonts w:hint="eastAsia" w:ascii="仿宋_GB2312" w:hAnsi="黑体" w:eastAsia="仿宋_GB2312" w:cs="仿宋"/>
          <w:sz w:val="28"/>
          <w:szCs w:val="28"/>
        </w:rPr>
        <w:t>%。</w:t>
      </w:r>
    </w:p>
    <w:p>
      <w:pPr>
        <w:keepNext w:val="0"/>
        <w:keepLines w:val="0"/>
        <w:pageBreakBefore w:val="0"/>
        <w:widowControl w:val="0"/>
        <w:kinsoku/>
        <w:wordWrap/>
        <w:overflowPunct/>
        <w:topLinePunct w:val="0"/>
        <w:autoSpaceDE/>
        <w:autoSpaceDN/>
        <w:bidi w:val="0"/>
        <w:adjustRightInd/>
        <w:spacing w:line="520" w:lineRule="atLeast"/>
        <w:ind w:left="105" w:leftChars="50" w:firstLine="420" w:firstLineChars="15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1.评价得分情况</w:t>
      </w:r>
    </w:p>
    <w:p>
      <w:pPr>
        <w:pStyle w:val="5"/>
        <w:keepNext w:val="0"/>
        <w:keepLines w:val="0"/>
        <w:pageBreakBefore w:val="0"/>
        <w:widowControl w:val="0"/>
        <w:kinsoku/>
        <w:wordWrap/>
        <w:overflowPunct/>
        <w:topLinePunct w:val="0"/>
        <w:autoSpaceDE/>
        <w:autoSpaceDN/>
        <w:bidi w:val="0"/>
        <w:adjustRightInd/>
        <w:spacing w:line="520" w:lineRule="atLeast"/>
        <w:ind w:firstLine="560"/>
        <w:textAlignment w:val="auto"/>
        <w:rPr>
          <w:rFonts w:hint="eastAsia" w:ascii="仿宋_GB2312" w:hAnsi="仿宋" w:eastAsia="仿宋_GB2312"/>
          <w:sz w:val="28"/>
          <w:szCs w:val="28"/>
          <w:lang w:val="en-US" w:eastAsia="zh-CN"/>
        </w:rPr>
      </w:pPr>
      <w:r>
        <w:rPr>
          <w:rFonts w:hint="eastAsia" w:ascii="仿宋_GB2312" w:hAnsi="仿宋" w:eastAsia="仿宋_GB2312"/>
          <w:sz w:val="28"/>
          <w:szCs w:val="28"/>
        </w:rPr>
        <w:t>202</w:t>
      </w:r>
      <w:r>
        <w:rPr>
          <w:rFonts w:hint="eastAsia" w:ascii="仿宋_GB2312" w:hAnsi="仿宋" w:eastAsia="仿宋_GB2312"/>
          <w:sz w:val="28"/>
          <w:szCs w:val="28"/>
          <w:lang w:val="en-US" w:eastAsia="zh-CN"/>
        </w:rPr>
        <w:t>3</w:t>
      </w:r>
      <w:r>
        <w:rPr>
          <w:rFonts w:hint="eastAsia" w:ascii="仿宋_GB2312" w:hAnsi="仿宋" w:eastAsia="仿宋_GB2312"/>
          <w:sz w:val="28"/>
          <w:szCs w:val="28"/>
        </w:rPr>
        <w:t>年绩效指标整体完成情况良好，整体得分在80-100分之间的项目</w:t>
      </w:r>
      <w:r>
        <w:rPr>
          <w:rFonts w:hint="eastAsia" w:ascii="仿宋_GB2312" w:hAnsi="仿宋" w:eastAsia="仿宋_GB2312"/>
          <w:sz w:val="28"/>
          <w:szCs w:val="28"/>
          <w:highlight w:val="none"/>
          <w:lang w:val="en-US" w:eastAsia="zh-CN"/>
        </w:rPr>
        <w:t>8</w:t>
      </w:r>
      <w:r>
        <w:rPr>
          <w:rFonts w:hint="eastAsia" w:ascii="仿宋_GB2312" w:hAnsi="仿宋" w:eastAsia="仿宋_GB2312"/>
          <w:sz w:val="28"/>
          <w:szCs w:val="28"/>
        </w:rPr>
        <w:t>个，占所有项目的</w:t>
      </w:r>
      <w:r>
        <w:rPr>
          <w:rFonts w:hint="eastAsia" w:ascii="仿宋_GB2312" w:hAnsi="仿宋" w:eastAsia="仿宋_GB2312"/>
          <w:sz w:val="28"/>
          <w:szCs w:val="28"/>
          <w:lang w:val="en-US" w:eastAsia="zh-CN"/>
        </w:rPr>
        <w:t>100</w:t>
      </w:r>
      <w:r>
        <w:rPr>
          <w:rFonts w:hint="eastAsia" w:ascii="仿宋_GB2312" w:hAnsi="仿宋" w:eastAsia="仿宋_GB2312"/>
          <w:sz w:val="28"/>
          <w:szCs w:val="28"/>
        </w:rPr>
        <w:t>%</w:t>
      </w:r>
      <w:r>
        <w:rPr>
          <w:rFonts w:hint="eastAsia" w:ascii="仿宋_GB2312" w:hAnsi="仿宋" w:eastAsia="仿宋_GB2312" w:cs="Times New Roman"/>
          <w:kern w:val="2"/>
          <w:sz w:val="28"/>
          <w:szCs w:val="28"/>
          <w:lang w:val="en-US" w:eastAsia="zh-CN" w:bidi="ar-SA"/>
        </w:rPr>
        <w:t>。</w:t>
      </w:r>
    </w:p>
    <w:p>
      <w:pPr>
        <w:keepNext w:val="0"/>
        <w:keepLines w:val="0"/>
        <w:pageBreakBefore w:val="0"/>
        <w:widowControl w:val="0"/>
        <w:kinsoku/>
        <w:wordWrap/>
        <w:overflowPunct/>
        <w:topLinePunct w:val="0"/>
        <w:autoSpaceDE/>
        <w:autoSpaceDN/>
        <w:bidi w:val="0"/>
        <w:adjustRightInd/>
        <w:spacing w:line="520" w:lineRule="atLeast"/>
        <w:ind w:left="105" w:leftChars="50" w:firstLine="420" w:firstLineChars="15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2.存在的问题及原因分析</w:t>
      </w:r>
    </w:p>
    <w:p>
      <w:pPr>
        <w:pStyle w:val="2"/>
        <w:keepNext w:val="0"/>
        <w:keepLines w:val="0"/>
        <w:pageBreakBefore w:val="0"/>
        <w:widowControl w:val="0"/>
        <w:kinsoku/>
        <w:wordWrap/>
        <w:overflowPunct/>
        <w:topLinePunct w:val="0"/>
        <w:autoSpaceDE/>
        <w:autoSpaceDN/>
        <w:bidi w:val="0"/>
        <w:adjustRightInd/>
        <w:snapToGrid/>
        <w:spacing w:after="0" w:line="520" w:lineRule="atLeast"/>
        <w:ind w:firstLine="560" w:firstLineChars="200"/>
        <w:textAlignment w:val="auto"/>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en-US" w:eastAsia="zh-CN" w:bidi="ar-SA"/>
        </w:rPr>
        <w:t>根据各科室工作申报项目，合理分配资金，做到突出重点，公平公正，资金分配和使用方向符合资金管理办法，项目资金使用严格遵守各项财经纪律，符合规范。</w:t>
      </w:r>
    </w:p>
    <w:p>
      <w:pPr>
        <w:pStyle w:val="2"/>
        <w:keepNext w:val="0"/>
        <w:keepLines w:val="0"/>
        <w:pageBreakBefore w:val="0"/>
        <w:widowControl w:val="0"/>
        <w:kinsoku/>
        <w:wordWrap/>
        <w:overflowPunct/>
        <w:topLinePunct w:val="0"/>
        <w:autoSpaceDE/>
        <w:autoSpaceDN/>
        <w:bidi w:val="0"/>
        <w:adjustRightInd/>
        <w:snapToGrid/>
        <w:spacing w:after="0" w:line="520" w:lineRule="atLeast"/>
        <w:ind w:firstLine="560" w:firstLineChars="200"/>
        <w:textAlignment w:val="auto"/>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en-US" w:eastAsia="zh-CN" w:bidi="ar-SA"/>
        </w:rPr>
        <w:t>绩效管理存在的问题：绩效管理工作缺乏监督、检查影响绩效管理的效率，缺乏前瞻性，不能更好地做一个客观、准确的预计。</w:t>
      </w:r>
    </w:p>
    <w:p>
      <w:pPr>
        <w:pStyle w:val="5"/>
        <w:keepNext w:val="0"/>
        <w:keepLines w:val="0"/>
        <w:pageBreakBefore w:val="0"/>
        <w:widowControl w:val="0"/>
        <w:kinsoku/>
        <w:wordWrap/>
        <w:overflowPunct/>
        <w:topLinePunct w:val="0"/>
        <w:autoSpaceDE/>
        <w:autoSpaceDN/>
        <w:bidi w:val="0"/>
        <w:adjustRightInd/>
        <w:snapToGrid/>
        <w:spacing w:line="520" w:lineRule="atLeast"/>
        <w:ind w:firstLine="560" w:firstLineChars="200"/>
        <w:textAlignment w:val="auto"/>
        <w:rPr>
          <w:rFonts w:hint="eastAsia" w:ascii="黑体" w:hAnsi="Times New Roman" w:eastAsia="黑体" w:cs="Times New Roman"/>
          <w:kern w:val="2"/>
          <w:sz w:val="28"/>
          <w:szCs w:val="28"/>
          <w:lang w:val="en-US" w:eastAsia="zh-CN" w:bidi="ar-SA"/>
        </w:rPr>
      </w:pPr>
      <w:r>
        <w:rPr>
          <w:rFonts w:hint="eastAsia" w:ascii="黑体" w:hAnsi="Times New Roman" w:eastAsia="黑体" w:cs="Times New Roman"/>
          <w:kern w:val="2"/>
          <w:sz w:val="28"/>
          <w:szCs w:val="28"/>
          <w:lang w:val="en-US" w:eastAsia="zh-CN" w:bidi="ar-SA"/>
        </w:rPr>
        <w:t>四、措施建议（整改措施、下一步工作举措）</w:t>
      </w:r>
    </w:p>
    <w:p>
      <w:pPr>
        <w:pStyle w:val="2"/>
        <w:keepNext w:val="0"/>
        <w:keepLines w:val="0"/>
        <w:pageBreakBefore w:val="0"/>
        <w:widowControl w:val="0"/>
        <w:kinsoku/>
        <w:wordWrap/>
        <w:overflowPunct/>
        <w:topLinePunct w:val="0"/>
        <w:autoSpaceDE/>
        <w:autoSpaceDN/>
        <w:bidi w:val="0"/>
        <w:adjustRightInd/>
        <w:spacing w:line="520" w:lineRule="atLeast"/>
        <w:ind w:firstLine="560" w:firstLineChars="200"/>
        <w:textAlignment w:val="auto"/>
        <w:rPr>
          <w:rFonts w:hint="eastAsia" w:ascii="仿宋_GB2312" w:hAnsi="黑体" w:eastAsia="仿宋_GB2312" w:cs="仿宋"/>
          <w:sz w:val="28"/>
          <w:szCs w:val="28"/>
        </w:rPr>
      </w:pPr>
      <w:r>
        <w:rPr>
          <w:rFonts w:hint="eastAsia" w:ascii="仿宋_GB2312" w:hAnsi="黑体" w:eastAsia="仿宋_GB2312" w:cs="仿宋"/>
          <w:sz w:val="28"/>
          <w:szCs w:val="28"/>
        </w:rPr>
        <w:t>1、建立完善的管理制度，强化绩效目标管理，把绩效目标作为项目实施的前置条件，提高资金使用的合理性和科学性。</w:t>
      </w:r>
    </w:p>
    <w:p>
      <w:pPr>
        <w:pStyle w:val="2"/>
        <w:keepNext w:val="0"/>
        <w:keepLines w:val="0"/>
        <w:pageBreakBefore w:val="0"/>
        <w:widowControl w:val="0"/>
        <w:kinsoku/>
        <w:wordWrap/>
        <w:overflowPunct/>
        <w:topLinePunct w:val="0"/>
        <w:autoSpaceDE/>
        <w:autoSpaceDN/>
        <w:bidi w:val="0"/>
        <w:adjustRightInd/>
        <w:spacing w:line="520" w:lineRule="atLeast"/>
        <w:ind w:firstLine="560" w:firstLineChars="200"/>
        <w:textAlignment w:val="auto"/>
        <w:rPr>
          <w:rFonts w:hint="eastAsia" w:ascii="仿宋_GB2312" w:hAnsi="黑体" w:eastAsia="仿宋_GB2312" w:cs="仿宋"/>
          <w:sz w:val="28"/>
          <w:szCs w:val="28"/>
        </w:rPr>
      </w:pPr>
      <w:r>
        <w:rPr>
          <w:rFonts w:hint="eastAsia" w:ascii="仿宋_GB2312" w:hAnsi="黑体" w:eastAsia="仿宋_GB2312" w:cs="仿宋"/>
          <w:sz w:val="28"/>
          <w:szCs w:val="28"/>
        </w:rPr>
        <w:t>2、加强重大项目的事前、事中、事后监督管理，将资金同项目实施质量挂钩，提高资金使用效能。</w:t>
      </w:r>
    </w:p>
    <w:p>
      <w:pPr>
        <w:keepNext w:val="0"/>
        <w:keepLines w:val="0"/>
        <w:pageBreakBefore w:val="0"/>
        <w:widowControl w:val="0"/>
        <w:kinsoku/>
        <w:wordWrap/>
        <w:overflowPunct/>
        <w:topLinePunct w:val="0"/>
        <w:autoSpaceDE/>
        <w:autoSpaceDN/>
        <w:bidi w:val="0"/>
        <w:adjustRightInd/>
        <w:spacing w:line="520" w:lineRule="atLeast"/>
        <w:ind w:firstLine="560" w:firstLineChars="200"/>
        <w:textAlignment w:val="auto"/>
        <w:rPr>
          <w:rFonts w:hint="eastAsia" w:ascii="仿宋_GB2312" w:hAnsi="黑体" w:eastAsia="仿宋_GB2312" w:cs="仿宋"/>
          <w:kern w:val="2"/>
          <w:sz w:val="28"/>
          <w:szCs w:val="28"/>
          <w:lang w:val="en-US" w:eastAsia="zh-CN" w:bidi="ar-SA"/>
        </w:rPr>
      </w:pPr>
      <w:r>
        <w:rPr>
          <w:rFonts w:hint="eastAsia" w:ascii="仿宋_GB2312" w:hAnsi="黑体" w:eastAsia="仿宋_GB2312" w:cs="仿宋"/>
          <w:kern w:val="2"/>
          <w:sz w:val="28"/>
          <w:szCs w:val="28"/>
          <w:lang w:val="en-US" w:eastAsia="zh-CN" w:bidi="ar-SA"/>
        </w:rPr>
        <w:t>3、倾听服务对象的声音和需求，提高财政资金的绩效水平。通过不同的手段和方法做好绩效评价，认真做好各方面的满意度调查。</w:t>
      </w:r>
    </w:p>
    <w:p>
      <w:pPr>
        <w:keepNext w:val="0"/>
        <w:keepLines w:val="0"/>
        <w:pageBreakBefore w:val="0"/>
        <w:widowControl w:val="0"/>
        <w:kinsoku/>
        <w:wordWrap/>
        <w:overflowPunct/>
        <w:topLinePunct w:val="0"/>
        <w:autoSpaceDE/>
        <w:autoSpaceDN/>
        <w:bidi w:val="0"/>
        <w:adjustRightInd/>
        <w:spacing w:line="520" w:lineRule="atLeast"/>
        <w:ind w:firstLine="560" w:firstLineChars="200"/>
        <w:textAlignment w:val="auto"/>
        <w:rPr>
          <w:rFonts w:hint="eastAsia" w:ascii="仿宋_GB2312" w:hAnsi="黑体" w:eastAsia="仿宋_GB2312" w:cs="仿宋"/>
          <w:kern w:val="2"/>
          <w:sz w:val="28"/>
          <w:szCs w:val="28"/>
          <w:lang w:val="en-US" w:eastAsia="zh-CN" w:bidi="ar-SA"/>
        </w:rPr>
      </w:pPr>
      <w:r>
        <w:rPr>
          <w:rFonts w:hint="eastAsia" w:ascii="仿宋_GB2312" w:hAnsi="黑体" w:eastAsia="仿宋_GB2312" w:cs="仿宋"/>
          <w:kern w:val="2"/>
          <w:sz w:val="28"/>
          <w:szCs w:val="28"/>
          <w:lang w:val="en-US" w:eastAsia="zh-CN" w:bidi="ar-SA"/>
        </w:rPr>
        <w:t>目前绩效评价工作还在进行中，将陆续完善绩效工作。</w:t>
      </w:r>
    </w:p>
    <w:p/>
    <w:p/>
    <w:p/>
    <w:p/>
    <w:p/>
    <w:p/>
    <w:p/>
    <w:p/>
    <w:p/>
    <w:p/>
    <w:p/>
    <w:p/>
    <w:tbl>
      <w:tblPr>
        <w:tblStyle w:val="12"/>
        <w:tblW w:w="14786" w:type="dxa"/>
        <w:tblInd w:w="0" w:type="dxa"/>
        <w:tblLayout w:type="fixed"/>
        <w:tblCellMar>
          <w:top w:w="0" w:type="dxa"/>
          <w:left w:w="108" w:type="dxa"/>
          <w:bottom w:w="0" w:type="dxa"/>
          <w:right w:w="108" w:type="dxa"/>
        </w:tblCellMar>
      </w:tblPr>
      <w:tblGrid>
        <w:gridCol w:w="1041"/>
        <w:gridCol w:w="1079"/>
        <w:gridCol w:w="989"/>
        <w:gridCol w:w="1096"/>
        <w:gridCol w:w="1049"/>
        <w:gridCol w:w="540"/>
        <w:gridCol w:w="600"/>
        <w:gridCol w:w="3870"/>
        <w:gridCol w:w="4522"/>
      </w:tblGrid>
      <w:tr>
        <w:tblPrEx>
          <w:tblCellMar>
            <w:top w:w="0" w:type="dxa"/>
            <w:left w:w="108" w:type="dxa"/>
            <w:bottom w:w="0" w:type="dxa"/>
            <w:right w:w="108" w:type="dxa"/>
          </w:tblCellMar>
        </w:tblPrEx>
        <w:trPr>
          <w:trHeight w:val="499" w:hRule="atLeast"/>
        </w:trPr>
        <w:tc>
          <w:tcPr>
            <w:tcW w:w="14786" w:type="dxa"/>
            <w:gridSpan w:val="9"/>
            <w:tcBorders>
              <w:top w:val="nil"/>
              <w:left w:val="nil"/>
              <w:bottom w:val="single" w:color="auto" w:sz="4" w:space="0"/>
              <w:right w:val="nil"/>
            </w:tcBorders>
            <w:vAlign w:val="bottom"/>
          </w:tcPr>
          <w:p>
            <w:pPr>
              <w:widowControl/>
              <w:jc w:val="center"/>
              <w:rPr>
                <w:rFonts w:hint="eastAsia" w:ascii="方正小标宋简体" w:hAnsi="黑体" w:eastAsia="方正小标宋简体" w:cs="宋体"/>
                <w:color w:val="000000"/>
                <w:kern w:val="0"/>
                <w:sz w:val="44"/>
                <w:szCs w:val="44"/>
              </w:rPr>
            </w:pPr>
            <w:r>
              <w:rPr>
                <w:rFonts w:hint="eastAsia" w:ascii="方正小标宋简体" w:hAnsi="黑体" w:eastAsia="方正小标宋简体" w:cs="宋体"/>
                <w:color w:val="000000"/>
                <w:kern w:val="0"/>
                <w:sz w:val="44"/>
                <w:szCs w:val="44"/>
              </w:rPr>
              <w:t>202</w:t>
            </w:r>
            <w:r>
              <w:rPr>
                <w:rFonts w:hint="eastAsia" w:ascii="方正小标宋简体" w:hAnsi="黑体" w:eastAsia="方正小标宋简体" w:cs="宋体"/>
                <w:color w:val="000000"/>
                <w:kern w:val="0"/>
                <w:sz w:val="44"/>
                <w:szCs w:val="44"/>
                <w:lang w:val="en-US" w:eastAsia="zh-CN"/>
              </w:rPr>
              <w:t>4</w:t>
            </w:r>
            <w:r>
              <w:rPr>
                <w:rFonts w:hint="eastAsia" w:ascii="方正小标宋简体" w:hAnsi="黑体" w:eastAsia="方正小标宋简体" w:cs="宋体"/>
                <w:color w:val="000000"/>
                <w:kern w:val="0"/>
                <w:sz w:val="44"/>
                <w:szCs w:val="44"/>
              </w:rPr>
              <w:t>年部门整体绩效评价指标体系评分表</w:t>
            </w:r>
          </w:p>
        </w:tc>
      </w:tr>
      <w:tr>
        <w:tblPrEx>
          <w:tblCellMar>
            <w:top w:w="0" w:type="dxa"/>
            <w:left w:w="108" w:type="dxa"/>
            <w:bottom w:w="0" w:type="dxa"/>
            <w:right w:w="108" w:type="dxa"/>
          </w:tblCellMar>
        </w:tblPrEx>
        <w:trPr>
          <w:trHeight w:val="470" w:hRule="atLeast"/>
        </w:trPr>
        <w:tc>
          <w:tcPr>
            <w:tcW w:w="14786" w:type="dxa"/>
            <w:gridSpan w:val="9"/>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一、</w:t>
            </w:r>
            <w:r>
              <w:rPr>
                <w:rFonts w:hint="eastAsia" w:ascii="宋体" w:hAnsi="宋体" w:cs="宋体"/>
                <w:color w:val="000000"/>
                <w:kern w:val="0"/>
                <w:sz w:val="20"/>
                <w:szCs w:val="20"/>
              </w:rPr>
              <w:t>当年预算执行情况（20分）</w:t>
            </w:r>
          </w:p>
        </w:tc>
      </w:tr>
      <w:tr>
        <w:tblPrEx>
          <w:tblCellMar>
            <w:top w:w="0" w:type="dxa"/>
            <w:left w:w="108" w:type="dxa"/>
            <w:bottom w:w="0" w:type="dxa"/>
            <w:right w:w="108" w:type="dxa"/>
          </w:tblCellMar>
        </w:tblPrEx>
        <w:trPr>
          <w:trHeight w:val="660" w:hRule="atLeast"/>
        </w:trPr>
        <w:tc>
          <w:tcPr>
            <w:tcW w:w="104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一</w:t>
            </w:r>
            <w:r>
              <w:rPr>
                <w:rFonts w:ascii="宋体" w:hAnsi="宋体" w:cs="宋体"/>
                <w:color w:val="000000"/>
                <w:kern w:val="0"/>
                <w:sz w:val="20"/>
                <w:szCs w:val="20"/>
              </w:rPr>
              <w:t>级指标</w:t>
            </w:r>
            <w:r>
              <w:rPr>
                <w:rFonts w:hint="eastAsia" w:ascii="宋体" w:hAnsi="宋体" w:cs="宋体"/>
                <w:color w:val="000000"/>
                <w:kern w:val="0"/>
                <w:sz w:val="20"/>
                <w:szCs w:val="20"/>
              </w:rPr>
              <w:t>　</w:t>
            </w:r>
          </w:p>
        </w:tc>
        <w:tc>
          <w:tcPr>
            <w:tcW w:w="10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二</w:t>
            </w:r>
            <w:r>
              <w:rPr>
                <w:rFonts w:ascii="宋体" w:hAnsi="宋体" w:cs="宋体"/>
                <w:color w:val="000000"/>
                <w:kern w:val="0"/>
                <w:sz w:val="20"/>
                <w:szCs w:val="20"/>
              </w:rPr>
              <w:t>级指标</w:t>
            </w:r>
            <w:r>
              <w:rPr>
                <w:rFonts w:hint="eastAsia" w:ascii="宋体" w:hAnsi="宋体" w:cs="宋体"/>
                <w:color w:val="000000"/>
                <w:kern w:val="0"/>
                <w:sz w:val="20"/>
                <w:szCs w:val="20"/>
              </w:rPr>
              <w:t>　</w:t>
            </w:r>
          </w:p>
        </w:tc>
        <w:tc>
          <w:tcPr>
            <w:tcW w:w="98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预算数（万元）</w:t>
            </w:r>
          </w:p>
        </w:tc>
        <w:tc>
          <w:tcPr>
            <w:tcW w:w="109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执行数（万元）</w:t>
            </w:r>
          </w:p>
        </w:tc>
        <w:tc>
          <w:tcPr>
            <w:tcW w:w="10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预算执行率</w:t>
            </w:r>
          </w:p>
        </w:tc>
        <w:tc>
          <w:tcPr>
            <w:tcW w:w="54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分值</w:t>
            </w:r>
          </w:p>
        </w:tc>
        <w:tc>
          <w:tcPr>
            <w:tcW w:w="60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得分</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指标解释</w:t>
            </w:r>
          </w:p>
        </w:tc>
        <w:tc>
          <w:tcPr>
            <w:tcW w:w="452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评分标准</w:t>
            </w:r>
          </w:p>
        </w:tc>
      </w:tr>
      <w:tr>
        <w:tblPrEx>
          <w:tblCellMar>
            <w:top w:w="0" w:type="dxa"/>
            <w:left w:w="108" w:type="dxa"/>
            <w:bottom w:w="0" w:type="dxa"/>
            <w:right w:w="108" w:type="dxa"/>
          </w:tblCellMar>
        </w:tblPrEx>
        <w:trPr>
          <w:trHeight w:val="630" w:hRule="atLeast"/>
        </w:trPr>
        <w:tc>
          <w:tcPr>
            <w:tcW w:w="1041" w:type="dxa"/>
            <w:vMerge w:val="restart"/>
            <w:tcBorders>
              <w:top w:val="nil"/>
              <w:left w:val="single" w:color="auto" w:sz="4" w:space="0"/>
              <w:bottom w:val="single" w:color="000000"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当年预算执行情况（20）</w:t>
            </w:r>
          </w:p>
        </w:tc>
        <w:tc>
          <w:tcPr>
            <w:tcW w:w="10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资金总体</w:t>
            </w:r>
          </w:p>
        </w:tc>
        <w:tc>
          <w:tcPr>
            <w:tcW w:w="98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9412.22</w:t>
            </w:r>
          </w:p>
        </w:tc>
        <w:tc>
          <w:tcPr>
            <w:tcW w:w="1096" w:type="dxa"/>
            <w:tcBorders>
              <w:top w:val="single" w:color="auto" w:sz="4" w:space="0"/>
              <w:left w:val="single" w:color="auto" w:sz="4" w:space="0"/>
              <w:bottom w:val="single" w:color="auto" w:sz="4" w:space="0"/>
              <w:right w:val="single" w:color="auto" w:sz="4" w:space="0"/>
            </w:tcBorders>
            <w:vAlign w:val="center"/>
          </w:tcPr>
          <w:p>
            <w:pPr>
              <w:widowControl/>
              <w:jc w:val="both"/>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16072.44</w:t>
            </w:r>
          </w:p>
        </w:tc>
        <w:tc>
          <w:tcPr>
            <w:tcW w:w="10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54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20</w:t>
            </w:r>
          </w:p>
        </w:tc>
        <w:tc>
          <w:tcPr>
            <w:tcW w:w="60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20</w:t>
            </w:r>
            <w:r>
              <w:rPr>
                <w:rFonts w:hint="eastAsia" w:ascii="宋体" w:hAnsi="宋体" w:cs="宋体"/>
                <w:color w:val="000000"/>
                <w:kern w:val="0"/>
                <w:sz w:val="20"/>
                <w:szCs w:val="20"/>
              </w:rPr>
              <w:t>　</w:t>
            </w:r>
          </w:p>
        </w:tc>
        <w:tc>
          <w:tcPr>
            <w:tcW w:w="3870"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部门全年执行数与全年预算数的比率。资金总体=基本支出+项目支出+其他</w:t>
            </w:r>
          </w:p>
        </w:tc>
        <w:tc>
          <w:tcPr>
            <w:tcW w:w="4522" w:type="dxa"/>
            <w:vMerge w:val="restart"/>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①得分一档最高不能超过该指标分值上限（20分）。</w:t>
            </w:r>
          </w:p>
          <w:p>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②该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tc>
      </w:tr>
      <w:tr>
        <w:tblPrEx>
          <w:tblCellMar>
            <w:top w:w="0" w:type="dxa"/>
            <w:left w:w="108" w:type="dxa"/>
            <w:bottom w:w="0" w:type="dxa"/>
            <w:right w:w="108" w:type="dxa"/>
          </w:tblCellMar>
        </w:tblPrEx>
        <w:trPr>
          <w:trHeight w:val="600" w:hRule="atLeast"/>
        </w:trPr>
        <w:tc>
          <w:tcPr>
            <w:tcW w:w="104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基本支出</w:t>
            </w:r>
          </w:p>
        </w:tc>
        <w:tc>
          <w:tcPr>
            <w:tcW w:w="989" w:type="dxa"/>
            <w:tcBorders>
              <w:top w:val="single" w:color="auto" w:sz="4" w:space="0"/>
              <w:left w:val="single" w:color="auto" w:sz="4" w:space="0"/>
              <w:bottom w:val="single" w:color="auto" w:sz="4" w:space="0"/>
              <w:right w:val="single" w:color="auto" w:sz="4" w:space="0"/>
            </w:tcBorders>
            <w:vAlign w:val="center"/>
          </w:tcPr>
          <w:p>
            <w:pPr>
              <w:widowControl/>
              <w:jc w:val="both"/>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3963.09</w:t>
            </w:r>
          </w:p>
        </w:tc>
        <w:tc>
          <w:tcPr>
            <w:tcW w:w="1096" w:type="dxa"/>
            <w:tcBorders>
              <w:top w:val="single" w:color="auto" w:sz="4" w:space="0"/>
              <w:left w:val="nil"/>
              <w:bottom w:val="single" w:color="auto" w:sz="4" w:space="0"/>
              <w:right w:val="single" w:color="auto" w:sz="4" w:space="0"/>
            </w:tcBorders>
            <w:vAlign w:val="center"/>
          </w:tcPr>
          <w:p>
            <w:pPr>
              <w:widowControl/>
              <w:jc w:val="both"/>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3081.09</w:t>
            </w:r>
          </w:p>
        </w:tc>
        <w:tc>
          <w:tcPr>
            <w:tcW w:w="104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rPr>
              <w:t>——</w:t>
            </w:r>
          </w:p>
        </w:tc>
        <w:tc>
          <w:tcPr>
            <w:tcW w:w="5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00" w:type="dxa"/>
            <w:vMerge w:val="continue"/>
            <w:tcBorders>
              <w:top w:val="single" w:color="auto" w:sz="4" w:space="0"/>
              <w:left w:val="nil"/>
              <w:bottom w:val="single" w:color="auto" w:sz="4" w:space="0"/>
              <w:right w:val="nil"/>
            </w:tcBorders>
            <w:vAlign w:val="center"/>
          </w:tcPr>
          <w:p>
            <w:pPr>
              <w:widowControl/>
              <w:jc w:val="left"/>
              <w:rPr>
                <w:rFonts w:ascii="宋体" w:hAnsi="宋体" w:cs="宋体"/>
                <w:color w:val="000000"/>
                <w:kern w:val="0"/>
                <w:sz w:val="20"/>
                <w:szCs w:val="20"/>
              </w:rPr>
            </w:pPr>
          </w:p>
        </w:tc>
        <w:tc>
          <w:tcPr>
            <w:tcW w:w="38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52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615" w:hRule="atLeast"/>
        </w:trPr>
        <w:tc>
          <w:tcPr>
            <w:tcW w:w="104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项目支出</w:t>
            </w:r>
          </w:p>
        </w:tc>
        <w:tc>
          <w:tcPr>
            <w:tcW w:w="989" w:type="dxa"/>
            <w:tcBorders>
              <w:top w:val="single" w:color="auto" w:sz="4" w:space="0"/>
              <w:left w:val="single" w:color="auto" w:sz="4" w:space="0"/>
              <w:bottom w:val="single" w:color="auto" w:sz="4" w:space="0"/>
              <w:right w:val="single" w:color="auto" w:sz="4" w:space="0"/>
            </w:tcBorders>
            <w:vAlign w:val="center"/>
          </w:tcPr>
          <w:p>
            <w:pPr>
              <w:widowControl/>
              <w:jc w:val="both"/>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5449.13</w:t>
            </w:r>
          </w:p>
        </w:tc>
        <w:tc>
          <w:tcPr>
            <w:tcW w:w="1096" w:type="dxa"/>
            <w:tcBorders>
              <w:top w:val="single" w:color="auto" w:sz="4" w:space="0"/>
              <w:left w:val="nil"/>
              <w:bottom w:val="single" w:color="auto" w:sz="4" w:space="0"/>
              <w:right w:val="single" w:color="auto" w:sz="4" w:space="0"/>
            </w:tcBorders>
            <w:vAlign w:val="center"/>
          </w:tcPr>
          <w:p>
            <w:pPr>
              <w:widowControl/>
              <w:jc w:val="both"/>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12991.35</w:t>
            </w:r>
          </w:p>
        </w:tc>
        <w:tc>
          <w:tcPr>
            <w:tcW w:w="104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00" w:type="dxa"/>
            <w:vMerge w:val="continue"/>
            <w:tcBorders>
              <w:top w:val="single" w:color="auto" w:sz="4" w:space="0"/>
              <w:left w:val="nil"/>
              <w:bottom w:val="single" w:color="auto" w:sz="4" w:space="0"/>
              <w:right w:val="nil"/>
            </w:tcBorders>
            <w:vAlign w:val="center"/>
          </w:tcPr>
          <w:p>
            <w:pPr>
              <w:widowControl/>
              <w:jc w:val="left"/>
              <w:rPr>
                <w:rFonts w:ascii="宋体" w:hAnsi="宋体" w:cs="宋体"/>
                <w:color w:val="000000"/>
                <w:kern w:val="0"/>
                <w:sz w:val="20"/>
                <w:szCs w:val="20"/>
              </w:rPr>
            </w:pPr>
          </w:p>
        </w:tc>
        <w:tc>
          <w:tcPr>
            <w:tcW w:w="38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52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136" w:hRule="atLeast"/>
        </w:trPr>
        <w:tc>
          <w:tcPr>
            <w:tcW w:w="104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其他</w:t>
            </w:r>
          </w:p>
        </w:tc>
        <w:tc>
          <w:tcPr>
            <w:tcW w:w="989"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096"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04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00" w:type="dxa"/>
            <w:vMerge w:val="continue"/>
            <w:tcBorders>
              <w:top w:val="single" w:color="auto" w:sz="4" w:space="0"/>
              <w:left w:val="nil"/>
              <w:bottom w:val="single" w:color="auto" w:sz="4" w:space="0"/>
              <w:right w:val="nil"/>
            </w:tcBorders>
            <w:vAlign w:val="center"/>
          </w:tcPr>
          <w:p>
            <w:pPr>
              <w:widowControl/>
              <w:jc w:val="left"/>
              <w:rPr>
                <w:rFonts w:ascii="宋体" w:hAnsi="宋体" w:cs="宋体"/>
                <w:color w:val="000000"/>
                <w:kern w:val="0"/>
                <w:sz w:val="20"/>
                <w:szCs w:val="20"/>
              </w:rPr>
            </w:pPr>
          </w:p>
        </w:tc>
        <w:tc>
          <w:tcPr>
            <w:tcW w:w="38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52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569" w:hRule="atLeast"/>
        </w:trPr>
        <w:tc>
          <w:tcPr>
            <w:tcW w:w="14786" w:type="dxa"/>
            <w:gridSpan w:val="9"/>
            <w:tcBorders>
              <w:top w:val="nil"/>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二</w:t>
            </w:r>
            <w:r>
              <w:rPr>
                <w:rFonts w:ascii="宋体" w:hAnsi="宋体" w:cs="宋体"/>
                <w:color w:val="000000"/>
                <w:kern w:val="0"/>
                <w:sz w:val="18"/>
                <w:szCs w:val="18"/>
              </w:rPr>
              <w:t>、</w:t>
            </w:r>
            <w:r>
              <w:rPr>
                <w:rFonts w:hint="eastAsia" w:ascii="宋体" w:hAnsi="宋体" w:cs="宋体"/>
                <w:color w:val="000000"/>
                <w:kern w:val="0"/>
                <w:sz w:val="20"/>
                <w:szCs w:val="20"/>
              </w:rPr>
              <w:t>整体绩效目标实现情况（60分）</w:t>
            </w:r>
          </w:p>
        </w:tc>
      </w:tr>
      <w:tr>
        <w:tblPrEx>
          <w:tblCellMar>
            <w:top w:w="0" w:type="dxa"/>
            <w:left w:w="108" w:type="dxa"/>
            <w:bottom w:w="0" w:type="dxa"/>
            <w:right w:w="108" w:type="dxa"/>
          </w:tblCellMar>
        </w:tblPrEx>
        <w:trPr>
          <w:trHeight w:val="499" w:hRule="atLeast"/>
        </w:trPr>
        <w:tc>
          <w:tcPr>
            <w:tcW w:w="104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一</w:t>
            </w:r>
            <w:r>
              <w:rPr>
                <w:rFonts w:ascii="宋体" w:hAnsi="宋体" w:cs="宋体"/>
                <w:color w:val="000000"/>
                <w:kern w:val="0"/>
                <w:sz w:val="20"/>
                <w:szCs w:val="20"/>
              </w:rPr>
              <w:t>级指标</w:t>
            </w:r>
          </w:p>
        </w:tc>
        <w:tc>
          <w:tcPr>
            <w:tcW w:w="1079"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二</w:t>
            </w:r>
            <w:r>
              <w:rPr>
                <w:rFonts w:ascii="宋体" w:hAnsi="宋体" w:cs="宋体"/>
                <w:color w:val="000000"/>
                <w:kern w:val="0"/>
                <w:sz w:val="20"/>
                <w:szCs w:val="20"/>
              </w:rPr>
              <w:t>级指标</w:t>
            </w:r>
            <w:r>
              <w:rPr>
                <w:rFonts w:hint="eastAsia" w:ascii="宋体" w:hAnsi="宋体" w:cs="宋体"/>
                <w:color w:val="000000"/>
                <w:kern w:val="0"/>
                <w:sz w:val="20"/>
                <w:szCs w:val="20"/>
              </w:rPr>
              <w:t>　</w:t>
            </w:r>
          </w:p>
        </w:tc>
        <w:tc>
          <w:tcPr>
            <w:tcW w:w="989"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三</w:t>
            </w:r>
            <w:r>
              <w:rPr>
                <w:rFonts w:ascii="宋体" w:hAnsi="宋体" w:cs="宋体"/>
                <w:color w:val="000000"/>
                <w:kern w:val="0"/>
                <w:sz w:val="20"/>
                <w:szCs w:val="20"/>
              </w:rPr>
              <w:t>级指标</w:t>
            </w:r>
            <w:r>
              <w:rPr>
                <w:rFonts w:hint="eastAsia" w:ascii="宋体" w:hAnsi="宋体" w:cs="宋体"/>
                <w:color w:val="000000"/>
                <w:kern w:val="0"/>
                <w:sz w:val="20"/>
                <w:szCs w:val="20"/>
              </w:rPr>
              <w:t>　</w:t>
            </w:r>
          </w:p>
        </w:tc>
        <w:tc>
          <w:tcPr>
            <w:tcW w:w="1096"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指标值</w:t>
            </w:r>
          </w:p>
        </w:tc>
        <w:tc>
          <w:tcPr>
            <w:tcW w:w="1049"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完成值</w:t>
            </w:r>
          </w:p>
        </w:tc>
        <w:tc>
          <w:tcPr>
            <w:tcW w:w="540"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分值</w:t>
            </w:r>
          </w:p>
        </w:tc>
        <w:tc>
          <w:tcPr>
            <w:tcW w:w="600" w:type="dxa"/>
            <w:tcBorders>
              <w:top w:val="single" w:color="auto" w:sz="4" w:space="0"/>
              <w:left w:val="nil"/>
              <w:bottom w:val="single" w:color="auto" w:sz="4" w:space="0"/>
              <w:right w:val="nil"/>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得分</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bCs/>
                <w:color w:val="000000"/>
                <w:kern w:val="0"/>
                <w:sz w:val="18"/>
                <w:szCs w:val="18"/>
              </w:rPr>
            </w:pPr>
            <w:r>
              <w:rPr>
                <w:rFonts w:hint="eastAsia" w:ascii="宋体" w:hAnsi="宋体" w:cs="宋体"/>
                <w:bCs/>
                <w:color w:val="000000"/>
                <w:kern w:val="0"/>
                <w:sz w:val="18"/>
                <w:szCs w:val="18"/>
              </w:rPr>
              <w:t>指标</w:t>
            </w:r>
            <w:r>
              <w:rPr>
                <w:rFonts w:ascii="宋体" w:hAnsi="宋体" w:cs="宋体"/>
                <w:bCs/>
                <w:color w:val="000000"/>
                <w:kern w:val="0"/>
                <w:sz w:val="18"/>
                <w:szCs w:val="18"/>
              </w:rPr>
              <w:t>解释</w:t>
            </w:r>
          </w:p>
        </w:tc>
        <w:tc>
          <w:tcPr>
            <w:tcW w:w="452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评</w:t>
            </w:r>
            <w:r>
              <w:rPr>
                <w:rFonts w:ascii="宋体" w:hAnsi="宋体" w:cs="宋体"/>
                <w:color w:val="000000"/>
                <w:kern w:val="0"/>
                <w:sz w:val="18"/>
                <w:szCs w:val="18"/>
              </w:rPr>
              <w:t>分标准</w:t>
            </w:r>
          </w:p>
        </w:tc>
      </w:tr>
      <w:tr>
        <w:tblPrEx>
          <w:tblCellMar>
            <w:top w:w="0" w:type="dxa"/>
            <w:left w:w="108" w:type="dxa"/>
            <w:bottom w:w="0" w:type="dxa"/>
            <w:right w:w="108" w:type="dxa"/>
          </w:tblCellMar>
        </w:tblPrEx>
        <w:trPr>
          <w:trHeight w:val="1196" w:hRule="atLeast"/>
        </w:trPr>
        <w:tc>
          <w:tcPr>
            <w:tcW w:w="104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整体绩效目标实现情况（60）</w:t>
            </w:r>
          </w:p>
        </w:tc>
        <w:tc>
          <w:tcPr>
            <w:tcW w:w="1079" w:type="dxa"/>
            <w:vMerge w:val="restart"/>
            <w:tcBorders>
              <w:top w:val="single" w:color="auto" w:sz="4" w:space="0"/>
              <w:left w:val="nil"/>
              <w:right w:val="single" w:color="auto" w:sz="4" w:space="0"/>
            </w:tcBorders>
            <w:vAlign w:val="center"/>
          </w:tcPr>
          <w:p>
            <w:pPr>
              <w:widowControl/>
              <w:jc w:val="center"/>
              <w:rPr>
                <w:rFonts w:ascii="宋体" w:hAnsi="宋体" w:cs="宋体"/>
                <w:color w:val="000000"/>
                <w:kern w:val="0"/>
                <w:sz w:val="20"/>
                <w:szCs w:val="20"/>
              </w:rPr>
            </w:pPr>
          </w:p>
          <w:p>
            <w:pPr>
              <w:jc w:val="center"/>
              <w:rPr>
                <w:rFonts w:hint="eastAsia" w:ascii="宋体" w:hAnsi="宋体" w:cs="宋体"/>
                <w:color w:val="000000"/>
                <w:kern w:val="0"/>
                <w:sz w:val="20"/>
                <w:szCs w:val="20"/>
              </w:rPr>
            </w:pPr>
            <w:r>
              <w:rPr>
                <w:rFonts w:hint="eastAsia" w:ascii="宋体" w:hAnsi="宋体" w:cs="宋体"/>
                <w:color w:val="000000"/>
                <w:kern w:val="0"/>
                <w:sz w:val="20"/>
                <w:szCs w:val="20"/>
              </w:rPr>
              <w:t>产出（30）</w:t>
            </w:r>
          </w:p>
        </w:tc>
        <w:tc>
          <w:tcPr>
            <w:tcW w:w="98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p>
            <w:pPr>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产出数量</w:t>
            </w:r>
          </w:p>
        </w:tc>
        <w:tc>
          <w:tcPr>
            <w:tcW w:w="109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p>
            <w:pPr>
              <w:jc w:val="center"/>
              <w:rPr>
                <w:rFonts w:hint="eastAsia" w:ascii="宋体" w:hAnsi="宋体" w:cs="宋体"/>
                <w:color w:val="000000"/>
                <w:kern w:val="0"/>
                <w:sz w:val="20"/>
                <w:szCs w:val="20"/>
              </w:rPr>
            </w:pPr>
            <w:r>
              <w:rPr>
                <w:rFonts w:hint="eastAsia" w:ascii="宋体" w:hAnsi="宋体" w:cs="宋体"/>
                <w:color w:val="000000"/>
                <w:kern w:val="0"/>
                <w:sz w:val="20"/>
                <w:szCs w:val="20"/>
                <w:lang w:eastAsia="zh-CN"/>
              </w:rPr>
              <w:t>人员经费</w:t>
            </w:r>
            <w:r>
              <w:rPr>
                <w:rFonts w:hint="eastAsia" w:ascii="宋体" w:hAnsi="宋体" w:cs="宋体"/>
                <w:color w:val="000000"/>
                <w:kern w:val="0"/>
                <w:sz w:val="20"/>
                <w:szCs w:val="20"/>
              </w:rPr>
              <w:t>　</w:t>
            </w:r>
          </w:p>
        </w:tc>
        <w:tc>
          <w:tcPr>
            <w:tcW w:w="104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p>
            <w:pPr>
              <w:jc w:val="center"/>
              <w:rPr>
                <w:rFonts w:hint="eastAsia" w:ascii="宋体" w:hAnsi="宋体" w:cs="宋体"/>
                <w:color w:val="000000"/>
                <w:kern w:val="0"/>
                <w:sz w:val="20"/>
                <w:szCs w:val="20"/>
              </w:rPr>
            </w:pPr>
            <w:r>
              <w:rPr>
                <w:rFonts w:hint="eastAsia" w:ascii="宋体" w:hAnsi="宋体" w:cs="宋体"/>
                <w:color w:val="000000"/>
                <w:kern w:val="0"/>
                <w:sz w:val="20"/>
                <w:szCs w:val="20"/>
                <w:lang w:eastAsia="zh-CN"/>
              </w:rPr>
              <w:t>按月发放工资、缴纳保险公积金　</w:t>
            </w:r>
          </w:p>
        </w:tc>
        <w:tc>
          <w:tcPr>
            <w:tcW w:w="540" w:type="dxa"/>
            <w:vMerge w:val="restart"/>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p>
            <w:pPr>
              <w:jc w:val="center"/>
              <w:rPr>
                <w:rFonts w:hint="eastAsia" w:ascii="宋体" w:hAnsi="宋体" w:cs="宋体"/>
                <w:color w:val="000000"/>
                <w:kern w:val="0"/>
                <w:sz w:val="20"/>
                <w:szCs w:val="20"/>
              </w:rPr>
            </w:pPr>
            <w:r>
              <w:rPr>
                <w:rFonts w:hint="eastAsia" w:ascii="宋体" w:hAnsi="宋体" w:cs="宋体"/>
                <w:color w:val="000000"/>
                <w:kern w:val="0"/>
                <w:sz w:val="20"/>
                <w:szCs w:val="20"/>
              </w:rPr>
              <w:t>30</w:t>
            </w:r>
          </w:p>
        </w:tc>
        <w:tc>
          <w:tcPr>
            <w:tcW w:w="600" w:type="dxa"/>
            <w:tcBorders>
              <w:top w:val="single" w:color="auto" w:sz="4" w:space="0"/>
              <w:left w:val="nil"/>
              <w:bottom w:val="single" w:color="auto" w:sz="4" w:space="0"/>
              <w:right w:val="nil"/>
            </w:tcBorders>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6</w:t>
            </w:r>
          </w:p>
          <w:p>
            <w:pPr>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3870"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18"/>
                <w:szCs w:val="18"/>
              </w:rPr>
            </w:pPr>
            <w:r>
              <w:rPr>
                <w:rFonts w:hint="eastAsia" w:ascii="宋体" w:hAnsi="宋体" w:cs="宋体"/>
                <w:b/>
                <w:bCs/>
                <w:color w:val="000000"/>
                <w:kern w:val="0"/>
                <w:sz w:val="18"/>
                <w:szCs w:val="18"/>
              </w:rPr>
              <w:t>产出数量</w:t>
            </w:r>
            <w:r>
              <w:rPr>
                <w:rFonts w:hint="eastAsia" w:ascii="宋体" w:hAnsi="宋体" w:cs="宋体"/>
                <w:color w:val="000000"/>
                <w:kern w:val="0"/>
                <w:sz w:val="18"/>
                <w:szCs w:val="18"/>
              </w:rPr>
              <w:t>：计划完成率=（实际完成工作数/计划工作数）×100%。实际完成工作数：一定时期（年度或规划期）内部门（单位）实际完成工作任务的数量。计划工作数：部门（单位）整体绩效目标确定的一定时期（年度或规划期）内预计完成工作任务的数量。</w:t>
            </w:r>
            <w:r>
              <w:rPr>
                <w:rFonts w:hint="eastAsia" w:ascii="宋体" w:hAnsi="宋体" w:cs="宋体"/>
                <w:b/>
                <w:bCs/>
                <w:color w:val="000000"/>
                <w:kern w:val="0"/>
                <w:sz w:val="18"/>
                <w:szCs w:val="18"/>
              </w:rPr>
              <w:t>产出质量</w:t>
            </w:r>
            <w:r>
              <w:rPr>
                <w:rFonts w:hint="eastAsia" w:ascii="宋体" w:hAnsi="宋体" w:cs="宋体"/>
                <w:color w:val="000000"/>
                <w:kern w:val="0"/>
                <w:sz w:val="18"/>
                <w:szCs w:val="18"/>
              </w:rPr>
              <w:t>：质量达标率=质量达标工作数/实际完成工作数×100%。质量达标工作数：一定时期（年度或规划期）内部门（单位）实际完成工作数中达到部门绩效目标要求（绩效标准值）的工作任务数量。</w:t>
            </w:r>
            <w:r>
              <w:rPr>
                <w:rFonts w:hint="eastAsia" w:ascii="宋体" w:hAnsi="宋体" w:cs="宋体"/>
                <w:b/>
                <w:bCs/>
                <w:color w:val="000000"/>
                <w:kern w:val="0"/>
                <w:sz w:val="18"/>
                <w:szCs w:val="18"/>
              </w:rPr>
              <w:t>产出进度：</w:t>
            </w:r>
            <w:r>
              <w:rPr>
                <w:rFonts w:hint="eastAsia" w:ascii="宋体" w:hAnsi="宋体" w:cs="宋体"/>
                <w:color w:val="000000"/>
                <w:kern w:val="0"/>
                <w:sz w:val="18"/>
                <w:szCs w:val="18"/>
              </w:rPr>
              <w:t>按时完成率=（按时完成工作数/实际完成工作数）×100%。按时完成工作数：部门（单位）按照整体绩效目标确定的时限实际完成的工作任务数量。</w:t>
            </w:r>
            <w:r>
              <w:rPr>
                <w:rFonts w:hint="eastAsia" w:ascii="宋体" w:hAnsi="宋体" w:cs="宋体"/>
                <w:b/>
                <w:bCs/>
                <w:color w:val="000000"/>
                <w:kern w:val="0"/>
                <w:sz w:val="18"/>
                <w:szCs w:val="18"/>
              </w:rPr>
              <w:t>产出成本</w:t>
            </w:r>
            <w:r>
              <w:rPr>
                <w:rFonts w:hint="eastAsia" w:ascii="宋体" w:hAnsi="宋体" w:cs="宋体"/>
                <w:color w:val="000000"/>
                <w:kern w:val="0"/>
                <w:sz w:val="18"/>
                <w:szCs w:val="18"/>
              </w:rPr>
              <w:t>：单位产出相对于上一年度的节约额；②单位产出相对于市场同类产出的节约额；③部门公用经费的控制情况。</w:t>
            </w:r>
          </w:p>
        </w:tc>
        <w:tc>
          <w:tcPr>
            <w:tcW w:w="4522"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部门根据本单位情况自行确定并选择产出指标，合理确定各项指标权重。可量化的指标按照比率*单项指标分值即为该指标得分。如果不能定量评价，则以定性的方式进行自评。</w:t>
            </w:r>
          </w:p>
        </w:tc>
      </w:tr>
      <w:tr>
        <w:tblPrEx>
          <w:tblCellMar>
            <w:top w:w="0" w:type="dxa"/>
            <w:left w:w="108" w:type="dxa"/>
            <w:bottom w:w="0" w:type="dxa"/>
            <w:right w:w="108" w:type="dxa"/>
          </w:tblCellMar>
        </w:tblPrEx>
        <w:trPr>
          <w:trHeight w:val="1130" w:hRule="atLeast"/>
        </w:trPr>
        <w:tc>
          <w:tcPr>
            <w:tcW w:w="104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989"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产出质量</w:t>
            </w:r>
          </w:p>
        </w:tc>
        <w:tc>
          <w:tcPr>
            <w:tcW w:w="1096"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eastAsia="zh-CN"/>
              </w:rPr>
              <w:t>公用经费</w:t>
            </w:r>
            <w:r>
              <w:rPr>
                <w:rFonts w:hint="eastAsia" w:ascii="宋体" w:hAnsi="宋体" w:cs="宋体"/>
                <w:color w:val="000000"/>
                <w:kern w:val="0"/>
                <w:sz w:val="20"/>
                <w:szCs w:val="20"/>
              </w:rPr>
              <w:t>　</w:t>
            </w:r>
          </w:p>
        </w:tc>
        <w:tc>
          <w:tcPr>
            <w:tcW w:w="1049"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eastAsia="zh-CN"/>
              </w:rPr>
              <w:t>按时缴纳各类费用保障街道正常运转　</w:t>
            </w:r>
          </w:p>
        </w:tc>
        <w:tc>
          <w:tcPr>
            <w:tcW w:w="540" w:type="dxa"/>
            <w:vMerge w:val="continue"/>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00" w:type="dxa"/>
            <w:tcBorders>
              <w:top w:val="single" w:color="auto" w:sz="4" w:space="0"/>
              <w:left w:val="nil"/>
              <w:bottom w:val="single" w:color="auto" w:sz="4" w:space="0"/>
              <w:right w:val="nil"/>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5</w:t>
            </w:r>
            <w:r>
              <w:rPr>
                <w:rFonts w:hint="eastAsia" w:ascii="宋体" w:hAnsi="宋体" w:cs="宋体"/>
                <w:color w:val="000000"/>
                <w:kern w:val="0"/>
                <w:sz w:val="20"/>
                <w:szCs w:val="20"/>
              </w:rPr>
              <w:t>　</w:t>
            </w:r>
          </w:p>
        </w:tc>
        <w:tc>
          <w:tcPr>
            <w:tcW w:w="387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52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1258" w:hRule="atLeast"/>
        </w:trPr>
        <w:tc>
          <w:tcPr>
            <w:tcW w:w="104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989"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产出进度</w:t>
            </w:r>
          </w:p>
        </w:tc>
        <w:tc>
          <w:tcPr>
            <w:tcW w:w="1096"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eastAsia="zh-CN"/>
              </w:rPr>
              <w:t>项目经费</w:t>
            </w:r>
            <w:r>
              <w:rPr>
                <w:rFonts w:hint="eastAsia" w:ascii="宋体" w:hAnsi="宋体" w:cs="宋体"/>
                <w:color w:val="000000"/>
                <w:kern w:val="0"/>
                <w:sz w:val="20"/>
                <w:szCs w:val="20"/>
              </w:rPr>
              <w:t>　</w:t>
            </w:r>
          </w:p>
        </w:tc>
        <w:tc>
          <w:tcPr>
            <w:tcW w:w="1049"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eastAsia="zh-CN"/>
              </w:rPr>
              <w:t>按项目进度拨付</w:t>
            </w:r>
            <w:r>
              <w:rPr>
                <w:rFonts w:hint="eastAsia" w:ascii="宋体" w:hAnsi="宋体" w:cs="宋体"/>
                <w:color w:val="000000"/>
                <w:kern w:val="0"/>
                <w:sz w:val="20"/>
                <w:szCs w:val="20"/>
              </w:rPr>
              <w:t>　</w:t>
            </w:r>
          </w:p>
        </w:tc>
        <w:tc>
          <w:tcPr>
            <w:tcW w:w="540"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00" w:type="dxa"/>
            <w:tcBorders>
              <w:top w:val="nil"/>
              <w:left w:val="nil"/>
              <w:bottom w:val="single" w:color="auto" w:sz="4" w:space="0"/>
              <w:right w:val="nil"/>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14</w:t>
            </w:r>
            <w:r>
              <w:rPr>
                <w:rFonts w:hint="eastAsia" w:ascii="宋体" w:hAnsi="宋体" w:cs="宋体"/>
                <w:color w:val="000000"/>
                <w:kern w:val="0"/>
                <w:sz w:val="20"/>
                <w:szCs w:val="20"/>
              </w:rPr>
              <w:t>　</w:t>
            </w:r>
          </w:p>
        </w:tc>
        <w:tc>
          <w:tcPr>
            <w:tcW w:w="387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52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975" w:hRule="atLeast"/>
        </w:trPr>
        <w:tc>
          <w:tcPr>
            <w:tcW w:w="104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989" w:type="dxa"/>
            <w:tcBorders>
              <w:top w:val="nil"/>
              <w:left w:val="nil"/>
              <w:bottom w:val="single" w:color="auto" w:sz="4" w:space="0"/>
              <w:right w:val="single" w:color="auto" w:sz="4" w:space="0"/>
            </w:tcBorders>
            <w:vAlign w:val="center"/>
          </w:tcPr>
          <w:p>
            <w:pPr>
              <w:widowControl/>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产出成本</w:t>
            </w:r>
          </w:p>
        </w:tc>
        <w:tc>
          <w:tcPr>
            <w:tcW w:w="1096"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eastAsia="zh-CN"/>
              </w:rPr>
              <w:t>项目成本</w:t>
            </w:r>
            <w:r>
              <w:rPr>
                <w:rFonts w:hint="eastAsia" w:ascii="宋体" w:hAnsi="宋体" w:cs="宋体"/>
                <w:color w:val="000000"/>
                <w:kern w:val="0"/>
                <w:sz w:val="20"/>
                <w:szCs w:val="20"/>
              </w:rPr>
              <w:t>　</w:t>
            </w:r>
          </w:p>
        </w:tc>
        <w:tc>
          <w:tcPr>
            <w:tcW w:w="1049"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eastAsia="zh-CN"/>
              </w:rPr>
              <w:t>部门公益经费较上年节约</w:t>
            </w:r>
            <w:r>
              <w:rPr>
                <w:rFonts w:hint="eastAsia" w:ascii="宋体" w:hAnsi="宋体" w:cs="宋体"/>
                <w:color w:val="000000"/>
                <w:kern w:val="0"/>
                <w:sz w:val="20"/>
                <w:szCs w:val="20"/>
              </w:rPr>
              <w:t>　</w:t>
            </w:r>
          </w:p>
        </w:tc>
        <w:tc>
          <w:tcPr>
            <w:tcW w:w="540"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00" w:type="dxa"/>
            <w:tcBorders>
              <w:top w:val="nil"/>
              <w:left w:val="nil"/>
              <w:bottom w:val="single" w:color="auto" w:sz="4" w:space="0"/>
              <w:right w:val="nil"/>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5</w:t>
            </w:r>
            <w:r>
              <w:rPr>
                <w:rFonts w:hint="eastAsia" w:ascii="宋体" w:hAnsi="宋体" w:cs="宋体"/>
                <w:color w:val="000000"/>
                <w:kern w:val="0"/>
                <w:sz w:val="20"/>
                <w:szCs w:val="20"/>
              </w:rPr>
              <w:t>　</w:t>
            </w:r>
          </w:p>
        </w:tc>
        <w:tc>
          <w:tcPr>
            <w:tcW w:w="387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52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675" w:hRule="atLeast"/>
        </w:trPr>
        <w:tc>
          <w:tcPr>
            <w:tcW w:w="104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效果（30）</w:t>
            </w:r>
          </w:p>
        </w:tc>
        <w:tc>
          <w:tcPr>
            <w:tcW w:w="989"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经济效益</w:t>
            </w:r>
          </w:p>
        </w:tc>
        <w:tc>
          <w:tcPr>
            <w:tcW w:w="1096"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促进辖区经济发展</w:t>
            </w:r>
          </w:p>
        </w:tc>
        <w:tc>
          <w:tcPr>
            <w:tcW w:w="1049"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有所提升</w:t>
            </w:r>
          </w:p>
        </w:tc>
        <w:tc>
          <w:tcPr>
            <w:tcW w:w="540" w:type="dxa"/>
            <w:vMerge w:val="restart"/>
            <w:tcBorders>
              <w:top w:val="nil"/>
              <w:left w:val="single" w:color="auto" w:sz="4" w:space="0"/>
              <w:bottom w:val="single" w:color="auto" w:sz="4" w:space="0"/>
              <w:right w:val="single" w:color="auto" w:sz="4" w:space="0"/>
            </w:tcBorders>
            <w:vAlign w:val="center"/>
          </w:tcPr>
          <w:p>
            <w:pPr>
              <w:jc w:val="center"/>
              <w:rPr>
                <w:rFonts w:hint="eastAsia" w:ascii="宋体" w:hAnsi="宋体" w:cs="宋体"/>
                <w:color w:val="000000"/>
                <w:kern w:val="0"/>
                <w:sz w:val="20"/>
                <w:szCs w:val="20"/>
              </w:rPr>
            </w:pPr>
            <w:r>
              <w:rPr>
                <w:rFonts w:hint="eastAsia" w:ascii="仿宋_GB2312" w:hAnsi="宋体" w:eastAsia="仿宋_GB2312" w:cs="仿宋_GB2312"/>
                <w:color w:val="000000"/>
                <w:szCs w:val="21"/>
              </w:rPr>
              <w:t>3</w:t>
            </w:r>
            <w:r>
              <w:rPr>
                <w:rFonts w:ascii="仿宋_GB2312" w:hAnsi="宋体" w:eastAsia="仿宋_GB2312" w:cs="仿宋_GB2312"/>
                <w:color w:val="000000"/>
                <w:szCs w:val="21"/>
              </w:rPr>
              <w:t>0</w:t>
            </w:r>
          </w:p>
        </w:tc>
        <w:tc>
          <w:tcPr>
            <w:tcW w:w="600" w:type="dxa"/>
            <w:tcBorders>
              <w:top w:val="nil"/>
              <w:left w:val="nil"/>
              <w:bottom w:val="single" w:color="auto" w:sz="4" w:space="0"/>
              <w:right w:val="nil"/>
            </w:tcBorders>
            <w:vAlign w:val="center"/>
          </w:tcPr>
          <w:p>
            <w:pPr>
              <w:jc w:val="center"/>
              <w:rPr>
                <w:rFonts w:hint="eastAsia" w:ascii="宋体" w:hAnsi="宋体" w:cs="宋体"/>
                <w:color w:val="000000"/>
                <w:kern w:val="0"/>
                <w:sz w:val="20"/>
                <w:szCs w:val="20"/>
              </w:rPr>
            </w:pPr>
            <w:r>
              <w:rPr>
                <w:rFonts w:hint="eastAsia" w:ascii="仿宋_GB2312" w:hAnsi="宋体" w:eastAsia="仿宋_GB2312" w:cs="仿宋_GB2312"/>
                <w:color w:val="000000"/>
                <w:szCs w:val="21"/>
              </w:rPr>
              <w:t>5</w:t>
            </w:r>
          </w:p>
        </w:tc>
        <w:tc>
          <w:tcPr>
            <w:tcW w:w="3870" w:type="dxa"/>
            <w:vMerge w:val="restart"/>
            <w:tcBorders>
              <w:top w:val="nil"/>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18"/>
                <w:szCs w:val="18"/>
              </w:rPr>
            </w:pPr>
            <w:r>
              <w:rPr>
                <w:rFonts w:hint="eastAsia" w:ascii="宋体" w:hAnsi="宋体" w:cs="宋体"/>
                <w:b/>
                <w:bCs/>
                <w:color w:val="000000"/>
                <w:kern w:val="0"/>
                <w:sz w:val="18"/>
                <w:szCs w:val="18"/>
              </w:rPr>
              <w:t>经济效益</w:t>
            </w:r>
            <w:r>
              <w:rPr>
                <w:rFonts w:hint="eastAsia" w:ascii="宋体" w:hAnsi="宋体" w:cs="宋体"/>
                <w:color w:val="000000"/>
                <w:kern w:val="0"/>
                <w:sz w:val="18"/>
                <w:szCs w:val="18"/>
              </w:rPr>
              <w:t>：部门（单位）履行职责对经济发展所带来的直接或间接影响。</w:t>
            </w:r>
            <w:r>
              <w:rPr>
                <w:rFonts w:hint="eastAsia" w:ascii="宋体" w:hAnsi="宋体" w:cs="宋体"/>
                <w:b/>
                <w:bCs/>
                <w:color w:val="000000"/>
                <w:kern w:val="0"/>
                <w:sz w:val="18"/>
                <w:szCs w:val="18"/>
              </w:rPr>
              <w:t>社会效益</w:t>
            </w:r>
            <w:r>
              <w:rPr>
                <w:rFonts w:hint="eastAsia" w:ascii="宋体" w:hAnsi="宋体" w:cs="宋体"/>
                <w:color w:val="000000"/>
                <w:kern w:val="0"/>
                <w:sz w:val="18"/>
                <w:szCs w:val="18"/>
              </w:rPr>
              <w:t>：部门（单位）履行职责对社会发展所带来的直接或间接影响。</w:t>
            </w:r>
            <w:r>
              <w:rPr>
                <w:rFonts w:hint="eastAsia" w:ascii="宋体" w:hAnsi="宋体" w:cs="宋体"/>
                <w:b/>
                <w:bCs/>
                <w:color w:val="000000"/>
                <w:kern w:val="0"/>
                <w:sz w:val="18"/>
                <w:szCs w:val="18"/>
              </w:rPr>
              <w:t>环境效益</w:t>
            </w:r>
            <w:r>
              <w:rPr>
                <w:rFonts w:hint="eastAsia" w:ascii="宋体" w:hAnsi="宋体" w:cs="宋体"/>
                <w:color w:val="000000"/>
                <w:kern w:val="0"/>
                <w:sz w:val="18"/>
                <w:szCs w:val="18"/>
              </w:rPr>
              <w:t>：部门（单位）履行职责对环境所带来的直接或间接影响。</w:t>
            </w:r>
            <w:r>
              <w:rPr>
                <w:rFonts w:hint="eastAsia" w:ascii="宋体" w:hAnsi="宋体" w:cs="宋体"/>
                <w:b/>
                <w:bCs/>
                <w:color w:val="000000"/>
                <w:kern w:val="0"/>
                <w:sz w:val="18"/>
                <w:szCs w:val="18"/>
              </w:rPr>
              <w:t>可持续性影响：</w:t>
            </w:r>
            <w:r>
              <w:rPr>
                <w:rFonts w:hint="eastAsia" w:ascii="宋体" w:hAnsi="宋体" w:cs="宋体"/>
                <w:color w:val="000000"/>
                <w:kern w:val="0"/>
                <w:sz w:val="18"/>
                <w:szCs w:val="18"/>
              </w:rPr>
              <w:t>部门绩效目标实现的长效机制建设情况，部门工作效率提升措施的创新。</w:t>
            </w:r>
            <w:r>
              <w:rPr>
                <w:rFonts w:hint="eastAsia" w:ascii="宋体" w:hAnsi="宋体" w:cs="宋体"/>
                <w:b/>
                <w:bCs/>
                <w:color w:val="000000"/>
                <w:kern w:val="0"/>
                <w:sz w:val="18"/>
                <w:szCs w:val="18"/>
              </w:rPr>
              <w:t>服务对象满意度</w:t>
            </w:r>
            <w:r>
              <w:rPr>
                <w:rFonts w:hint="eastAsia" w:ascii="宋体" w:hAnsi="宋体" w:cs="宋体"/>
                <w:color w:val="000000"/>
                <w:kern w:val="0"/>
                <w:sz w:val="18"/>
                <w:szCs w:val="18"/>
              </w:rPr>
              <w:t>：部门（单位）的服务对象对部门履职效果的满意程度。</w:t>
            </w:r>
          </w:p>
        </w:tc>
        <w:tc>
          <w:tcPr>
            <w:tcW w:w="4522" w:type="dxa"/>
            <w:vMerge w:val="restart"/>
            <w:tcBorders>
              <w:top w:val="nil"/>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部门根据实际情况选择指标进行填写，并将其细化为相应的个性化指标。对于效益类指标可从受益对象瞄准度、受益广度和受益深度上进行设计分析。</w:t>
            </w:r>
          </w:p>
        </w:tc>
      </w:tr>
      <w:tr>
        <w:tblPrEx>
          <w:tblCellMar>
            <w:top w:w="0" w:type="dxa"/>
            <w:left w:w="108" w:type="dxa"/>
            <w:bottom w:w="0" w:type="dxa"/>
            <w:right w:w="108" w:type="dxa"/>
          </w:tblCellMar>
        </w:tblPrEx>
        <w:trPr>
          <w:trHeight w:val="630" w:hRule="atLeast"/>
        </w:trPr>
        <w:tc>
          <w:tcPr>
            <w:tcW w:w="104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989"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社会效益</w:t>
            </w:r>
          </w:p>
        </w:tc>
        <w:tc>
          <w:tcPr>
            <w:tcW w:w="1096"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提升居民幸福感、获得感</w:t>
            </w:r>
          </w:p>
        </w:tc>
        <w:tc>
          <w:tcPr>
            <w:tcW w:w="1049"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有所提升</w:t>
            </w:r>
          </w:p>
        </w:tc>
        <w:tc>
          <w:tcPr>
            <w:tcW w:w="540" w:type="dxa"/>
            <w:vMerge w:val="continue"/>
            <w:tcBorders>
              <w:top w:val="nil"/>
              <w:left w:val="single" w:color="auto" w:sz="4" w:space="0"/>
              <w:bottom w:val="single" w:color="auto" w:sz="4" w:space="0"/>
              <w:right w:val="single" w:color="auto" w:sz="4" w:space="0"/>
            </w:tcBorders>
            <w:vAlign w:val="center"/>
          </w:tcPr>
          <w:p>
            <w:pPr>
              <w:jc w:val="center"/>
              <w:rPr>
                <w:rFonts w:ascii="宋体" w:hAnsi="宋体" w:cs="宋体"/>
                <w:color w:val="000000"/>
                <w:kern w:val="0"/>
                <w:sz w:val="20"/>
                <w:szCs w:val="20"/>
              </w:rPr>
            </w:pPr>
          </w:p>
        </w:tc>
        <w:tc>
          <w:tcPr>
            <w:tcW w:w="600" w:type="dxa"/>
            <w:tcBorders>
              <w:top w:val="nil"/>
              <w:left w:val="nil"/>
              <w:bottom w:val="single" w:color="auto" w:sz="4" w:space="0"/>
              <w:right w:val="nil"/>
            </w:tcBorders>
            <w:vAlign w:val="center"/>
          </w:tcPr>
          <w:p>
            <w:pPr>
              <w:jc w:val="center"/>
              <w:rPr>
                <w:rFonts w:hint="eastAsia" w:ascii="宋体" w:hAnsi="宋体" w:cs="宋体"/>
                <w:color w:val="000000"/>
                <w:kern w:val="0"/>
                <w:sz w:val="20"/>
                <w:szCs w:val="20"/>
              </w:rPr>
            </w:pPr>
            <w:r>
              <w:rPr>
                <w:rFonts w:hint="eastAsia" w:ascii="仿宋_GB2312" w:hAnsi="宋体" w:eastAsia="仿宋_GB2312" w:cs="仿宋_GB2312"/>
                <w:color w:val="000000"/>
                <w:szCs w:val="21"/>
              </w:rPr>
              <w:t>7</w:t>
            </w:r>
          </w:p>
        </w:tc>
        <w:tc>
          <w:tcPr>
            <w:tcW w:w="387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52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690" w:hRule="atLeast"/>
        </w:trPr>
        <w:tc>
          <w:tcPr>
            <w:tcW w:w="104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989"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可持续影响</w:t>
            </w:r>
          </w:p>
        </w:tc>
        <w:tc>
          <w:tcPr>
            <w:tcW w:w="1096"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促进社区和谐发展，邻里关系和睦</w:t>
            </w:r>
          </w:p>
        </w:tc>
        <w:tc>
          <w:tcPr>
            <w:tcW w:w="1049"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居民幸福指数提升，可持续发展</w:t>
            </w:r>
          </w:p>
        </w:tc>
        <w:tc>
          <w:tcPr>
            <w:tcW w:w="540" w:type="dxa"/>
            <w:vMerge w:val="continue"/>
            <w:tcBorders>
              <w:top w:val="nil"/>
              <w:left w:val="single" w:color="auto" w:sz="4" w:space="0"/>
              <w:bottom w:val="single" w:color="auto" w:sz="4" w:space="0"/>
              <w:right w:val="single" w:color="auto" w:sz="4" w:space="0"/>
            </w:tcBorders>
            <w:vAlign w:val="center"/>
          </w:tcPr>
          <w:p>
            <w:pPr>
              <w:jc w:val="center"/>
              <w:rPr>
                <w:rFonts w:ascii="宋体" w:hAnsi="宋体" w:cs="宋体"/>
                <w:color w:val="000000"/>
                <w:kern w:val="0"/>
                <w:sz w:val="20"/>
                <w:szCs w:val="20"/>
              </w:rPr>
            </w:pPr>
          </w:p>
        </w:tc>
        <w:tc>
          <w:tcPr>
            <w:tcW w:w="600" w:type="dxa"/>
            <w:tcBorders>
              <w:top w:val="nil"/>
              <w:left w:val="nil"/>
              <w:bottom w:val="single" w:color="auto" w:sz="4" w:space="0"/>
              <w:right w:val="nil"/>
            </w:tcBorders>
            <w:vAlign w:val="center"/>
          </w:tcPr>
          <w:p>
            <w:pPr>
              <w:jc w:val="center"/>
              <w:rPr>
                <w:rFonts w:hint="eastAsia" w:ascii="宋体" w:hAnsi="宋体" w:cs="宋体"/>
                <w:color w:val="000000"/>
                <w:kern w:val="0"/>
                <w:sz w:val="20"/>
                <w:szCs w:val="20"/>
              </w:rPr>
            </w:pPr>
            <w:r>
              <w:rPr>
                <w:rFonts w:hint="eastAsia" w:ascii="仿宋_GB2312" w:hAnsi="宋体" w:eastAsia="仿宋_GB2312" w:cs="仿宋_GB2312"/>
                <w:color w:val="000000"/>
                <w:szCs w:val="21"/>
              </w:rPr>
              <w:t>10</w:t>
            </w:r>
          </w:p>
        </w:tc>
        <w:tc>
          <w:tcPr>
            <w:tcW w:w="387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52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675" w:hRule="atLeast"/>
        </w:trPr>
        <w:tc>
          <w:tcPr>
            <w:tcW w:w="104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0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989"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服务对象满意度</w:t>
            </w:r>
          </w:p>
        </w:tc>
        <w:tc>
          <w:tcPr>
            <w:tcW w:w="1096"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居民满意度90%以上</w:t>
            </w:r>
          </w:p>
        </w:tc>
        <w:tc>
          <w:tcPr>
            <w:tcW w:w="1049"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满意度达90%</w:t>
            </w:r>
          </w:p>
        </w:tc>
        <w:tc>
          <w:tcPr>
            <w:tcW w:w="54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p>
        </w:tc>
        <w:tc>
          <w:tcPr>
            <w:tcW w:w="600" w:type="dxa"/>
            <w:tcBorders>
              <w:top w:val="nil"/>
              <w:left w:val="nil"/>
              <w:bottom w:val="single" w:color="auto" w:sz="4" w:space="0"/>
              <w:right w:val="nil"/>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9</w:t>
            </w:r>
          </w:p>
        </w:tc>
        <w:tc>
          <w:tcPr>
            <w:tcW w:w="387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52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699" w:hRule="atLeast"/>
        </w:trPr>
        <w:tc>
          <w:tcPr>
            <w:tcW w:w="14786" w:type="dxa"/>
            <w:gridSpan w:val="9"/>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三</w:t>
            </w:r>
            <w:r>
              <w:rPr>
                <w:rFonts w:ascii="宋体" w:hAnsi="宋体" w:cs="宋体"/>
                <w:color w:val="000000"/>
                <w:kern w:val="0"/>
                <w:sz w:val="18"/>
                <w:szCs w:val="18"/>
              </w:rPr>
              <w:t>、</w:t>
            </w:r>
            <w:r>
              <w:rPr>
                <w:rFonts w:hint="eastAsia" w:ascii="宋体" w:hAnsi="宋体" w:cs="宋体"/>
                <w:color w:val="000000"/>
                <w:kern w:val="0"/>
                <w:sz w:val="20"/>
                <w:szCs w:val="20"/>
              </w:rPr>
              <w:t>预算管理情况（20分）</w:t>
            </w:r>
          </w:p>
        </w:tc>
      </w:tr>
      <w:tr>
        <w:tblPrEx>
          <w:tblCellMar>
            <w:top w:w="0" w:type="dxa"/>
            <w:left w:w="108" w:type="dxa"/>
            <w:bottom w:w="0" w:type="dxa"/>
            <w:right w:w="108" w:type="dxa"/>
          </w:tblCellMar>
        </w:tblPrEx>
        <w:trPr>
          <w:trHeight w:val="702" w:hRule="atLeast"/>
        </w:trPr>
        <w:tc>
          <w:tcPr>
            <w:tcW w:w="104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一</w:t>
            </w:r>
            <w:r>
              <w:rPr>
                <w:rFonts w:ascii="宋体" w:hAnsi="宋体" w:cs="宋体"/>
                <w:color w:val="000000"/>
                <w:kern w:val="0"/>
                <w:sz w:val="20"/>
                <w:szCs w:val="20"/>
              </w:rPr>
              <w:t>级指标</w:t>
            </w:r>
          </w:p>
        </w:tc>
        <w:tc>
          <w:tcPr>
            <w:tcW w:w="10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二</w:t>
            </w:r>
            <w:r>
              <w:rPr>
                <w:rFonts w:ascii="宋体" w:hAnsi="宋体" w:cs="宋体"/>
                <w:color w:val="000000"/>
                <w:kern w:val="0"/>
                <w:sz w:val="20"/>
                <w:szCs w:val="20"/>
              </w:rPr>
              <w:t>级指标</w:t>
            </w:r>
          </w:p>
        </w:tc>
        <w:tc>
          <w:tcPr>
            <w:tcW w:w="989"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三</w:t>
            </w:r>
            <w:r>
              <w:rPr>
                <w:rFonts w:ascii="宋体" w:hAnsi="宋体" w:cs="宋体"/>
                <w:color w:val="000000"/>
                <w:kern w:val="0"/>
                <w:sz w:val="20"/>
                <w:szCs w:val="20"/>
              </w:rPr>
              <w:t>级指标</w:t>
            </w:r>
          </w:p>
        </w:tc>
        <w:tc>
          <w:tcPr>
            <w:tcW w:w="1096"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指标</w:t>
            </w:r>
            <w:r>
              <w:rPr>
                <w:rFonts w:ascii="宋体" w:hAnsi="宋体" w:cs="宋体"/>
                <w:color w:val="000000"/>
                <w:kern w:val="0"/>
                <w:sz w:val="20"/>
                <w:szCs w:val="20"/>
              </w:rPr>
              <w:t>值</w:t>
            </w:r>
          </w:p>
        </w:tc>
        <w:tc>
          <w:tcPr>
            <w:tcW w:w="1049"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完成</w:t>
            </w:r>
            <w:r>
              <w:rPr>
                <w:rFonts w:ascii="宋体" w:hAnsi="宋体" w:cs="宋体"/>
                <w:color w:val="000000"/>
                <w:kern w:val="0"/>
                <w:sz w:val="20"/>
                <w:szCs w:val="20"/>
              </w:rPr>
              <w:t>值</w:t>
            </w:r>
          </w:p>
        </w:tc>
        <w:tc>
          <w:tcPr>
            <w:tcW w:w="540"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分</w:t>
            </w:r>
            <w:r>
              <w:rPr>
                <w:rFonts w:ascii="宋体" w:hAnsi="宋体" w:cs="宋体"/>
                <w:color w:val="000000"/>
                <w:kern w:val="0"/>
                <w:sz w:val="20"/>
                <w:szCs w:val="20"/>
              </w:rPr>
              <w:t>值</w:t>
            </w:r>
          </w:p>
        </w:tc>
        <w:tc>
          <w:tcPr>
            <w:tcW w:w="600" w:type="dxa"/>
            <w:tcBorders>
              <w:top w:val="single" w:color="auto" w:sz="4" w:space="0"/>
              <w:left w:val="nil"/>
              <w:bottom w:val="single" w:color="auto" w:sz="4" w:space="0"/>
              <w:right w:val="nil"/>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得</w:t>
            </w:r>
            <w:r>
              <w:rPr>
                <w:rFonts w:ascii="宋体" w:hAnsi="宋体" w:cs="宋体"/>
                <w:color w:val="000000"/>
                <w:kern w:val="0"/>
                <w:sz w:val="20"/>
                <w:szCs w:val="20"/>
              </w:rPr>
              <w:t>分</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b/>
                <w:bCs/>
                <w:color w:val="000000"/>
                <w:kern w:val="0"/>
                <w:sz w:val="18"/>
                <w:szCs w:val="18"/>
              </w:rPr>
            </w:pPr>
            <w:r>
              <w:rPr>
                <w:rFonts w:hint="eastAsia" w:ascii="宋体" w:hAnsi="宋体" w:cs="宋体"/>
                <w:bCs/>
                <w:color w:val="000000"/>
                <w:kern w:val="0"/>
                <w:sz w:val="18"/>
                <w:szCs w:val="18"/>
              </w:rPr>
              <w:t>指标</w:t>
            </w:r>
            <w:r>
              <w:rPr>
                <w:rFonts w:ascii="宋体" w:hAnsi="宋体" w:cs="宋体"/>
                <w:bCs/>
                <w:color w:val="000000"/>
                <w:kern w:val="0"/>
                <w:sz w:val="18"/>
                <w:szCs w:val="18"/>
              </w:rPr>
              <w:t>解释</w:t>
            </w:r>
          </w:p>
        </w:tc>
        <w:tc>
          <w:tcPr>
            <w:tcW w:w="452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评</w:t>
            </w:r>
            <w:r>
              <w:rPr>
                <w:rFonts w:ascii="宋体" w:hAnsi="宋体" w:cs="宋体"/>
                <w:color w:val="000000"/>
                <w:kern w:val="0"/>
                <w:sz w:val="18"/>
                <w:szCs w:val="18"/>
              </w:rPr>
              <w:t>分标准</w:t>
            </w:r>
          </w:p>
        </w:tc>
      </w:tr>
      <w:tr>
        <w:tblPrEx>
          <w:tblCellMar>
            <w:top w:w="0" w:type="dxa"/>
            <w:left w:w="108" w:type="dxa"/>
            <w:bottom w:w="0" w:type="dxa"/>
            <w:right w:w="108" w:type="dxa"/>
          </w:tblCellMar>
        </w:tblPrEx>
        <w:trPr>
          <w:trHeight w:val="1230" w:hRule="atLeast"/>
        </w:trPr>
        <w:tc>
          <w:tcPr>
            <w:tcW w:w="104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预算管理情况（20）</w:t>
            </w:r>
          </w:p>
        </w:tc>
        <w:tc>
          <w:tcPr>
            <w:tcW w:w="107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财务管理（4）</w:t>
            </w:r>
          </w:p>
        </w:tc>
        <w:tc>
          <w:tcPr>
            <w:tcW w:w="989"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财务管理制度健全性</w:t>
            </w:r>
          </w:p>
        </w:tc>
        <w:tc>
          <w:tcPr>
            <w:tcW w:w="1096"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财务制度健全，预算资金管理办法健全，绩效跟踪管理办法健全　</w:t>
            </w:r>
          </w:p>
        </w:tc>
        <w:tc>
          <w:tcPr>
            <w:tcW w:w="1049"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eastAsia="zh-CN"/>
              </w:rPr>
              <w:t>完成</w:t>
            </w:r>
            <w:r>
              <w:rPr>
                <w:rFonts w:hint="eastAsia" w:ascii="宋体" w:hAnsi="宋体" w:cs="宋体"/>
                <w:color w:val="000000"/>
                <w:kern w:val="0"/>
                <w:sz w:val="20"/>
                <w:szCs w:val="20"/>
                <w:lang w:val="en-US" w:eastAsia="zh-CN"/>
              </w:rPr>
              <w:t>95%</w:t>
            </w:r>
            <w:r>
              <w:rPr>
                <w:rFonts w:hint="eastAsia" w:ascii="宋体" w:hAnsi="宋体" w:cs="宋体"/>
                <w:color w:val="000000"/>
                <w:kern w:val="0"/>
                <w:sz w:val="20"/>
                <w:szCs w:val="20"/>
              </w:rPr>
              <w:t>　</w:t>
            </w:r>
          </w:p>
        </w:tc>
        <w:tc>
          <w:tcPr>
            <w:tcW w:w="540"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w:t>
            </w:r>
          </w:p>
        </w:tc>
        <w:tc>
          <w:tcPr>
            <w:tcW w:w="600" w:type="dxa"/>
            <w:tcBorders>
              <w:top w:val="single" w:color="auto" w:sz="4" w:space="0"/>
              <w:left w:val="nil"/>
              <w:bottom w:val="single" w:color="auto" w:sz="4" w:space="0"/>
              <w:right w:val="nil"/>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0.5</w:t>
            </w:r>
            <w:r>
              <w:rPr>
                <w:rFonts w:hint="eastAsia" w:ascii="宋体" w:hAnsi="宋体" w:cs="宋体"/>
                <w:color w:val="000000"/>
                <w:kern w:val="0"/>
                <w:sz w:val="20"/>
                <w:szCs w:val="20"/>
              </w:rPr>
              <w:t>　</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18"/>
                <w:szCs w:val="18"/>
              </w:rPr>
            </w:pPr>
            <w:r>
              <w:rPr>
                <w:rFonts w:hint="eastAsia" w:ascii="宋体" w:hAnsi="宋体" w:cs="宋体"/>
                <w:b/>
                <w:bCs/>
                <w:color w:val="000000"/>
                <w:kern w:val="0"/>
                <w:sz w:val="18"/>
                <w:szCs w:val="18"/>
              </w:rPr>
              <w:t>财务管理制度健全性:</w:t>
            </w:r>
            <w:r>
              <w:rPr>
                <w:rFonts w:hint="eastAsia" w:ascii="宋体" w:hAnsi="宋体" w:cs="宋体"/>
                <w:color w:val="000000"/>
                <w:kern w:val="0"/>
                <w:sz w:val="18"/>
                <w:szCs w:val="18"/>
              </w:rPr>
              <w:t>部门（单位）为加强财务管理、规范财务行为而制定的管理制度。</w:t>
            </w:r>
          </w:p>
        </w:tc>
        <w:tc>
          <w:tcPr>
            <w:tcW w:w="4522" w:type="dxa"/>
            <w:tcBorders>
              <w:top w:val="single" w:color="auto" w:sz="4" w:space="0"/>
              <w:left w:val="nil"/>
              <w:bottom w:val="single" w:color="auto" w:sz="4" w:space="0"/>
              <w:right w:val="single" w:color="auto" w:sz="4" w:space="0"/>
            </w:tcBorders>
            <w:vAlign w:val="center"/>
          </w:tcPr>
          <w:p>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①预算资金管理办法、绩效跟踪管理办法、资产管理办法等各项制度是否健全；②部门内部财务管理制度是否完整、合规；③会计核算制度是否完整、合规。每有一项不合格扣0.5分，扣完为止。</w:t>
            </w:r>
          </w:p>
        </w:tc>
      </w:tr>
      <w:tr>
        <w:tblPrEx>
          <w:tblCellMar>
            <w:top w:w="0" w:type="dxa"/>
            <w:left w:w="108" w:type="dxa"/>
            <w:bottom w:w="0" w:type="dxa"/>
            <w:right w:w="108" w:type="dxa"/>
          </w:tblCellMar>
        </w:tblPrEx>
        <w:trPr>
          <w:trHeight w:val="2220" w:hRule="atLeast"/>
        </w:trPr>
        <w:tc>
          <w:tcPr>
            <w:tcW w:w="1041"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989"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资金使用合规性和安全性</w:t>
            </w:r>
          </w:p>
        </w:tc>
        <w:tc>
          <w:tcPr>
            <w:tcW w:w="1096"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按照资金使用管理办法合理合规使用资金</w:t>
            </w:r>
          </w:p>
        </w:tc>
        <w:tc>
          <w:tcPr>
            <w:tcW w:w="1049"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所有资金使用流程规范</w:t>
            </w:r>
          </w:p>
        </w:tc>
        <w:tc>
          <w:tcPr>
            <w:tcW w:w="540"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600" w:type="dxa"/>
            <w:tcBorders>
              <w:top w:val="single" w:color="auto" w:sz="4" w:space="0"/>
              <w:left w:val="nil"/>
              <w:bottom w:val="single" w:color="auto" w:sz="4" w:space="0"/>
              <w:right w:val="nil"/>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18"/>
                <w:szCs w:val="18"/>
              </w:rPr>
            </w:pPr>
            <w:r>
              <w:rPr>
                <w:rFonts w:hint="eastAsia" w:ascii="宋体" w:hAnsi="宋体" w:cs="宋体"/>
                <w:b/>
                <w:bCs/>
                <w:color w:val="000000"/>
                <w:kern w:val="0"/>
                <w:sz w:val="18"/>
                <w:szCs w:val="18"/>
              </w:rPr>
              <w:t>资金使用合规性和安全性:</w:t>
            </w:r>
            <w:r>
              <w:rPr>
                <w:rFonts w:hint="eastAsia" w:ascii="宋体" w:hAnsi="宋体" w:cs="宋体"/>
                <w:color w:val="000000"/>
                <w:kern w:val="0"/>
                <w:sz w:val="18"/>
                <w:szCs w:val="18"/>
              </w:rPr>
              <w:t>部门（单位）使用预算资金是否符合相关的预算财务管理制度的规定，是否符合相关规定的开支范围，用以反映考核部门（单位）预算资金的规范运行和安全运行情况。</w:t>
            </w:r>
          </w:p>
        </w:tc>
        <w:tc>
          <w:tcPr>
            <w:tcW w:w="4522" w:type="dxa"/>
            <w:tcBorders>
              <w:top w:val="single" w:color="auto" w:sz="4" w:space="0"/>
              <w:left w:val="nil"/>
              <w:bottom w:val="single" w:color="auto" w:sz="4" w:space="0"/>
              <w:right w:val="single" w:color="auto" w:sz="4" w:space="0"/>
            </w:tcBorders>
            <w:vAlign w:val="center"/>
          </w:tcPr>
          <w:p>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①是否符合国家财经法规和财务管理制度规定以及有关专项资金管理办法的规定；②资金的拨付是否有完整的审批程序和手续；③项目的重大开支是否经过评估论证；④是否符合部门预算批复的用途；⑤是否存在截留、挤占、挪用情况；⑥资金使用是否符合政府采购的程序和流程；⑦资金使用是否符合公务卡结算相关制度和规定。每有一项不合格扣0.5分，扣完为止。</w:t>
            </w:r>
          </w:p>
        </w:tc>
      </w:tr>
      <w:tr>
        <w:tblPrEx>
          <w:tblCellMar>
            <w:top w:w="0" w:type="dxa"/>
            <w:left w:w="108" w:type="dxa"/>
            <w:bottom w:w="0" w:type="dxa"/>
            <w:right w:w="108" w:type="dxa"/>
          </w:tblCellMar>
        </w:tblPrEx>
        <w:trPr>
          <w:trHeight w:val="1035" w:hRule="atLeast"/>
        </w:trPr>
        <w:tc>
          <w:tcPr>
            <w:tcW w:w="104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989"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会计基础信息完善性</w:t>
            </w:r>
          </w:p>
        </w:tc>
        <w:tc>
          <w:tcPr>
            <w:tcW w:w="1096"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rPr>
              <w:t>会计基础信息真实完整准确</w:t>
            </w:r>
          </w:p>
        </w:tc>
        <w:tc>
          <w:tcPr>
            <w:tcW w:w="1049"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rPr>
              <w:t>完成</w:t>
            </w:r>
          </w:p>
        </w:tc>
        <w:tc>
          <w:tcPr>
            <w:tcW w:w="540"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rPr>
              <w:t>1</w:t>
            </w:r>
          </w:p>
        </w:tc>
        <w:tc>
          <w:tcPr>
            <w:tcW w:w="600" w:type="dxa"/>
            <w:tcBorders>
              <w:top w:val="nil"/>
              <w:left w:val="nil"/>
              <w:bottom w:val="single" w:color="auto" w:sz="4" w:space="0"/>
              <w:right w:val="nil"/>
            </w:tcBorders>
            <w:vAlign w:val="center"/>
          </w:tcPr>
          <w:p>
            <w:pPr>
              <w:widowControl/>
              <w:jc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rPr>
              <w:t>1</w:t>
            </w:r>
          </w:p>
        </w:tc>
        <w:tc>
          <w:tcPr>
            <w:tcW w:w="3870" w:type="dxa"/>
            <w:tcBorders>
              <w:top w:val="nil"/>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18"/>
                <w:szCs w:val="18"/>
              </w:rPr>
            </w:pPr>
            <w:r>
              <w:rPr>
                <w:rFonts w:hint="eastAsia" w:ascii="宋体" w:hAnsi="宋体" w:cs="宋体"/>
                <w:b/>
                <w:bCs/>
                <w:color w:val="000000"/>
                <w:kern w:val="0"/>
                <w:sz w:val="18"/>
                <w:szCs w:val="18"/>
              </w:rPr>
              <w:t>会计基础信息完善性:</w:t>
            </w:r>
            <w:r>
              <w:rPr>
                <w:rFonts w:hint="eastAsia" w:ascii="宋体" w:hAnsi="宋体" w:cs="宋体"/>
                <w:color w:val="000000"/>
                <w:kern w:val="0"/>
                <w:sz w:val="18"/>
                <w:szCs w:val="18"/>
              </w:rPr>
              <w:t>部门（单位）会计基础信息情况。</w:t>
            </w:r>
          </w:p>
        </w:tc>
        <w:tc>
          <w:tcPr>
            <w:tcW w:w="4522" w:type="dxa"/>
            <w:tcBorders>
              <w:top w:val="nil"/>
              <w:left w:val="nil"/>
              <w:bottom w:val="single" w:color="auto" w:sz="4" w:space="0"/>
              <w:right w:val="single" w:color="auto" w:sz="4" w:space="0"/>
            </w:tcBorders>
            <w:vAlign w:val="center"/>
          </w:tcPr>
          <w:p>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①基础数据信息和会计信息资料是否真实；②基础数据信息和会计信息资料是否完整；③基础数据信息和会计信息资料是否准确。每有一项不合格扣0.5分，扣完为止。</w:t>
            </w:r>
          </w:p>
        </w:tc>
      </w:tr>
      <w:tr>
        <w:tblPrEx>
          <w:tblCellMar>
            <w:top w:w="0" w:type="dxa"/>
            <w:left w:w="108" w:type="dxa"/>
            <w:bottom w:w="0" w:type="dxa"/>
            <w:right w:w="108" w:type="dxa"/>
          </w:tblCellMar>
        </w:tblPrEx>
        <w:trPr>
          <w:trHeight w:val="672" w:hRule="atLeast"/>
        </w:trPr>
        <w:tc>
          <w:tcPr>
            <w:tcW w:w="104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资产管理（4）</w:t>
            </w:r>
          </w:p>
        </w:tc>
        <w:tc>
          <w:tcPr>
            <w:tcW w:w="98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资产管理规范性</w:t>
            </w:r>
          </w:p>
        </w:tc>
        <w:tc>
          <w:tcPr>
            <w:tcW w:w="109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rPr>
              <w:t>资产管理严格按照制度执行</w:t>
            </w:r>
          </w:p>
        </w:tc>
        <w:tc>
          <w:tcPr>
            <w:tcW w:w="10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rPr>
              <w:t>完成</w:t>
            </w:r>
          </w:p>
        </w:tc>
        <w:tc>
          <w:tcPr>
            <w:tcW w:w="54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rPr>
              <w:t>4</w:t>
            </w:r>
          </w:p>
        </w:tc>
        <w:tc>
          <w:tcPr>
            <w:tcW w:w="60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rPr>
              <w:t>4</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18"/>
                <w:szCs w:val="18"/>
              </w:rPr>
            </w:pPr>
            <w:r>
              <w:rPr>
                <w:rFonts w:hint="eastAsia" w:ascii="宋体" w:hAnsi="宋体" w:cs="宋体"/>
                <w:b/>
                <w:bCs/>
                <w:color w:val="000000"/>
                <w:kern w:val="0"/>
                <w:sz w:val="18"/>
                <w:szCs w:val="18"/>
              </w:rPr>
              <w:t>资产管理规范性:</w:t>
            </w:r>
            <w:r>
              <w:rPr>
                <w:rFonts w:hint="eastAsia" w:ascii="宋体" w:hAnsi="宋体" w:cs="宋体"/>
                <w:color w:val="000000"/>
                <w:kern w:val="0"/>
                <w:sz w:val="18"/>
                <w:szCs w:val="18"/>
              </w:rPr>
              <w:t>部门（单位）的资产是否保持安全完整，资产配置是否合理，资产使用和资产处理是否规范，用以反映和考核部门（单位）资产管理的整体水平。</w:t>
            </w:r>
          </w:p>
        </w:tc>
        <w:tc>
          <w:tcPr>
            <w:tcW w:w="452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①对外投资行为是否经审批，是否存在投资亏损；②是否有因管理不当发生严重资产损失和丢失情况；③是否存在超标准配置资产；④资产使用是否规范，是否存在未经批准擅自出租、出借资产行为；⑤资产处置是否规范，是否存在不按要求进行报批或资产不公开处置行为；⑥其它资产管理制度办法执行情况。每有一项不合格扣0.8分，扣完为止。</w:t>
            </w:r>
          </w:p>
        </w:tc>
      </w:tr>
      <w:tr>
        <w:tblPrEx>
          <w:tblCellMar>
            <w:top w:w="0" w:type="dxa"/>
            <w:left w:w="108" w:type="dxa"/>
            <w:bottom w:w="0" w:type="dxa"/>
            <w:right w:w="108" w:type="dxa"/>
          </w:tblCellMar>
        </w:tblPrEx>
        <w:trPr>
          <w:trHeight w:val="1750" w:hRule="atLeast"/>
        </w:trPr>
        <w:tc>
          <w:tcPr>
            <w:tcW w:w="104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绩效管理（4）</w:t>
            </w:r>
          </w:p>
        </w:tc>
        <w:tc>
          <w:tcPr>
            <w:tcW w:w="989"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绩效管理情况</w:t>
            </w:r>
          </w:p>
        </w:tc>
        <w:tc>
          <w:tcPr>
            <w:tcW w:w="1096"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rPr>
              <w:t>绩效管理按制度执行</w:t>
            </w:r>
          </w:p>
        </w:tc>
        <w:tc>
          <w:tcPr>
            <w:tcW w:w="1049"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rPr>
              <w:t>完成95%</w:t>
            </w:r>
          </w:p>
        </w:tc>
        <w:tc>
          <w:tcPr>
            <w:tcW w:w="540"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rPr>
              <w:t>4</w:t>
            </w:r>
          </w:p>
        </w:tc>
        <w:tc>
          <w:tcPr>
            <w:tcW w:w="600" w:type="dxa"/>
            <w:tcBorders>
              <w:top w:val="single" w:color="auto" w:sz="4" w:space="0"/>
              <w:left w:val="nil"/>
              <w:bottom w:val="single" w:color="auto" w:sz="4" w:space="0"/>
              <w:right w:val="nil"/>
            </w:tcBorders>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1.5</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18"/>
                <w:szCs w:val="18"/>
              </w:rPr>
            </w:pPr>
            <w:r>
              <w:rPr>
                <w:rFonts w:hint="eastAsia" w:ascii="宋体" w:hAnsi="宋体" w:cs="宋体"/>
                <w:b/>
                <w:bCs/>
                <w:color w:val="000000"/>
                <w:kern w:val="0"/>
                <w:sz w:val="18"/>
                <w:szCs w:val="18"/>
              </w:rPr>
              <w:t>绩效管理情况:</w:t>
            </w:r>
            <w:r>
              <w:rPr>
                <w:rFonts w:hint="eastAsia" w:ascii="宋体" w:hAnsi="宋体" w:cs="宋体"/>
                <w:color w:val="000000"/>
                <w:kern w:val="0"/>
                <w:sz w:val="18"/>
                <w:szCs w:val="18"/>
              </w:rPr>
              <w:t>考核部门（单位）在绩效管理信息的汇总和应用情况。</w:t>
            </w:r>
          </w:p>
        </w:tc>
        <w:tc>
          <w:tcPr>
            <w:tcW w:w="4522" w:type="dxa"/>
            <w:tcBorders>
              <w:top w:val="single" w:color="auto" w:sz="4" w:space="0"/>
              <w:left w:val="nil"/>
              <w:bottom w:val="single" w:color="auto" w:sz="4" w:space="0"/>
              <w:right w:val="single" w:color="auto" w:sz="4" w:space="0"/>
            </w:tcBorders>
            <w:vAlign w:val="center"/>
          </w:tcPr>
          <w:p>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①部门（单位）是否及时对绩效信息进行汇总分析整理；②部门（单位）是否对绩效目标偏离情况及时进行矫正。每有一项不合格扣2分。</w:t>
            </w:r>
          </w:p>
        </w:tc>
      </w:tr>
      <w:tr>
        <w:tblPrEx>
          <w:tblCellMar>
            <w:top w:w="0" w:type="dxa"/>
            <w:left w:w="108" w:type="dxa"/>
            <w:bottom w:w="0" w:type="dxa"/>
            <w:right w:w="108" w:type="dxa"/>
          </w:tblCellMar>
        </w:tblPrEx>
        <w:trPr>
          <w:trHeight w:val="394" w:hRule="atLeast"/>
        </w:trPr>
        <w:tc>
          <w:tcPr>
            <w:tcW w:w="104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指标　</w:t>
            </w:r>
          </w:p>
        </w:tc>
        <w:tc>
          <w:tcPr>
            <w:tcW w:w="2085" w:type="dxa"/>
            <w:gridSpan w:val="2"/>
            <w:tcBorders>
              <w:top w:val="single" w:color="auto" w:sz="4" w:space="0"/>
              <w:left w:val="nil"/>
              <w:bottom w:val="single" w:color="auto" w:sz="4" w:space="0"/>
              <w:right w:val="single" w:color="000000"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202</w:t>
            </w:r>
            <w:r>
              <w:rPr>
                <w:rFonts w:hint="eastAsia" w:ascii="宋体" w:hAnsi="宋体" w:cs="宋体"/>
                <w:color w:val="000000"/>
                <w:kern w:val="0"/>
                <w:sz w:val="20"/>
                <w:szCs w:val="20"/>
                <w:lang w:val="en-US" w:eastAsia="zh-CN"/>
              </w:rPr>
              <w:t>3</w:t>
            </w:r>
            <w:r>
              <w:rPr>
                <w:rFonts w:hint="eastAsia" w:ascii="宋体" w:hAnsi="宋体" w:cs="宋体"/>
                <w:color w:val="000000"/>
                <w:kern w:val="0"/>
                <w:sz w:val="20"/>
                <w:szCs w:val="20"/>
              </w:rPr>
              <w:t>年</w:t>
            </w:r>
          </w:p>
        </w:tc>
        <w:tc>
          <w:tcPr>
            <w:tcW w:w="1049"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202</w:t>
            </w:r>
            <w:r>
              <w:rPr>
                <w:rFonts w:hint="eastAsia" w:ascii="宋体" w:hAnsi="宋体" w:cs="宋体"/>
                <w:color w:val="000000"/>
                <w:kern w:val="0"/>
                <w:sz w:val="20"/>
                <w:szCs w:val="20"/>
                <w:lang w:val="en-US" w:eastAsia="zh-CN"/>
              </w:rPr>
              <w:t>4</w:t>
            </w:r>
            <w:r>
              <w:rPr>
                <w:rFonts w:hint="eastAsia" w:ascii="宋体" w:hAnsi="宋体" w:cs="宋体"/>
                <w:color w:val="000000"/>
                <w:kern w:val="0"/>
                <w:sz w:val="20"/>
                <w:szCs w:val="20"/>
              </w:rPr>
              <w:t>年</w:t>
            </w:r>
          </w:p>
        </w:tc>
        <w:tc>
          <w:tcPr>
            <w:tcW w:w="540"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分值</w:t>
            </w:r>
          </w:p>
        </w:tc>
        <w:tc>
          <w:tcPr>
            <w:tcW w:w="600"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得分</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bCs/>
                <w:color w:val="000000"/>
                <w:kern w:val="0"/>
                <w:sz w:val="18"/>
                <w:szCs w:val="18"/>
              </w:rPr>
              <w:t>指标</w:t>
            </w:r>
            <w:r>
              <w:rPr>
                <w:rFonts w:ascii="宋体" w:hAnsi="宋体" w:cs="宋体"/>
                <w:bCs/>
                <w:color w:val="000000"/>
                <w:kern w:val="0"/>
                <w:sz w:val="18"/>
                <w:szCs w:val="18"/>
              </w:rPr>
              <w:t>解释</w:t>
            </w:r>
          </w:p>
        </w:tc>
        <w:tc>
          <w:tcPr>
            <w:tcW w:w="4522" w:type="dxa"/>
            <w:tcBorders>
              <w:top w:val="single" w:color="auto" w:sz="4" w:space="0"/>
              <w:left w:val="nil"/>
              <w:bottom w:val="single" w:color="auto" w:sz="4" w:space="0"/>
              <w:right w:val="single" w:color="auto" w:sz="4" w:space="0"/>
            </w:tcBorders>
            <w:vAlign w:val="center"/>
          </w:tcPr>
          <w:p>
            <w:pPr>
              <w:widowControl/>
              <w:jc w:val="center"/>
              <w:rPr>
                <w:rFonts w:eastAsia="Times New Roman"/>
                <w:kern w:val="0"/>
                <w:sz w:val="20"/>
                <w:szCs w:val="20"/>
              </w:rPr>
            </w:pPr>
            <w:r>
              <w:rPr>
                <w:rFonts w:hint="eastAsia" w:ascii="宋体" w:hAnsi="宋体" w:cs="宋体"/>
                <w:color w:val="000000"/>
                <w:kern w:val="0"/>
                <w:sz w:val="18"/>
                <w:szCs w:val="18"/>
              </w:rPr>
              <w:t>评</w:t>
            </w:r>
            <w:r>
              <w:rPr>
                <w:rFonts w:ascii="宋体" w:hAnsi="宋体" w:cs="宋体"/>
                <w:color w:val="000000"/>
                <w:kern w:val="0"/>
                <w:sz w:val="18"/>
                <w:szCs w:val="18"/>
              </w:rPr>
              <w:t>分标准</w:t>
            </w:r>
          </w:p>
        </w:tc>
      </w:tr>
      <w:tr>
        <w:tblPrEx>
          <w:tblCellMar>
            <w:top w:w="0" w:type="dxa"/>
            <w:left w:w="108" w:type="dxa"/>
            <w:bottom w:w="0" w:type="dxa"/>
            <w:right w:w="108" w:type="dxa"/>
          </w:tblCellMar>
        </w:tblPrEx>
        <w:trPr>
          <w:trHeight w:val="1365" w:hRule="atLeast"/>
        </w:trPr>
        <w:tc>
          <w:tcPr>
            <w:tcW w:w="104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tcBorders>
              <w:top w:val="nil"/>
              <w:left w:val="nil"/>
              <w:bottom w:val="single" w:color="auto" w:sz="4" w:space="0"/>
              <w:right w:val="single" w:color="auto" w:sz="4" w:space="0"/>
            </w:tcBorders>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结转结余率（4）</w:t>
            </w:r>
          </w:p>
        </w:tc>
        <w:tc>
          <w:tcPr>
            <w:tcW w:w="2085" w:type="dxa"/>
            <w:gridSpan w:val="2"/>
            <w:tcBorders>
              <w:top w:val="single" w:color="auto" w:sz="4" w:space="0"/>
              <w:left w:val="nil"/>
              <w:bottom w:val="single" w:color="auto" w:sz="4" w:space="0"/>
              <w:right w:val="single" w:color="000000" w:sz="4" w:space="0"/>
            </w:tcBorders>
            <w:vAlign w:val="center"/>
          </w:tcPr>
          <w:p>
            <w:pPr>
              <w:widowControl/>
              <w:jc w:val="center"/>
              <w:rPr>
                <w:rFonts w:hint="eastAsia" w:ascii="宋体" w:hAnsi="宋体" w:cs="宋体"/>
                <w:color w:val="000000"/>
                <w:kern w:val="0"/>
                <w:sz w:val="20"/>
                <w:szCs w:val="20"/>
              </w:rPr>
            </w:pPr>
          </w:p>
        </w:tc>
        <w:tc>
          <w:tcPr>
            <w:tcW w:w="1049"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p>
        </w:tc>
        <w:tc>
          <w:tcPr>
            <w:tcW w:w="540"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4</w:t>
            </w:r>
          </w:p>
        </w:tc>
        <w:tc>
          <w:tcPr>
            <w:tcW w:w="600" w:type="dxa"/>
            <w:tcBorders>
              <w:top w:val="nil"/>
              <w:left w:val="nil"/>
              <w:bottom w:val="single" w:color="auto" w:sz="4" w:space="0"/>
              <w:right w:val="nil"/>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3</w:t>
            </w:r>
            <w:r>
              <w:rPr>
                <w:rFonts w:hint="eastAsia" w:ascii="宋体" w:hAnsi="宋体" w:cs="宋体"/>
                <w:color w:val="000000"/>
                <w:kern w:val="0"/>
                <w:sz w:val="20"/>
                <w:szCs w:val="20"/>
              </w:rPr>
              <w:t>　</w:t>
            </w:r>
          </w:p>
        </w:tc>
        <w:tc>
          <w:tcPr>
            <w:tcW w:w="3870"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结转结余率=结转结余总额/支出预算数×100%。</w:t>
            </w:r>
          </w:p>
          <w:p>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结转结余总额：部门（单位）本年度的结转资金与结余资金之和。</w:t>
            </w:r>
          </w:p>
        </w:tc>
        <w:tc>
          <w:tcPr>
            <w:tcW w:w="4522" w:type="dxa"/>
            <w:tcBorders>
              <w:top w:val="single" w:color="auto" w:sz="4" w:space="0"/>
              <w:left w:val="nil"/>
              <w:bottom w:val="single" w:color="auto" w:sz="4" w:space="0"/>
              <w:right w:val="single" w:color="auto" w:sz="4" w:space="0"/>
            </w:tcBorders>
            <w:vAlign w:val="center"/>
          </w:tcPr>
          <w:p>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部门结转结余率低于上年的不扣分；高于上年结余率，每高出1个百分点扣0.4分，扣完为止。（说明：预算调整和结转结余指标，如非预算部门主观因素导致扣分的，在评分结果征求意见环节，经与相关部门预算主管处室共同研究，可作为例外情况酌情考虑。）</w:t>
            </w:r>
          </w:p>
        </w:tc>
      </w:tr>
      <w:tr>
        <w:tblPrEx>
          <w:tblCellMar>
            <w:top w:w="0" w:type="dxa"/>
            <w:left w:w="108" w:type="dxa"/>
            <w:bottom w:w="0" w:type="dxa"/>
            <w:right w:w="108" w:type="dxa"/>
          </w:tblCellMar>
        </w:tblPrEx>
        <w:trPr>
          <w:trHeight w:val="90" w:hRule="atLeast"/>
        </w:trPr>
        <w:tc>
          <w:tcPr>
            <w:tcW w:w="104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tcBorders>
              <w:top w:val="nil"/>
              <w:left w:val="nil"/>
              <w:bottom w:val="single" w:color="auto" w:sz="4" w:space="0"/>
              <w:right w:val="single" w:color="auto" w:sz="4" w:space="0"/>
            </w:tcBorders>
            <w:vAlign w:val="center"/>
          </w:tcPr>
          <w:p>
            <w:pPr>
              <w:widowControl/>
              <w:rPr>
                <w:rFonts w:hint="eastAsia" w:ascii="宋体" w:hAnsi="宋体" w:cs="宋体"/>
                <w:color w:val="000000"/>
                <w:kern w:val="0"/>
                <w:sz w:val="20"/>
                <w:szCs w:val="20"/>
              </w:rPr>
            </w:pPr>
            <w:r>
              <w:rPr>
                <w:rFonts w:hint="eastAsia" w:ascii="宋体" w:hAnsi="宋体" w:cs="宋体"/>
                <w:color w:val="000000"/>
                <w:kern w:val="0"/>
                <w:sz w:val="20"/>
                <w:szCs w:val="20"/>
              </w:rPr>
              <w:t>部门预决算差异率（4）</w:t>
            </w:r>
          </w:p>
        </w:tc>
        <w:tc>
          <w:tcPr>
            <w:tcW w:w="2085" w:type="dxa"/>
            <w:gridSpan w:val="2"/>
            <w:tcBorders>
              <w:top w:val="single" w:color="auto" w:sz="4" w:space="0"/>
              <w:left w:val="nil"/>
              <w:bottom w:val="single" w:color="auto" w:sz="4" w:space="0"/>
              <w:right w:val="nil"/>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w:t>
            </w:r>
          </w:p>
        </w:tc>
        <w:tc>
          <w:tcPr>
            <w:tcW w:w="1049" w:type="dxa"/>
            <w:tcBorders>
              <w:top w:val="nil"/>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540"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4</w:t>
            </w:r>
          </w:p>
        </w:tc>
        <w:tc>
          <w:tcPr>
            <w:tcW w:w="600" w:type="dxa"/>
            <w:tcBorders>
              <w:top w:val="nil"/>
              <w:left w:val="nil"/>
              <w:bottom w:val="single" w:color="auto" w:sz="4" w:space="0"/>
              <w:right w:val="nil"/>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4</w:t>
            </w:r>
            <w:r>
              <w:rPr>
                <w:rFonts w:hint="eastAsia" w:ascii="宋体" w:hAnsi="宋体" w:cs="宋体"/>
                <w:color w:val="000000"/>
                <w:kern w:val="0"/>
                <w:sz w:val="20"/>
                <w:szCs w:val="20"/>
              </w:rPr>
              <w:t>　</w:t>
            </w:r>
          </w:p>
        </w:tc>
        <w:tc>
          <w:tcPr>
            <w:tcW w:w="3870" w:type="dxa"/>
            <w:tcBorders>
              <w:top w:val="nil"/>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通过年度部门决算与年初部门预算对比，对部门的年度支出情况进行考核，衡量部门预算的约束力。</w:t>
            </w:r>
          </w:p>
        </w:tc>
        <w:tc>
          <w:tcPr>
            <w:tcW w:w="4522" w:type="dxa"/>
            <w:tcBorders>
              <w:top w:val="nil"/>
              <w:left w:val="nil"/>
              <w:bottom w:val="single" w:color="auto" w:sz="4" w:space="0"/>
              <w:right w:val="single" w:color="auto" w:sz="4" w:space="0"/>
            </w:tcBorders>
            <w:vAlign w:val="center"/>
          </w:tcPr>
          <w:p>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部门预决算差异率高于市级平均差异率（28.3%）的，每高出10%（含），扣0.4分，扣完为止。</w:t>
            </w:r>
          </w:p>
        </w:tc>
      </w:tr>
      <w:tr>
        <w:tblPrEx>
          <w:tblCellMar>
            <w:top w:w="0" w:type="dxa"/>
            <w:left w:w="108" w:type="dxa"/>
            <w:bottom w:w="0" w:type="dxa"/>
            <w:right w:w="108" w:type="dxa"/>
          </w:tblCellMar>
        </w:tblPrEx>
        <w:trPr>
          <w:trHeight w:val="404" w:hRule="atLeast"/>
        </w:trPr>
        <w:tc>
          <w:tcPr>
            <w:tcW w:w="5254" w:type="dxa"/>
            <w:gridSpan w:val="5"/>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合计</w:t>
            </w:r>
          </w:p>
        </w:tc>
        <w:tc>
          <w:tcPr>
            <w:tcW w:w="540"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100</w:t>
            </w:r>
          </w:p>
        </w:tc>
        <w:tc>
          <w:tcPr>
            <w:tcW w:w="600" w:type="dxa"/>
            <w:tcBorders>
              <w:top w:val="nil"/>
              <w:left w:val="nil"/>
              <w:bottom w:val="single" w:color="auto" w:sz="4" w:space="0"/>
              <w:right w:val="nil"/>
            </w:tcBorders>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97</w:t>
            </w:r>
          </w:p>
        </w:tc>
        <w:tc>
          <w:tcPr>
            <w:tcW w:w="8392" w:type="dxa"/>
            <w:gridSpan w:val="2"/>
            <w:tcBorders>
              <w:top w:val="single" w:color="auto" w:sz="4" w:space="0"/>
              <w:left w:val="single" w:color="auto" w:sz="4" w:space="0"/>
              <w:bottom w:val="single" w:color="auto" w:sz="4" w:space="0"/>
              <w:right w:val="single" w:color="000000" w:sz="4" w:space="0"/>
            </w:tcBorders>
            <w:vAlign w:val="center"/>
          </w:tcPr>
          <w:p>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bl>
    <w:p>
      <w:pPr>
        <w:pStyle w:val="5"/>
        <w:ind w:firstLine="420"/>
      </w:pPr>
    </w:p>
    <w:p>
      <w:pPr>
        <w:pStyle w:val="5"/>
        <w:ind w:firstLine="420"/>
      </w:pPr>
    </w:p>
    <w:p>
      <w:pPr>
        <w:pStyle w:val="5"/>
        <w:ind w:firstLine="420"/>
      </w:pPr>
    </w:p>
    <w:p>
      <w:pPr>
        <w:pStyle w:val="5"/>
        <w:ind w:firstLine="420"/>
      </w:pPr>
    </w:p>
    <w:p>
      <w:pPr>
        <w:pStyle w:val="5"/>
        <w:ind w:firstLine="420"/>
      </w:pPr>
    </w:p>
    <w:p>
      <w:pPr>
        <w:pStyle w:val="5"/>
        <w:ind w:firstLine="420"/>
      </w:pPr>
    </w:p>
    <w:p>
      <w:pPr>
        <w:pStyle w:val="5"/>
        <w:ind w:firstLine="420"/>
      </w:pPr>
    </w:p>
    <w:p>
      <w:pPr>
        <w:pStyle w:val="5"/>
        <w:ind w:firstLine="420"/>
      </w:pPr>
    </w:p>
    <w:p>
      <w:pPr>
        <w:spacing w:line="560" w:lineRule="exact"/>
        <w:jc w:val="both"/>
        <w:rPr>
          <w:rFonts w:ascii="方正小标宋简体" w:eastAsia="方正小标宋简体"/>
          <w:sz w:val="36"/>
          <w:szCs w:val="36"/>
        </w:rPr>
      </w:pPr>
    </w:p>
    <w:p>
      <w:pPr>
        <w:spacing w:line="560" w:lineRule="exact"/>
        <w:jc w:val="center"/>
        <w:rPr>
          <w:rFonts w:ascii="方正小标宋简体" w:eastAsia="方正小标宋简体"/>
          <w:sz w:val="36"/>
          <w:szCs w:val="36"/>
        </w:rPr>
      </w:pPr>
      <w:r>
        <w:rPr>
          <w:rFonts w:hint="eastAsia" w:ascii="方正小标宋简体" w:eastAsia="方正小标宋简体"/>
          <w:sz w:val="36"/>
          <w:szCs w:val="36"/>
        </w:rPr>
        <w:t>项目支出绩效评价报告</w:t>
      </w:r>
    </w:p>
    <w:p>
      <w:pPr>
        <w:jc w:val="both"/>
        <w:rPr>
          <w:rFonts w:ascii="仿宋_GB2312" w:eastAsia="仿宋_GB2312"/>
          <w:sz w:val="32"/>
          <w:szCs w:val="32"/>
        </w:rPr>
      </w:pPr>
    </w:p>
    <w:p>
      <w:pPr>
        <w:pStyle w:val="3"/>
        <w:autoSpaceDE w:val="0"/>
        <w:autoSpaceDN w:val="0"/>
        <w:adjustRightInd w:val="0"/>
        <w:ind w:left="0" w:leftChars="0" w:firstLine="0" w:firstLineChars="0"/>
        <w:rPr>
          <w:rFonts w:hint="eastAsia" w:ascii="黑体" w:eastAsia="黑体"/>
          <w:b w:val="0"/>
          <w:bCs/>
          <w:kern w:val="0"/>
          <w:lang w:val="zh-CN" w:eastAsia="zh-CN"/>
          <w14:shadow w14:blurRad="50800" w14:dist="38100" w14:dir="2700000" w14:sx="100000" w14:sy="100000" w14:kx="0" w14:ky="0" w14:algn="tl">
            <w14:srgbClr w14:val="000000">
              <w14:alpha w14:val="60000"/>
            </w14:srgbClr>
          </w14:shadow>
        </w:rPr>
      </w:pPr>
      <w:r>
        <w:rPr>
          <w:rFonts w:hint="eastAsia" w:ascii="黑体" w:eastAsia="黑体"/>
          <w:b w:val="0"/>
          <w:bCs/>
          <w:kern w:val="0"/>
          <w:lang w:val="zh-CN"/>
          <w14:shadow w14:blurRad="50800" w14:dist="38100" w14:dir="2700000" w14:sx="100000" w14:sy="100000" w14:kx="0" w14:ky="0" w14:algn="tl">
            <w14:srgbClr w14:val="000000">
              <w14:alpha w14:val="60000"/>
            </w14:srgbClr>
          </w14:shadow>
        </w:rPr>
        <w:t>一、</w:t>
      </w:r>
      <w:r>
        <w:rPr>
          <w:rFonts w:hint="eastAsia" w:ascii="黑体" w:eastAsia="黑体"/>
          <w:b w:val="0"/>
          <w:bCs/>
          <w:kern w:val="0"/>
          <w:lang w:val="en-US" w:eastAsia="zh-CN"/>
          <w14:shadow w14:blurRad="50800" w14:dist="38100" w14:dir="2700000" w14:sx="100000" w14:sy="100000" w14:kx="0" w14:ky="0" w14:algn="tl">
            <w14:srgbClr w14:val="000000">
              <w14:alpha w14:val="60000"/>
            </w14:srgbClr>
          </w14:shadow>
        </w:rPr>
        <w:t>基本情况</w:t>
      </w:r>
    </w:p>
    <w:p>
      <w:pPr>
        <w:pStyle w:val="3"/>
        <w:autoSpaceDE w:val="0"/>
        <w:autoSpaceDN w:val="0"/>
        <w:adjustRightInd w:val="0"/>
        <w:ind w:left="643" w:firstLine="0" w:firstLineChars="0"/>
        <w:rPr>
          <w:rFonts w:ascii="仿宋_GB2312" w:hAnsi="Arial" w:eastAsia="仿宋_GB2312"/>
          <w:bCs/>
          <w14:shadow w14:blurRad="50800" w14:dist="38100" w14:dir="2700000" w14:sx="100000" w14:sy="100000" w14:kx="0" w14:ky="0" w14:algn="tl">
            <w14:srgbClr w14:val="000000">
              <w14:alpha w14:val="60000"/>
            </w14:srgbClr>
          </w14:shadow>
        </w:rPr>
      </w:pPr>
      <w:r>
        <w:rPr>
          <w:rFonts w:hint="eastAsia" w:ascii="仿宋_GB2312" w:hAnsi="Arial" w:eastAsia="仿宋_GB2312"/>
          <w:bCs/>
          <w14:shadow w14:blurRad="50800" w14:dist="38100" w14:dir="2700000" w14:sx="100000" w14:sy="100000" w14:kx="0" w14:ky="0" w14:algn="tl">
            <w14:srgbClr w14:val="000000">
              <w14:alpha w14:val="60000"/>
            </w14:srgbClr>
          </w14:shadow>
        </w:rPr>
        <w:t>（一）项目</w:t>
      </w:r>
      <w:r>
        <w:rPr>
          <w:rFonts w:hint="eastAsia" w:ascii="仿宋_GB2312" w:hAnsi="Arial" w:eastAsia="仿宋_GB2312"/>
          <w:bCs/>
          <w:lang w:val="en-US" w:eastAsia="zh-CN"/>
          <w14:shadow w14:blurRad="50800" w14:dist="38100" w14:dir="2700000" w14:sx="100000" w14:sy="100000" w14:kx="0" w14:ky="0" w14:algn="tl">
            <w14:srgbClr w14:val="000000">
              <w14:alpha w14:val="60000"/>
            </w14:srgbClr>
          </w14:shadow>
        </w:rPr>
        <w:t>概</w:t>
      </w:r>
      <w:r>
        <w:rPr>
          <w:rFonts w:hint="eastAsia" w:ascii="仿宋_GB2312" w:hAnsi="Arial" w:eastAsia="仿宋_GB2312"/>
          <w:bCs/>
          <w14:shadow w14:blurRad="50800" w14:dist="38100" w14:dir="2700000" w14:sx="100000" w14:sy="100000" w14:kx="0" w14:ky="0" w14:algn="tl">
            <w14:srgbClr w14:val="000000">
              <w14:alpha w14:val="60000"/>
            </w14:srgbClr>
          </w14:shadow>
        </w:rPr>
        <w:t>况</w:t>
      </w:r>
    </w:p>
    <w:p>
      <w:pPr>
        <w:spacing w:line="360" w:lineRule="auto"/>
        <w:ind w:firstLine="640" w:firstLineChars="200"/>
        <w:rPr>
          <w:rFonts w:ascii="仿宋_GB2312" w:hAnsi="宋体" w:eastAsia="仿宋_GB2312" w:cs="Times New Roman"/>
          <w:color w:val="000000"/>
          <w:sz w:val="32"/>
          <w:szCs w:val="32"/>
        </w:rPr>
      </w:pPr>
      <w:r>
        <w:rPr>
          <w:rFonts w:hint="eastAsia" w:ascii="仿宋_GB2312" w:hAnsi="宋体" w:eastAsia="仿宋_GB2312" w:cs="Times New Roman"/>
          <w:color w:val="000000"/>
          <w:sz w:val="32"/>
          <w:szCs w:val="32"/>
        </w:rPr>
        <w:t>1、项目立项背景</w:t>
      </w:r>
    </w:p>
    <w:p>
      <w:pPr>
        <w:spacing w:line="360" w:lineRule="auto"/>
        <w:ind w:firstLine="640" w:firstLineChars="200"/>
        <w:rPr>
          <w:rFonts w:ascii="仿宋_GB2312" w:hAnsi="宋体" w:eastAsia="仿宋_GB2312" w:cs="Times New Roman"/>
          <w:color w:val="000000"/>
          <w:sz w:val="32"/>
          <w:szCs w:val="32"/>
        </w:rPr>
      </w:pPr>
      <w:r>
        <w:rPr>
          <w:rFonts w:hint="eastAsia" w:ascii="仿宋_GB2312" w:hAnsi="宋体" w:eastAsia="仿宋_GB2312" w:cs="Times New Roman"/>
          <w:color w:val="000000"/>
          <w:sz w:val="32"/>
          <w:szCs w:val="32"/>
          <w:lang w:eastAsia="zh-CN"/>
        </w:rPr>
        <w:t>村级</w:t>
      </w:r>
      <w:r>
        <w:rPr>
          <w:rFonts w:hint="eastAsia" w:ascii="仿宋_GB2312" w:hAnsi="宋体" w:eastAsia="仿宋_GB2312" w:cs="Times New Roman"/>
          <w:color w:val="000000"/>
          <w:sz w:val="32"/>
          <w:szCs w:val="32"/>
        </w:rPr>
        <w:t>公益金是公益事业发展基金，</w:t>
      </w:r>
      <w:r>
        <w:rPr>
          <w:rFonts w:hint="eastAsia" w:ascii="仿宋_GB2312" w:hAnsi="宋体" w:eastAsia="仿宋_GB2312" w:cs="Times New Roman"/>
          <w:color w:val="000000"/>
          <w:sz w:val="32"/>
          <w:szCs w:val="32"/>
          <w:lang w:eastAsia="zh-CN"/>
        </w:rPr>
        <w:t>每村公益事业金补助金额为基数补助、山区倾斜补助和按人口分配资金三项之和</w:t>
      </w:r>
      <w:r>
        <w:rPr>
          <w:rFonts w:hint="eastAsia" w:ascii="仿宋_GB2312" w:hAnsi="宋体" w:eastAsia="仿宋_GB2312" w:cs="Times New Roman"/>
          <w:color w:val="000000"/>
          <w:sz w:val="32"/>
          <w:szCs w:val="32"/>
        </w:rPr>
        <w:t>,用于</w:t>
      </w:r>
      <w:r>
        <w:rPr>
          <w:rFonts w:hint="eastAsia" w:ascii="仿宋_GB2312" w:hAnsi="宋体" w:eastAsia="仿宋_GB2312" w:cs="Times New Roman"/>
          <w:color w:val="000000"/>
          <w:sz w:val="32"/>
          <w:szCs w:val="32"/>
          <w:lang w:eastAsia="zh-CN"/>
        </w:rPr>
        <w:t>改善人居环境</w:t>
      </w:r>
      <w:r>
        <w:rPr>
          <w:rFonts w:hint="eastAsia" w:ascii="仿宋_GB2312" w:hAnsi="宋体" w:eastAsia="仿宋_GB2312" w:cs="Times New Roman"/>
          <w:color w:val="000000"/>
          <w:sz w:val="32"/>
          <w:szCs w:val="32"/>
        </w:rPr>
        <w:t>，</w:t>
      </w:r>
      <w:r>
        <w:rPr>
          <w:rFonts w:hint="eastAsia" w:ascii="仿宋_GB2312" w:hAnsi="宋体" w:eastAsia="仿宋_GB2312" w:cs="Times New Roman"/>
          <w:color w:val="000000"/>
          <w:sz w:val="32"/>
          <w:szCs w:val="32"/>
          <w:lang w:eastAsia="zh-CN"/>
        </w:rPr>
        <w:t>加强农村社会管理，发展农村社会事业</w:t>
      </w:r>
      <w:r>
        <w:rPr>
          <w:rFonts w:hint="eastAsia" w:ascii="仿宋_GB2312" w:hAnsi="宋体" w:eastAsia="仿宋_GB2312" w:cs="Times New Roman"/>
          <w:color w:val="000000"/>
          <w:sz w:val="32"/>
          <w:szCs w:val="32"/>
        </w:rPr>
        <w:t>。依据《</w:t>
      </w:r>
      <w:r>
        <w:rPr>
          <w:rFonts w:hint="eastAsia" w:ascii="仿宋_GB2312" w:hAnsi="宋体" w:eastAsia="仿宋_GB2312" w:cs="Times New Roman"/>
          <w:color w:val="000000"/>
          <w:sz w:val="32"/>
          <w:szCs w:val="32"/>
          <w:lang w:eastAsia="zh-CN"/>
        </w:rPr>
        <w:t>密云县村级</w:t>
      </w:r>
      <w:r>
        <w:rPr>
          <w:rFonts w:hint="eastAsia" w:ascii="仿宋_GB2312" w:hAnsi="宋体" w:eastAsia="仿宋_GB2312" w:cs="Times New Roman"/>
          <w:color w:val="000000"/>
          <w:sz w:val="32"/>
          <w:szCs w:val="32"/>
        </w:rPr>
        <w:t>公益事业专项补助资金管理办法》（</w:t>
      </w:r>
      <w:r>
        <w:rPr>
          <w:rFonts w:hint="eastAsia" w:ascii="仿宋_GB2312" w:hAnsi="宋体" w:eastAsia="仿宋_GB2312" w:cs="Times New Roman"/>
          <w:color w:val="000000"/>
          <w:sz w:val="32"/>
          <w:szCs w:val="32"/>
          <w:lang w:eastAsia="zh-CN"/>
        </w:rPr>
        <w:t>密政发</w:t>
      </w:r>
      <w:r>
        <w:rPr>
          <w:rFonts w:hint="eastAsia" w:ascii="仿宋_GB2312" w:hAnsi="宋体" w:eastAsia="仿宋_GB2312" w:cs="Times New Roman"/>
          <w:color w:val="000000"/>
          <w:sz w:val="32"/>
          <w:szCs w:val="32"/>
        </w:rPr>
        <w:t>[20</w:t>
      </w:r>
      <w:r>
        <w:rPr>
          <w:rFonts w:hint="eastAsia" w:ascii="仿宋_GB2312" w:hAnsi="宋体" w:eastAsia="仿宋_GB2312" w:cs="Times New Roman"/>
          <w:color w:val="000000"/>
          <w:sz w:val="32"/>
          <w:szCs w:val="32"/>
          <w:lang w:val="en-US" w:eastAsia="zh-CN"/>
        </w:rPr>
        <w:t>14</w:t>
      </w:r>
      <w:r>
        <w:rPr>
          <w:rFonts w:hint="eastAsia" w:ascii="仿宋_GB2312" w:hAnsi="宋体" w:eastAsia="仿宋_GB2312" w:cs="Times New Roman"/>
          <w:color w:val="000000"/>
          <w:sz w:val="32"/>
          <w:szCs w:val="32"/>
        </w:rPr>
        <w:t>]</w:t>
      </w:r>
      <w:r>
        <w:rPr>
          <w:rFonts w:hint="eastAsia" w:ascii="仿宋_GB2312" w:hAnsi="宋体" w:eastAsia="仿宋_GB2312" w:cs="Times New Roman"/>
          <w:color w:val="000000"/>
          <w:sz w:val="32"/>
          <w:szCs w:val="32"/>
          <w:lang w:val="en-US" w:eastAsia="zh-CN"/>
        </w:rPr>
        <w:t>25</w:t>
      </w:r>
      <w:r>
        <w:rPr>
          <w:rFonts w:hint="eastAsia" w:ascii="仿宋_GB2312" w:hAnsi="宋体" w:eastAsia="仿宋_GB2312" w:cs="Times New Roman"/>
          <w:color w:val="000000"/>
          <w:sz w:val="32"/>
          <w:szCs w:val="32"/>
        </w:rPr>
        <w:t>号）文件进行立项。</w:t>
      </w:r>
    </w:p>
    <w:p>
      <w:pPr>
        <w:spacing w:line="360" w:lineRule="auto"/>
        <w:ind w:firstLine="640" w:firstLineChars="200"/>
        <w:rPr>
          <w:rFonts w:ascii="仿宋_GB2312" w:hAnsi="宋体" w:eastAsia="仿宋_GB2312" w:cs="Times New Roman"/>
          <w:color w:val="000000"/>
          <w:sz w:val="32"/>
          <w:szCs w:val="32"/>
        </w:rPr>
      </w:pPr>
      <w:r>
        <w:rPr>
          <w:rFonts w:hint="eastAsia" w:ascii="仿宋_GB2312" w:hAnsi="宋体" w:eastAsia="仿宋_GB2312" w:cs="Times New Roman"/>
          <w:color w:val="000000"/>
          <w:sz w:val="32"/>
          <w:szCs w:val="32"/>
        </w:rPr>
        <w:t>该项目为政策性项目，依据北京市及</w:t>
      </w:r>
      <w:r>
        <w:rPr>
          <w:rFonts w:hint="eastAsia" w:ascii="仿宋_GB2312" w:hAnsi="宋体" w:eastAsia="仿宋_GB2312" w:cs="Times New Roman"/>
          <w:color w:val="000000"/>
          <w:sz w:val="32"/>
          <w:szCs w:val="32"/>
          <w:lang w:eastAsia="zh-CN"/>
        </w:rPr>
        <w:t>密云</w:t>
      </w:r>
      <w:r>
        <w:rPr>
          <w:rFonts w:hint="eastAsia" w:ascii="仿宋_GB2312" w:hAnsi="宋体" w:eastAsia="仿宋_GB2312" w:cs="Times New Roman"/>
          <w:color w:val="000000"/>
          <w:sz w:val="32"/>
          <w:szCs w:val="32"/>
        </w:rPr>
        <w:t>区相关要求进行立项。</w:t>
      </w:r>
    </w:p>
    <w:p>
      <w:pPr>
        <w:spacing w:line="360" w:lineRule="auto"/>
        <w:ind w:firstLine="640" w:firstLineChars="200"/>
        <w:rPr>
          <w:rFonts w:ascii="仿宋_GB2312" w:hAnsi="宋体" w:eastAsia="仿宋_GB2312" w:cs="Times New Roman"/>
          <w:color w:val="000000"/>
          <w:sz w:val="32"/>
          <w:szCs w:val="32"/>
        </w:rPr>
      </w:pPr>
      <w:r>
        <w:rPr>
          <w:rFonts w:hint="eastAsia" w:ascii="仿宋_GB2312" w:hAnsi="宋体" w:eastAsia="仿宋_GB2312" w:cs="Times New Roman"/>
          <w:color w:val="000000"/>
          <w:sz w:val="32"/>
          <w:szCs w:val="32"/>
          <w:lang w:val="en-US" w:eastAsia="zh-CN"/>
        </w:rPr>
        <w:t>2、主要内容及实施情况</w:t>
      </w:r>
    </w:p>
    <w:p>
      <w:pPr>
        <w:spacing w:line="360" w:lineRule="auto"/>
        <w:ind w:firstLine="640" w:firstLineChars="200"/>
        <w:rPr>
          <w:rFonts w:hint="eastAsia" w:ascii="仿宋_GB2312" w:hAnsi="宋体" w:eastAsia="仿宋_GB2312" w:cs="Times New Roman"/>
          <w:b w:val="0"/>
          <w:bCs w:val="0"/>
          <w:color w:val="000000"/>
          <w:sz w:val="32"/>
          <w:szCs w:val="32"/>
        </w:rPr>
      </w:pPr>
      <w:r>
        <w:rPr>
          <w:rFonts w:hint="eastAsia" w:ascii="仿宋_GB2312" w:hAnsi="宋体" w:eastAsia="仿宋_GB2312" w:cs="Times New Roman"/>
          <w:color w:val="000000"/>
          <w:sz w:val="32"/>
          <w:szCs w:val="32"/>
          <w:lang w:eastAsia="zh-CN"/>
        </w:rPr>
        <w:t>村级</w:t>
      </w:r>
      <w:r>
        <w:rPr>
          <w:rFonts w:hint="eastAsia" w:ascii="仿宋_GB2312" w:hAnsi="宋体" w:eastAsia="仿宋_GB2312" w:cs="Times New Roman"/>
          <w:color w:val="000000"/>
          <w:sz w:val="32"/>
          <w:szCs w:val="32"/>
        </w:rPr>
        <w:t>公益</w:t>
      </w:r>
      <w:r>
        <w:rPr>
          <w:rFonts w:hint="eastAsia" w:ascii="仿宋_GB2312" w:hAnsi="宋体" w:eastAsia="仿宋_GB2312" w:cs="Times New Roman"/>
          <w:color w:val="000000"/>
          <w:sz w:val="32"/>
          <w:szCs w:val="32"/>
          <w:lang w:eastAsia="zh-CN"/>
        </w:rPr>
        <w:t>事业</w:t>
      </w:r>
      <w:r>
        <w:rPr>
          <w:rFonts w:hint="eastAsia" w:ascii="仿宋_GB2312" w:hAnsi="宋体" w:eastAsia="仿宋_GB2312" w:cs="Times New Roman"/>
          <w:color w:val="000000"/>
          <w:sz w:val="32"/>
          <w:szCs w:val="32"/>
        </w:rPr>
        <w:t>金主要用于</w:t>
      </w:r>
      <w:r>
        <w:rPr>
          <w:rFonts w:hint="eastAsia" w:ascii="仿宋_GB2312" w:hAnsi="宋体" w:eastAsia="仿宋_GB2312" w:cs="Times New Roman"/>
          <w:color w:val="000000"/>
          <w:sz w:val="32"/>
          <w:szCs w:val="32"/>
          <w:lang w:eastAsia="zh-CN"/>
        </w:rPr>
        <w:t>村级污水电费，安装护栏、维修管道、清扫卫生、垃圾清运、安保执勤，维修管道，路灯维修，村级零星用工，清扫工具等公益事业，</w:t>
      </w:r>
      <w:r>
        <w:rPr>
          <w:rFonts w:hint="eastAsia" w:ascii="仿宋_GB2312" w:hAnsi="宋体" w:eastAsia="仿宋_GB2312" w:cs="Times New Roman"/>
          <w:b w:val="0"/>
          <w:bCs w:val="0"/>
          <w:color w:val="000000"/>
          <w:sz w:val="32"/>
          <w:szCs w:val="32"/>
        </w:rPr>
        <w:t>以支持</w:t>
      </w:r>
      <w:r>
        <w:rPr>
          <w:rFonts w:hint="eastAsia" w:ascii="仿宋_GB2312" w:hAnsi="宋体" w:eastAsia="仿宋_GB2312" w:cs="Times New Roman"/>
          <w:b w:val="0"/>
          <w:bCs w:val="0"/>
          <w:color w:val="000000"/>
          <w:sz w:val="32"/>
          <w:szCs w:val="32"/>
          <w:lang w:eastAsia="zh-CN"/>
        </w:rPr>
        <w:t>村级</w:t>
      </w:r>
      <w:r>
        <w:rPr>
          <w:rFonts w:hint="eastAsia" w:ascii="仿宋_GB2312" w:hAnsi="宋体" w:eastAsia="仿宋_GB2312" w:cs="Times New Roman"/>
          <w:b w:val="0"/>
          <w:bCs w:val="0"/>
          <w:color w:val="000000"/>
          <w:sz w:val="32"/>
          <w:szCs w:val="32"/>
        </w:rPr>
        <w:t>建设，</w:t>
      </w:r>
      <w:r>
        <w:rPr>
          <w:rFonts w:hint="eastAsia" w:ascii="仿宋_GB2312" w:hAnsi="宋体" w:eastAsia="仿宋_GB2312" w:cs="Times New Roman"/>
          <w:b w:val="0"/>
          <w:bCs w:val="0"/>
          <w:color w:val="000000"/>
          <w:sz w:val="32"/>
          <w:szCs w:val="32"/>
          <w:lang w:eastAsia="zh-CN"/>
        </w:rPr>
        <w:t>提高村民生活及居住环境质量，</w:t>
      </w:r>
      <w:r>
        <w:rPr>
          <w:rFonts w:hint="eastAsia" w:ascii="仿宋_GB2312" w:hAnsi="宋体" w:eastAsia="仿宋_GB2312" w:cs="Times New Roman"/>
          <w:b w:val="0"/>
          <w:bCs w:val="0"/>
          <w:color w:val="000000"/>
          <w:sz w:val="32"/>
          <w:szCs w:val="32"/>
        </w:rPr>
        <w:t>促进</w:t>
      </w:r>
      <w:r>
        <w:rPr>
          <w:rFonts w:hint="eastAsia" w:ascii="仿宋_GB2312" w:hAnsi="宋体" w:eastAsia="仿宋_GB2312" w:cs="Times New Roman"/>
          <w:b w:val="0"/>
          <w:bCs w:val="0"/>
          <w:color w:val="000000"/>
          <w:sz w:val="32"/>
          <w:szCs w:val="32"/>
          <w:lang w:eastAsia="zh-CN"/>
        </w:rPr>
        <w:t>社会</w:t>
      </w:r>
      <w:r>
        <w:rPr>
          <w:rFonts w:hint="eastAsia" w:ascii="仿宋_GB2312" w:hAnsi="宋体" w:eastAsia="仿宋_GB2312" w:cs="Times New Roman"/>
          <w:b w:val="0"/>
          <w:bCs w:val="0"/>
          <w:color w:val="000000"/>
          <w:sz w:val="32"/>
          <w:szCs w:val="32"/>
        </w:rPr>
        <w:t>和谐稳定发展。</w:t>
      </w:r>
    </w:p>
    <w:p>
      <w:pPr>
        <w:spacing w:line="360" w:lineRule="auto"/>
        <w:ind w:firstLine="640" w:firstLineChars="200"/>
        <w:rPr>
          <w:rFonts w:ascii="仿宋_GB2312" w:hAnsi="宋体" w:eastAsia="仿宋_GB2312" w:cs="Times New Roman"/>
          <w:b/>
          <w:bCs/>
          <w:color w:val="000000"/>
          <w:sz w:val="32"/>
          <w:szCs w:val="32"/>
        </w:rPr>
      </w:pPr>
      <w:r>
        <w:rPr>
          <w:rFonts w:hint="eastAsia" w:ascii="仿宋_GB2312" w:hAnsi="宋体" w:eastAsia="仿宋_GB2312" w:cs="Times New Roman"/>
          <w:b w:val="0"/>
          <w:bCs w:val="0"/>
          <w:color w:val="000000"/>
          <w:sz w:val="32"/>
          <w:szCs w:val="32"/>
          <w:lang w:val="en-US" w:eastAsia="zh-CN"/>
        </w:rPr>
        <w:t>3、资金投入和使用情况</w:t>
      </w:r>
      <w:r>
        <w:rPr>
          <w:rFonts w:hint="eastAsia" w:ascii="仿宋_GB2312" w:hAnsi="宋体" w:eastAsia="仿宋_GB2312" w:cs="Times New Roman"/>
          <w:b/>
          <w:bCs/>
          <w:color w:val="000000"/>
          <w:sz w:val="32"/>
          <w:szCs w:val="32"/>
        </w:rPr>
        <w:t xml:space="preserve"> </w:t>
      </w:r>
    </w:p>
    <w:p>
      <w:pPr>
        <w:spacing w:line="360" w:lineRule="auto"/>
        <w:ind w:firstLine="640" w:firstLineChars="200"/>
        <w:rPr>
          <w:rFonts w:ascii="仿宋_GB2312" w:hAnsi="宋体" w:eastAsia="仿宋_GB2312" w:cs="Times New Roman"/>
          <w:color w:val="000000"/>
          <w:sz w:val="32"/>
          <w:szCs w:val="32"/>
        </w:rPr>
      </w:pPr>
      <w:r>
        <w:rPr>
          <w:rFonts w:hint="eastAsia" w:ascii="仿宋_GB2312" w:hAnsi="宋体" w:eastAsia="仿宋_GB2312" w:cs="Times New Roman"/>
          <w:color w:val="000000"/>
          <w:sz w:val="32"/>
          <w:szCs w:val="32"/>
        </w:rPr>
        <w:t>项目总体预算资金</w:t>
      </w:r>
      <w:r>
        <w:rPr>
          <w:rFonts w:hint="eastAsia" w:ascii="仿宋_GB2312" w:hAnsi="宋体" w:eastAsia="仿宋_GB2312" w:cs="Times New Roman"/>
          <w:color w:val="000000"/>
          <w:sz w:val="32"/>
          <w:szCs w:val="32"/>
          <w:lang w:val="en-US" w:eastAsia="zh-CN"/>
        </w:rPr>
        <w:t>912.56</w:t>
      </w:r>
      <w:r>
        <w:rPr>
          <w:rFonts w:hint="eastAsia" w:ascii="仿宋_GB2312" w:hAnsi="宋体" w:eastAsia="仿宋_GB2312" w:cs="Times New Roman"/>
          <w:color w:val="000000"/>
          <w:sz w:val="32"/>
          <w:szCs w:val="32"/>
        </w:rPr>
        <w:t>万元，全部为财政资金</w:t>
      </w:r>
      <w:r>
        <w:rPr>
          <w:rFonts w:hint="eastAsia" w:ascii="仿宋_GB2312" w:hAnsi="宋体" w:eastAsia="仿宋_GB2312" w:cs="Times New Roman"/>
          <w:color w:val="000000"/>
          <w:sz w:val="32"/>
          <w:szCs w:val="32"/>
          <w:lang w:eastAsia="zh-CN"/>
        </w:rPr>
        <w:t>，</w:t>
      </w:r>
      <w:r>
        <w:rPr>
          <w:rFonts w:hint="eastAsia" w:ascii="仿宋_GB2312" w:hAnsi="宋体" w:eastAsia="仿宋_GB2312" w:cs="Times New Roman"/>
          <w:color w:val="000000"/>
          <w:sz w:val="32"/>
          <w:szCs w:val="32"/>
          <w:lang w:val="en-US" w:eastAsia="zh-CN"/>
        </w:rPr>
        <w:t>已全部拨付到我镇34个村的村级账户</w:t>
      </w:r>
      <w:r>
        <w:rPr>
          <w:rFonts w:hint="eastAsia" w:ascii="仿宋_GB2312" w:hAnsi="宋体" w:eastAsia="仿宋_GB2312" w:cs="Times New Roman"/>
          <w:color w:val="000000"/>
          <w:sz w:val="32"/>
          <w:szCs w:val="32"/>
        </w:rPr>
        <w:t>。</w:t>
      </w:r>
    </w:p>
    <w:p>
      <w:pPr>
        <w:pStyle w:val="3"/>
        <w:autoSpaceDE w:val="0"/>
        <w:autoSpaceDN w:val="0"/>
        <w:adjustRightInd w:val="0"/>
        <w:ind w:left="643" w:firstLine="0" w:firstLineChars="0"/>
        <w:rPr>
          <w:rFonts w:ascii="仿宋_GB2312" w:hAnsi="Arial" w:eastAsia="仿宋_GB2312"/>
          <w:bCs/>
          <w14:shadow w14:blurRad="50800" w14:dist="38100" w14:dir="2700000" w14:sx="100000" w14:sy="100000" w14:kx="0" w14:ky="0" w14:algn="tl">
            <w14:srgbClr w14:val="000000">
              <w14:alpha w14:val="60000"/>
            </w14:srgbClr>
          </w14:shadow>
        </w:rPr>
      </w:pPr>
      <w:r>
        <w:rPr>
          <w:rFonts w:hint="eastAsia" w:ascii="仿宋_GB2312" w:hAnsi="Arial" w:eastAsia="仿宋_GB2312"/>
          <w:bCs/>
          <w14:shadow w14:blurRad="50800" w14:dist="38100" w14:dir="2700000" w14:sx="100000" w14:sy="100000" w14:kx="0" w14:ky="0" w14:algn="tl">
            <w14:srgbClr w14:val="000000">
              <w14:alpha w14:val="60000"/>
            </w14:srgbClr>
          </w14:shadow>
        </w:rPr>
        <w:t>（二）项目绩效目标</w:t>
      </w:r>
    </w:p>
    <w:p>
      <w:pPr>
        <w:spacing w:line="360" w:lineRule="auto"/>
        <w:ind w:firstLine="640" w:firstLineChars="200"/>
        <w:rPr>
          <w:rFonts w:ascii="仿宋_GB2312" w:hAnsi="宋体" w:eastAsia="仿宋_GB2312" w:cs="Times New Roman"/>
          <w:color w:val="000000"/>
          <w:sz w:val="32"/>
          <w:szCs w:val="32"/>
        </w:rPr>
      </w:pPr>
      <w:r>
        <w:rPr>
          <w:rFonts w:hint="eastAsia" w:ascii="仿宋_GB2312" w:hAnsi="宋体" w:eastAsia="仿宋_GB2312" w:cs="Times New Roman"/>
          <w:color w:val="000000"/>
          <w:sz w:val="32"/>
          <w:szCs w:val="32"/>
        </w:rPr>
        <w:t>1、</w:t>
      </w:r>
      <w:r>
        <w:rPr>
          <w:rFonts w:hint="eastAsia" w:ascii="仿宋_GB2312" w:hAnsi="宋体" w:eastAsia="仿宋_GB2312" w:cs="Times New Roman"/>
          <w:color w:val="000000"/>
          <w:sz w:val="32"/>
          <w:szCs w:val="32"/>
          <w:lang w:val="en-US" w:eastAsia="zh-CN"/>
        </w:rPr>
        <w:t>总体</w:t>
      </w:r>
      <w:r>
        <w:rPr>
          <w:rFonts w:hint="eastAsia" w:ascii="仿宋_GB2312" w:hAnsi="宋体" w:eastAsia="仿宋_GB2312" w:cs="Times New Roman"/>
          <w:color w:val="000000"/>
          <w:sz w:val="32"/>
          <w:szCs w:val="32"/>
        </w:rPr>
        <w:t>目标</w:t>
      </w:r>
    </w:p>
    <w:p>
      <w:pPr>
        <w:spacing w:line="360" w:lineRule="auto"/>
        <w:ind w:firstLine="640" w:firstLineChars="200"/>
        <w:rPr>
          <w:rFonts w:ascii="仿宋_GB2312" w:hAnsi="宋体" w:eastAsia="仿宋_GB2312" w:cs="Times New Roman"/>
          <w:color w:val="000000"/>
          <w:sz w:val="32"/>
          <w:szCs w:val="32"/>
        </w:rPr>
      </w:pPr>
      <w:r>
        <w:rPr>
          <w:rFonts w:hint="eastAsia" w:ascii="仿宋_GB2312" w:hAnsi="宋体" w:eastAsia="仿宋_GB2312" w:cs="Times New Roman"/>
          <w:color w:val="000000"/>
          <w:sz w:val="32"/>
          <w:szCs w:val="32"/>
        </w:rPr>
        <w:t>通过规范</w:t>
      </w:r>
      <w:r>
        <w:rPr>
          <w:rFonts w:hint="eastAsia" w:ascii="仿宋_GB2312" w:hAnsi="宋体" w:eastAsia="仿宋_GB2312" w:cs="Times New Roman"/>
          <w:color w:val="000000"/>
          <w:sz w:val="32"/>
          <w:szCs w:val="32"/>
          <w:lang w:eastAsia="zh-CN"/>
        </w:rPr>
        <w:t>村级</w:t>
      </w:r>
      <w:r>
        <w:rPr>
          <w:rFonts w:hint="eastAsia" w:ascii="仿宋_GB2312" w:hAnsi="宋体" w:eastAsia="仿宋_GB2312" w:cs="Times New Roman"/>
          <w:color w:val="000000"/>
          <w:sz w:val="32"/>
          <w:szCs w:val="32"/>
        </w:rPr>
        <w:t>公益金的使用，明确</w:t>
      </w:r>
      <w:r>
        <w:rPr>
          <w:rFonts w:hint="eastAsia" w:ascii="仿宋_GB2312" w:hAnsi="宋体" w:eastAsia="仿宋_GB2312" w:cs="Times New Roman"/>
          <w:color w:val="000000"/>
          <w:sz w:val="32"/>
          <w:szCs w:val="32"/>
          <w:lang w:eastAsia="zh-CN"/>
        </w:rPr>
        <w:t>公益事业</w:t>
      </w:r>
      <w:r>
        <w:rPr>
          <w:rFonts w:hint="eastAsia" w:ascii="仿宋_GB2312" w:hAnsi="宋体" w:eastAsia="仿宋_GB2312" w:cs="Times New Roman"/>
          <w:color w:val="000000"/>
          <w:sz w:val="32"/>
          <w:szCs w:val="32"/>
        </w:rPr>
        <w:t>金使用目的，实现</w:t>
      </w:r>
      <w:r>
        <w:rPr>
          <w:rFonts w:hint="eastAsia" w:ascii="仿宋_GB2312" w:hAnsi="宋体" w:eastAsia="仿宋_GB2312" w:cs="Times New Roman"/>
          <w:color w:val="000000"/>
          <w:sz w:val="32"/>
          <w:szCs w:val="32"/>
          <w:lang w:eastAsia="zh-CN"/>
        </w:rPr>
        <w:t>村级</w:t>
      </w:r>
      <w:r>
        <w:rPr>
          <w:rFonts w:hint="eastAsia" w:ascii="仿宋_GB2312" w:hAnsi="宋体" w:eastAsia="仿宋_GB2312" w:cs="Times New Roman"/>
          <w:color w:val="000000"/>
          <w:sz w:val="32"/>
          <w:szCs w:val="32"/>
        </w:rPr>
        <w:t>公益金科学管理，充分发挥</w:t>
      </w:r>
      <w:r>
        <w:rPr>
          <w:rFonts w:hint="eastAsia" w:ascii="仿宋_GB2312" w:hAnsi="宋体" w:eastAsia="仿宋_GB2312" w:cs="Times New Roman"/>
          <w:color w:val="000000"/>
          <w:sz w:val="32"/>
          <w:szCs w:val="32"/>
          <w:lang w:eastAsia="zh-CN"/>
        </w:rPr>
        <w:t>村级</w:t>
      </w:r>
      <w:r>
        <w:rPr>
          <w:rFonts w:hint="eastAsia" w:ascii="仿宋_GB2312" w:hAnsi="宋体" w:eastAsia="仿宋_GB2312" w:cs="Times New Roman"/>
          <w:color w:val="000000"/>
          <w:sz w:val="32"/>
          <w:szCs w:val="32"/>
        </w:rPr>
        <w:t>公益金在</w:t>
      </w:r>
      <w:r>
        <w:rPr>
          <w:rFonts w:hint="eastAsia" w:ascii="仿宋_GB2312" w:hAnsi="宋体" w:eastAsia="仿宋_GB2312" w:cs="Times New Roman"/>
          <w:color w:val="000000"/>
          <w:sz w:val="32"/>
          <w:szCs w:val="32"/>
          <w:lang w:eastAsia="zh-CN"/>
        </w:rPr>
        <w:t>村级建设中的作用</w:t>
      </w:r>
      <w:r>
        <w:rPr>
          <w:rFonts w:hint="eastAsia" w:ascii="仿宋_GB2312" w:hAnsi="宋体" w:eastAsia="仿宋_GB2312" w:cs="Times New Roman"/>
          <w:color w:val="000000"/>
          <w:sz w:val="32"/>
          <w:szCs w:val="32"/>
        </w:rPr>
        <w:t>，更好的服务于本地区政治经济文化等各项事业的发展。</w:t>
      </w:r>
    </w:p>
    <w:p>
      <w:pPr>
        <w:numPr>
          <w:ilvl w:val="0"/>
          <w:numId w:val="0"/>
        </w:numPr>
        <w:spacing w:line="360" w:lineRule="auto"/>
        <w:ind w:firstLine="640" w:firstLineChars="200"/>
        <w:rPr>
          <w:rFonts w:hint="eastAsia" w:ascii="仿宋_GB2312" w:hAnsi="宋体" w:eastAsia="仿宋_GB2312" w:cs="Times New Roman"/>
          <w:color w:val="000000"/>
          <w:sz w:val="32"/>
          <w:szCs w:val="32"/>
          <w:lang w:val="en-US" w:eastAsia="zh-CN"/>
        </w:rPr>
      </w:pPr>
      <w:r>
        <w:rPr>
          <w:rFonts w:hint="eastAsia" w:ascii="仿宋_GB2312" w:hAnsi="宋体" w:eastAsia="仿宋_GB2312" w:cs="Times New Roman"/>
          <w:color w:val="000000"/>
          <w:sz w:val="32"/>
          <w:szCs w:val="32"/>
          <w:lang w:val="en-US" w:eastAsia="zh-CN"/>
        </w:rPr>
        <w:t>2、阶段性目标</w:t>
      </w:r>
    </w:p>
    <w:p>
      <w:pPr>
        <w:numPr>
          <w:ilvl w:val="0"/>
          <w:numId w:val="0"/>
        </w:numPr>
        <w:spacing w:line="360" w:lineRule="auto"/>
        <w:ind w:firstLine="640" w:firstLineChars="200"/>
        <w:rPr>
          <w:rFonts w:hint="default" w:ascii="仿宋_GB2312" w:hAnsi="宋体" w:eastAsia="仿宋_GB2312" w:cs="Times New Roman"/>
          <w:color w:val="000000"/>
          <w:sz w:val="32"/>
          <w:szCs w:val="32"/>
          <w:lang w:val="en-US"/>
        </w:rPr>
      </w:pPr>
      <w:r>
        <w:rPr>
          <w:rFonts w:hint="eastAsia" w:ascii="仿宋_GB2312" w:hAnsi="宋体" w:eastAsia="仿宋_GB2312" w:cs="Times New Roman"/>
          <w:color w:val="000000"/>
          <w:sz w:val="32"/>
          <w:szCs w:val="32"/>
          <w:lang w:val="en-US" w:eastAsia="zh-CN"/>
        </w:rPr>
        <w:t>完成2024年度本项目的拨付使用工作，达到设定的各项绩效指标。</w:t>
      </w:r>
    </w:p>
    <w:p>
      <w:pPr>
        <w:pStyle w:val="3"/>
        <w:numPr>
          <w:ilvl w:val="0"/>
          <w:numId w:val="1"/>
        </w:numPr>
        <w:autoSpaceDE w:val="0"/>
        <w:autoSpaceDN w:val="0"/>
        <w:adjustRightInd w:val="0"/>
        <w:ind w:left="210" w:leftChars="0" w:firstLine="0" w:firstLineChars="0"/>
        <w:rPr>
          <w:rFonts w:hint="eastAsia" w:ascii="黑体" w:eastAsia="黑体"/>
          <w:b w:val="0"/>
          <w:bCs/>
          <w:kern w:val="0"/>
          <w:lang w:val="en-US" w:eastAsia="zh-CN"/>
          <w14:shadow w14:blurRad="50800" w14:dist="38100" w14:dir="2700000" w14:sx="100000" w14:sy="100000" w14:kx="0" w14:ky="0" w14:algn="tl">
            <w14:srgbClr w14:val="000000">
              <w14:alpha w14:val="60000"/>
            </w14:srgbClr>
          </w14:shadow>
        </w:rPr>
      </w:pPr>
      <w:r>
        <w:rPr>
          <w:rFonts w:hint="eastAsia" w:ascii="黑体" w:eastAsia="黑体"/>
          <w:b w:val="0"/>
          <w:bCs/>
          <w:kern w:val="0"/>
          <w:lang w:val="en-US" w:eastAsia="zh-CN"/>
          <w14:shadow w14:blurRad="50800" w14:dist="38100" w14:dir="2700000" w14:sx="100000" w14:sy="100000" w14:kx="0" w14:ky="0" w14:algn="tl">
            <w14:srgbClr w14:val="000000">
              <w14:alpha w14:val="60000"/>
            </w14:srgbClr>
          </w14:shadow>
        </w:rPr>
        <w:t>绩效评价工作开展情况</w:t>
      </w:r>
    </w:p>
    <w:p>
      <w:pPr>
        <w:numPr>
          <w:ilvl w:val="0"/>
          <w:numId w:val="2"/>
        </w:numPr>
        <w:ind w:left="-321" w:leftChars="0" w:firstLine="321" w:firstLineChars="0"/>
        <w:rPr>
          <w:rFonts w:hint="eastAsia" w:ascii="仿宋_GB2312" w:hAnsi="Arial" w:eastAsia="仿宋_GB2312" w:cs="Times New Roman"/>
          <w:b/>
          <w:bCs/>
          <w:kern w:val="44"/>
          <w:sz w:val="32"/>
          <w:szCs w:val="20"/>
          <w:lang w:val="en-US" w:eastAsia="zh-CN" w:bidi="ar-SA"/>
          <w14:shadow w14:blurRad="50800" w14:dist="38100" w14:dir="2700000" w14:sx="100000" w14:sy="100000" w14:kx="0" w14:ky="0" w14:algn="tl">
            <w14:srgbClr w14:val="000000">
              <w14:alpha w14:val="60000"/>
            </w14:srgbClr>
          </w14:shadow>
        </w:rPr>
      </w:pPr>
      <w:r>
        <w:rPr>
          <w:rFonts w:hint="eastAsia" w:ascii="仿宋_GB2312" w:hAnsi="Arial" w:eastAsia="仿宋_GB2312" w:cs="Times New Roman"/>
          <w:b/>
          <w:bCs/>
          <w:kern w:val="44"/>
          <w:sz w:val="32"/>
          <w:szCs w:val="20"/>
          <w:lang w:val="en-US" w:eastAsia="zh-CN" w:bidi="ar-SA"/>
          <w14:shadow w14:blurRad="50800" w14:dist="38100" w14:dir="2700000" w14:sx="100000" w14:sy="100000" w14:kx="0" w14:ky="0" w14:algn="tl">
            <w14:srgbClr w14:val="000000">
              <w14:alpha w14:val="60000"/>
            </w14:srgbClr>
          </w14:shadow>
        </w:rPr>
        <w:t>绩效评价目的、对象和范围</w:t>
      </w:r>
    </w:p>
    <w:p>
      <w:pPr>
        <w:numPr>
          <w:ilvl w:val="0"/>
          <w:numId w:val="0"/>
        </w:numPr>
        <w:rPr>
          <w:rFonts w:hint="default" w:ascii="仿宋_GB2312" w:hAnsi="Arial" w:eastAsia="仿宋_GB2312" w:cs="Times New Roman"/>
          <w:b w:val="0"/>
          <w:bCs w:val="0"/>
          <w:kern w:val="44"/>
          <w:sz w:val="32"/>
          <w:szCs w:val="20"/>
          <w:lang w:val="en-US" w:eastAsia="zh-CN" w:bidi="ar-SA"/>
          <w14:shadow w14:blurRad="50800" w14:dist="38100" w14:dir="2700000" w14:sx="100000" w14:sy="100000" w14:kx="0" w14:ky="0" w14:algn="tl">
            <w14:srgbClr w14:val="000000">
              <w14:alpha w14:val="60000"/>
            </w14:srgbClr>
          </w14:shadow>
        </w:rPr>
      </w:pPr>
      <w:r>
        <w:rPr>
          <w:rFonts w:hint="eastAsia" w:ascii="仿宋_GB2312" w:hAnsi="Arial" w:eastAsia="仿宋_GB2312" w:cs="Times New Roman"/>
          <w:b w:val="0"/>
          <w:bCs w:val="0"/>
          <w:kern w:val="44"/>
          <w:sz w:val="32"/>
          <w:szCs w:val="20"/>
          <w:lang w:val="en-US" w:eastAsia="zh-CN" w:bidi="ar-SA"/>
          <w14:shadow w14:blurRad="50800" w14:dist="38100" w14:dir="2700000" w14:sx="100000" w14:sy="100000" w14:kx="0" w14:ky="0" w14:algn="tl">
            <w14:srgbClr w14:val="000000">
              <w14:alpha w14:val="60000"/>
            </w14:srgbClr>
          </w14:shadow>
        </w:rPr>
        <w:t xml:space="preserve">    </w:t>
      </w:r>
      <w:r>
        <w:rPr>
          <w:rFonts w:hint="eastAsia" w:ascii="仿宋_GB2312" w:hAnsi="宋体" w:eastAsia="仿宋_GB2312" w:cs="Times New Roman"/>
          <w:color w:val="000000"/>
          <w:sz w:val="32"/>
          <w:szCs w:val="32"/>
          <w:lang w:val="en-US" w:eastAsia="zh-CN"/>
        </w:rPr>
        <w:t>通过绩效评价对村级公益事业金项目资金使用效果进行监督，主要对项目的项目决策、项目管理、产出、效益等各项指标的完成情况进行评价。</w:t>
      </w:r>
    </w:p>
    <w:p>
      <w:pPr>
        <w:numPr>
          <w:ilvl w:val="0"/>
          <w:numId w:val="2"/>
        </w:numPr>
        <w:ind w:left="-321" w:leftChars="0" w:firstLine="321" w:firstLineChars="0"/>
        <w:rPr>
          <w:rFonts w:hint="eastAsia" w:ascii="仿宋_GB2312" w:hAnsi="Arial" w:eastAsia="仿宋_GB2312" w:cs="Times New Roman"/>
          <w:b/>
          <w:bCs/>
          <w:kern w:val="44"/>
          <w:sz w:val="32"/>
          <w:szCs w:val="20"/>
          <w:lang w:val="en-US" w:eastAsia="zh-CN" w:bidi="ar-SA"/>
          <w14:shadow w14:blurRad="50800" w14:dist="38100" w14:dir="2700000" w14:sx="100000" w14:sy="100000" w14:kx="0" w14:ky="0" w14:algn="tl">
            <w14:srgbClr w14:val="000000">
              <w14:alpha w14:val="60000"/>
            </w14:srgbClr>
          </w14:shadow>
        </w:rPr>
      </w:pPr>
      <w:r>
        <w:rPr>
          <w:rFonts w:hint="eastAsia" w:ascii="仿宋_GB2312" w:hAnsi="Arial" w:eastAsia="仿宋_GB2312" w:cs="Times New Roman"/>
          <w:b/>
          <w:bCs/>
          <w:kern w:val="44"/>
          <w:sz w:val="32"/>
          <w:szCs w:val="20"/>
          <w:lang w:val="en-US" w:eastAsia="zh-CN" w:bidi="ar-SA"/>
          <w14:shadow w14:blurRad="50800" w14:dist="38100" w14:dir="2700000" w14:sx="100000" w14:sy="100000" w14:kx="0" w14:ky="0" w14:algn="tl">
            <w14:srgbClr w14:val="000000">
              <w14:alpha w14:val="60000"/>
            </w14:srgbClr>
          </w14:shadow>
        </w:rPr>
        <w:t>绩效评价原则、评价指标体系（附表说明）、评价方法、评价标准</w:t>
      </w:r>
    </w:p>
    <w:p>
      <w:pPr>
        <w:pStyle w:val="2"/>
        <w:numPr>
          <w:ilvl w:val="0"/>
          <w:numId w:val="0"/>
        </w:numPr>
        <w:rPr>
          <w:rFonts w:hint="eastAsia" w:ascii="仿宋_GB2312" w:hAnsi="宋体" w:eastAsia="仿宋_GB2312" w:cs="Times New Roman"/>
          <w:color w:val="000000"/>
          <w:kern w:val="2"/>
          <w:sz w:val="32"/>
          <w:szCs w:val="32"/>
          <w:lang w:val="en-US" w:eastAsia="zh-CN" w:bidi="ar-SA"/>
        </w:rPr>
      </w:pPr>
      <w:r>
        <w:rPr>
          <w:rFonts w:hint="eastAsia" w:ascii="仿宋_GB2312" w:hAnsi="宋体" w:eastAsia="仿宋_GB2312" w:cs="Times New Roman"/>
          <w:color w:val="000000"/>
          <w:kern w:val="2"/>
          <w:sz w:val="32"/>
          <w:szCs w:val="32"/>
          <w:lang w:val="en-US" w:eastAsia="zh-CN" w:bidi="ar-SA"/>
        </w:rPr>
        <w:t>1、绩效评价原则：</w:t>
      </w:r>
    </w:p>
    <w:p>
      <w:pPr>
        <w:pStyle w:val="2"/>
        <w:numPr>
          <w:ilvl w:val="0"/>
          <w:numId w:val="0"/>
        </w:numPr>
        <w:rPr>
          <w:rFonts w:hint="eastAsia" w:ascii="仿宋_GB2312" w:hAnsi="宋体" w:eastAsia="仿宋_GB2312" w:cs="Times New Roman"/>
          <w:color w:val="000000"/>
          <w:kern w:val="2"/>
          <w:sz w:val="32"/>
          <w:szCs w:val="32"/>
          <w:lang w:val="en-US" w:eastAsia="zh-CN" w:bidi="ar-SA"/>
        </w:rPr>
      </w:pPr>
      <w:r>
        <w:rPr>
          <w:rFonts w:hint="eastAsia" w:hAnsi="宋体" w:cs="Times New Roman"/>
          <w:color w:val="000000"/>
          <w:kern w:val="2"/>
          <w:sz w:val="32"/>
          <w:szCs w:val="32"/>
          <w:lang w:val="en-US" w:eastAsia="zh-CN" w:bidi="ar-SA"/>
        </w:rPr>
        <w:t>（1）</w:t>
      </w:r>
      <w:r>
        <w:rPr>
          <w:rFonts w:hint="eastAsia" w:ascii="仿宋_GB2312" w:hAnsi="宋体" w:eastAsia="仿宋_GB2312" w:cs="Times New Roman"/>
          <w:color w:val="000000"/>
          <w:kern w:val="2"/>
          <w:sz w:val="32"/>
          <w:szCs w:val="32"/>
          <w:lang w:val="en-US" w:eastAsia="zh-CN" w:bidi="ar-SA"/>
        </w:rPr>
        <w:t>科学公正。运用科学合理的方法，按照规范程序，对项目绩效进行客观、公正的反映。</w:t>
      </w:r>
    </w:p>
    <w:p>
      <w:pPr>
        <w:pStyle w:val="2"/>
        <w:numPr>
          <w:ilvl w:val="0"/>
          <w:numId w:val="0"/>
        </w:numPr>
        <w:rPr>
          <w:rFonts w:hint="default" w:ascii="仿宋_GB2312" w:hAnsi="宋体" w:eastAsia="仿宋_GB2312" w:cs="Times New Roman"/>
          <w:color w:val="000000"/>
          <w:kern w:val="2"/>
          <w:sz w:val="32"/>
          <w:szCs w:val="32"/>
          <w:lang w:val="en-US" w:eastAsia="zh-CN" w:bidi="ar-SA"/>
        </w:rPr>
      </w:pPr>
      <w:r>
        <w:rPr>
          <w:rFonts w:hint="eastAsia" w:hAnsi="宋体" w:cs="Times New Roman"/>
          <w:color w:val="000000"/>
          <w:kern w:val="2"/>
          <w:sz w:val="32"/>
          <w:szCs w:val="32"/>
          <w:lang w:val="en-US" w:eastAsia="zh-CN" w:bidi="ar-SA"/>
        </w:rPr>
        <w:t>（2）</w:t>
      </w:r>
      <w:r>
        <w:rPr>
          <w:rFonts w:hint="eastAsia" w:ascii="仿宋_GB2312" w:hAnsi="宋体" w:eastAsia="仿宋_GB2312" w:cs="Times New Roman"/>
          <w:color w:val="000000"/>
          <w:kern w:val="2"/>
          <w:sz w:val="32"/>
          <w:szCs w:val="32"/>
          <w:lang w:val="en-US" w:eastAsia="zh-CN" w:bidi="ar-SA"/>
        </w:rPr>
        <w:t>统筹兼顾。单位自评、部门评价和财政评价职责明确，各有侧重，相互衔接。</w:t>
      </w:r>
    </w:p>
    <w:p>
      <w:pPr>
        <w:pStyle w:val="2"/>
        <w:numPr>
          <w:ilvl w:val="0"/>
          <w:numId w:val="0"/>
        </w:numPr>
        <w:rPr>
          <w:rFonts w:hint="eastAsia" w:ascii="仿宋_GB2312" w:hAnsi="宋体" w:eastAsia="仿宋_GB2312" w:cs="Times New Roman"/>
          <w:color w:val="000000"/>
          <w:kern w:val="2"/>
          <w:sz w:val="32"/>
          <w:szCs w:val="32"/>
          <w:lang w:val="en-US" w:eastAsia="zh-CN" w:bidi="ar-SA"/>
        </w:rPr>
      </w:pPr>
      <w:r>
        <w:rPr>
          <w:rFonts w:hint="eastAsia" w:hAnsi="宋体" w:cs="Times New Roman"/>
          <w:color w:val="000000"/>
          <w:kern w:val="2"/>
          <w:sz w:val="32"/>
          <w:szCs w:val="32"/>
          <w:lang w:val="en-US" w:eastAsia="zh-CN" w:bidi="ar-SA"/>
        </w:rPr>
        <w:t>（3）</w:t>
      </w:r>
      <w:r>
        <w:rPr>
          <w:rFonts w:hint="eastAsia" w:ascii="仿宋_GB2312" w:hAnsi="宋体" w:eastAsia="仿宋_GB2312" w:cs="Times New Roman"/>
          <w:color w:val="000000"/>
          <w:kern w:val="2"/>
          <w:sz w:val="32"/>
          <w:szCs w:val="32"/>
          <w:lang w:val="en-US" w:eastAsia="zh-CN" w:bidi="ar-SA"/>
        </w:rPr>
        <w:t>激励约束。绩效评价结果应用与预算安排、政策调整、改进管理实质性挂钩，体现奖优罚劣和激励相容导向。</w:t>
      </w:r>
    </w:p>
    <w:p>
      <w:pPr>
        <w:pStyle w:val="2"/>
        <w:numPr>
          <w:ilvl w:val="0"/>
          <w:numId w:val="0"/>
        </w:numPr>
        <w:rPr>
          <w:rFonts w:hint="default" w:ascii="仿宋_GB2312" w:hAnsi="宋体" w:eastAsia="仿宋_GB2312" w:cs="Times New Roman"/>
          <w:color w:val="000000"/>
          <w:kern w:val="2"/>
          <w:sz w:val="32"/>
          <w:szCs w:val="32"/>
          <w:lang w:val="en-US" w:eastAsia="zh-CN" w:bidi="ar-SA"/>
        </w:rPr>
      </w:pPr>
      <w:r>
        <w:rPr>
          <w:rFonts w:hint="eastAsia" w:hAnsi="宋体" w:cs="Times New Roman"/>
          <w:color w:val="000000"/>
          <w:kern w:val="2"/>
          <w:sz w:val="32"/>
          <w:szCs w:val="32"/>
          <w:lang w:val="en-US" w:eastAsia="zh-CN" w:bidi="ar-SA"/>
        </w:rPr>
        <w:t>2、评价指标体系：详见附表。</w:t>
      </w:r>
    </w:p>
    <w:p>
      <w:pPr>
        <w:pStyle w:val="2"/>
        <w:numPr>
          <w:ilvl w:val="0"/>
          <w:numId w:val="0"/>
        </w:numPr>
        <w:rPr>
          <w:rFonts w:hint="eastAsia" w:ascii="仿宋_GB2312" w:hAnsi="宋体" w:eastAsia="仿宋_GB2312" w:cs="Times New Roman"/>
          <w:color w:val="000000"/>
          <w:kern w:val="2"/>
          <w:sz w:val="32"/>
          <w:szCs w:val="32"/>
          <w:lang w:val="en-US" w:eastAsia="zh-CN" w:bidi="ar-SA"/>
        </w:rPr>
      </w:pPr>
      <w:r>
        <w:rPr>
          <w:rFonts w:hint="eastAsia" w:hAnsi="宋体" w:cs="Times New Roman"/>
          <w:color w:val="000000"/>
          <w:kern w:val="2"/>
          <w:sz w:val="32"/>
          <w:szCs w:val="32"/>
          <w:lang w:val="en-US" w:eastAsia="zh-CN" w:bidi="ar-SA"/>
        </w:rPr>
        <w:t>3</w:t>
      </w:r>
      <w:r>
        <w:rPr>
          <w:rFonts w:hint="eastAsia" w:ascii="仿宋_GB2312" w:hAnsi="宋体" w:eastAsia="仿宋_GB2312" w:cs="Times New Roman"/>
          <w:color w:val="000000"/>
          <w:kern w:val="2"/>
          <w:sz w:val="32"/>
          <w:szCs w:val="32"/>
          <w:lang w:val="en-US" w:eastAsia="zh-CN" w:bidi="ar-SA"/>
        </w:rPr>
        <w:t>、绩效评价方法：采用定量和定性相结合的比较法。</w:t>
      </w:r>
    </w:p>
    <w:p>
      <w:pPr>
        <w:numPr>
          <w:ilvl w:val="0"/>
          <w:numId w:val="0"/>
        </w:numPr>
        <w:rPr>
          <w:rFonts w:hint="eastAsia" w:ascii="仿宋_GB2312" w:hAnsi="宋体" w:eastAsia="仿宋_GB2312" w:cs="Times New Roman"/>
          <w:color w:val="000000"/>
          <w:kern w:val="2"/>
          <w:sz w:val="32"/>
          <w:szCs w:val="32"/>
          <w:lang w:val="en-US" w:eastAsia="zh-CN" w:bidi="ar-SA"/>
        </w:rPr>
      </w:pPr>
      <w:r>
        <w:rPr>
          <w:rFonts w:hint="eastAsia" w:ascii="仿宋_GB2312" w:hAnsi="宋体" w:eastAsia="仿宋_GB2312" w:cs="Times New Roman"/>
          <w:color w:val="000000"/>
          <w:kern w:val="2"/>
          <w:sz w:val="32"/>
          <w:szCs w:val="32"/>
          <w:lang w:val="en-US" w:eastAsia="zh-CN" w:bidi="ar-SA"/>
        </w:rPr>
        <w:t>4、绩效评价标准：项目决策权重10%，项目管理权重20%，项目产出权重40%，项目效益权重30%。</w:t>
      </w:r>
    </w:p>
    <w:p>
      <w:pPr>
        <w:pStyle w:val="2"/>
        <w:ind w:left="0" w:leftChars="0" w:firstLine="0" w:firstLineChars="0"/>
        <w:rPr>
          <w:rFonts w:hint="eastAsia" w:ascii="仿宋_GB2312" w:hAnsi="Arial" w:eastAsia="仿宋_GB2312" w:cs="Times New Roman"/>
          <w:b/>
          <w:bCs/>
          <w:kern w:val="44"/>
          <w:sz w:val="32"/>
          <w:szCs w:val="20"/>
          <w:lang w:val="en-US" w:eastAsia="zh-CN" w:bidi="ar-SA"/>
          <w14:shadow w14:blurRad="50800" w14:dist="38100" w14:dir="2700000" w14:sx="100000" w14:sy="100000" w14:kx="0" w14:ky="0" w14:algn="tl">
            <w14:srgbClr w14:val="000000">
              <w14:alpha w14:val="60000"/>
            </w14:srgbClr>
          </w14:shadow>
        </w:rPr>
      </w:pPr>
      <w:r>
        <w:rPr>
          <w:rFonts w:hint="eastAsia" w:hAnsi="Arial" w:cs="Times New Roman"/>
          <w:b/>
          <w:bCs/>
          <w:kern w:val="44"/>
          <w:sz w:val="32"/>
          <w:szCs w:val="20"/>
          <w:lang w:val="en-US" w:eastAsia="zh-CN" w:bidi="ar-SA"/>
          <w14:shadow w14:blurRad="50800" w14:dist="38100" w14:dir="2700000" w14:sx="100000" w14:sy="100000" w14:kx="0" w14:ky="0" w14:algn="tl">
            <w14:srgbClr w14:val="000000">
              <w14:alpha w14:val="60000"/>
            </w14:srgbClr>
          </w14:shadow>
        </w:rPr>
        <w:t>（三）</w:t>
      </w:r>
      <w:r>
        <w:rPr>
          <w:rFonts w:hint="eastAsia" w:ascii="仿宋_GB2312" w:hAnsi="Arial" w:eastAsia="仿宋_GB2312" w:cs="Times New Roman"/>
          <w:b/>
          <w:bCs/>
          <w:kern w:val="44"/>
          <w:sz w:val="32"/>
          <w:szCs w:val="20"/>
          <w:lang w:val="en-US" w:eastAsia="zh-CN" w:bidi="ar-SA"/>
          <w14:shadow w14:blurRad="50800" w14:dist="38100" w14:dir="2700000" w14:sx="100000" w14:sy="100000" w14:kx="0" w14:ky="0" w14:algn="tl">
            <w14:srgbClr w14:val="000000">
              <w14:alpha w14:val="60000"/>
            </w14:srgbClr>
          </w14:shadow>
        </w:rPr>
        <w:t>绩效评价工作过程</w:t>
      </w:r>
    </w:p>
    <w:p>
      <w:pPr>
        <w:pStyle w:val="2"/>
        <w:ind w:left="0" w:leftChars="0" w:firstLine="0" w:firstLineChars="0"/>
        <w:rPr>
          <w:rFonts w:hint="default" w:ascii="仿宋_GB2312" w:hAnsi="Arial" w:eastAsia="仿宋_GB2312" w:cs="Times New Roman"/>
          <w:b/>
          <w:bCs/>
          <w:kern w:val="44"/>
          <w:sz w:val="32"/>
          <w:szCs w:val="20"/>
          <w:lang w:val="en-US" w:eastAsia="zh-CN" w:bidi="ar-SA"/>
          <w14:shadow w14:blurRad="50800" w14:dist="38100" w14:dir="2700000" w14:sx="100000" w14:sy="100000" w14:kx="0" w14:ky="0" w14:algn="tl">
            <w14:srgbClr w14:val="000000">
              <w14:alpha w14:val="60000"/>
            </w14:srgbClr>
          </w14:shadow>
        </w:rPr>
      </w:pPr>
      <w:r>
        <w:rPr>
          <w:rFonts w:hint="eastAsia" w:hAnsi="Arial" w:cs="Times New Roman"/>
          <w:b/>
          <w:bCs/>
          <w:kern w:val="44"/>
          <w:sz w:val="32"/>
          <w:szCs w:val="20"/>
          <w:lang w:val="en-US" w:eastAsia="zh-CN" w:bidi="ar-SA"/>
          <w14:shadow w14:blurRad="50800" w14:dist="38100" w14:dir="2700000" w14:sx="100000" w14:sy="100000" w14:kx="0" w14:ky="0" w14:algn="tl">
            <w14:srgbClr w14:val="000000">
              <w14:alpha w14:val="60000"/>
            </w14:srgbClr>
          </w14:shadow>
        </w:rPr>
        <w:t xml:space="preserve">  </w:t>
      </w:r>
      <w:r>
        <w:rPr>
          <w:rFonts w:hint="eastAsia" w:ascii="仿宋_GB2312" w:hAnsi="宋体" w:eastAsia="仿宋_GB2312" w:cs="Times New Roman"/>
          <w:color w:val="000000"/>
          <w:kern w:val="2"/>
          <w:sz w:val="32"/>
          <w:szCs w:val="32"/>
          <w:lang w:val="en-US" w:eastAsia="zh-CN" w:bidi="ar-SA"/>
        </w:rPr>
        <w:t>选取我镇</w:t>
      </w:r>
      <w:r>
        <w:rPr>
          <w:rFonts w:hint="eastAsia" w:hAnsi="宋体" w:cs="Times New Roman"/>
          <w:color w:val="000000"/>
          <w:kern w:val="2"/>
          <w:sz w:val="32"/>
          <w:szCs w:val="32"/>
          <w:lang w:val="en-US" w:eastAsia="zh-CN" w:bidi="ar-SA"/>
        </w:rPr>
        <w:t>2024</w:t>
      </w:r>
      <w:r>
        <w:rPr>
          <w:rFonts w:hint="eastAsia" w:ascii="仿宋_GB2312" w:hAnsi="宋体" w:eastAsia="仿宋_GB2312" w:cs="Times New Roman"/>
          <w:color w:val="000000"/>
          <w:kern w:val="2"/>
          <w:sz w:val="32"/>
          <w:szCs w:val="32"/>
          <w:lang w:val="en-US" w:eastAsia="zh-CN" w:bidi="ar-SA"/>
        </w:rPr>
        <w:t>年重点项目为评价对象，组织绩效评价小组，依据我单位的绩效评价原则、方法、评分体系及标准对村级公益事业金项目进行评价。</w:t>
      </w:r>
    </w:p>
    <w:p>
      <w:pPr>
        <w:pStyle w:val="2"/>
        <w:numPr>
          <w:ilvl w:val="0"/>
          <w:numId w:val="1"/>
        </w:numPr>
        <w:ind w:left="210" w:leftChars="0" w:firstLine="0" w:firstLineChars="0"/>
        <w:rPr>
          <w:rFonts w:hint="eastAsia" w:ascii="黑体" w:hAnsi="Times New Roman" w:eastAsia="黑体" w:cs="Times New Roman"/>
          <w:b w:val="0"/>
          <w:bCs/>
          <w:kern w:val="0"/>
          <w:sz w:val="32"/>
          <w:szCs w:val="20"/>
          <w:lang w:val="en-US" w:eastAsia="zh-CN" w:bidi="ar-SA"/>
          <w14:shadow w14:blurRad="50800" w14:dist="38100" w14:dir="2700000" w14:sx="100000" w14:sy="100000" w14:kx="0" w14:ky="0" w14:algn="tl">
            <w14:srgbClr w14:val="000000">
              <w14:alpha w14:val="60000"/>
            </w14:srgbClr>
          </w14:shadow>
        </w:rPr>
      </w:pPr>
      <w:r>
        <w:rPr>
          <w:rFonts w:hint="eastAsia" w:ascii="黑体" w:hAnsi="Times New Roman" w:eastAsia="黑体" w:cs="Times New Roman"/>
          <w:b w:val="0"/>
          <w:bCs/>
          <w:kern w:val="0"/>
          <w:sz w:val="32"/>
          <w:szCs w:val="20"/>
          <w:lang w:val="en-US" w:eastAsia="zh-CN" w:bidi="ar-SA"/>
          <w14:shadow w14:blurRad="50800" w14:dist="38100" w14:dir="2700000" w14:sx="100000" w14:sy="100000" w14:kx="0" w14:ky="0" w14:algn="tl">
            <w14:srgbClr w14:val="000000">
              <w14:alpha w14:val="60000"/>
            </w14:srgbClr>
          </w14:shadow>
        </w:rPr>
        <w:t>综合评价情况及评价结论</w:t>
      </w:r>
      <w:bookmarkStart w:id="0" w:name="_GoBack"/>
      <w:bookmarkEnd w:id="0"/>
      <w:r>
        <w:rPr>
          <w:rFonts w:hint="eastAsia" w:ascii="黑体" w:hAnsi="Times New Roman" w:eastAsia="黑体" w:cs="Times New Roman"/>
          <w:b w:val="0"/>
          <w:bCs/>
          <w:kern w:val="0"/>
          <w:sz w:val="32"/>
          <w:szCs w:val="20"/>
          <w:lang w:val="en-US" w:eastAsia="zh-CN" w:bidi="ar-SA"/>
          <w14:shadow w14:blurRad="50800" w14:dist="38100" w14:dir="2700000" w14:sx="100000" w14:sy="100000" w14:kx="0" w14:ky="0" w14:algn="tl">
            <w14:srgbClr w14:val="000000">
              <w14:alpha w14:val="60000"/>
            </w14:srgbClr>
          </w14:shadow>
        </w:rPr>
        <w:t>（附相关评分表）</w:t>
      </w:r>
    </w:p>
    <w:p>
      <w:pPr>
        <w:pStyle w:val="2"/>
        <w:ind w:left="0" w:leftChars="0" w:firstLine="320" w:firstLineChars="100"/>
        <w:rPr>
          <w:rFonts w:hint="eastAsia" w:ascii="仿宋_GB2312" w:hAnsi="宋体" w:eastAsia="仿宋_GB2312" w:cs="Times New Roman"/>
          <w:color w:val="000000"/>
          <w:kern w:val="2"/>
          <w:sz w:val="32"/>
          <w:szCs w:val="32"/>
          <w:lang w:val="en-US" w:eastAsia="zh-CN" w:bidi="ar-SA"/>
        </w:rPr>
      </w:pPr>
      <w:r>
        <w:rPr>
          <w:rFonts w:hint="eastAsia" w:ascii="仿宋_GB2312" w:hAnsi="宋体" w:eastAsia="仿宋_GB2312" w:cs="Times New Roman"/>
          <w:color w:val="000000"/>
          <w:kern w:val="2"/>
          <w:sz w:val="32"/>
          <w:szCs w:val="32"/>
          <w:lang w:val="en-US" w:eastAsia="zh-CN" w:bidi="ar-SA"/>
        </w:rPr>
        <w:t>项目评价总分得分90分，整体完成情况较好。</w:t>
      </w:r>
    </w:p>
    <w:p>
      <w:pPr>
        <w:spacing w:line="560" w:lineRule="exact"/>
        <w:ind w:firstLine="320" w:firstLineChars="100"/>
        <w:rPr>
          <w:rFonts w:hint="eastAsia" w:ascii="仿宋_GB2312" w:hAnsi="仿宋_GB2312" w:eastAsia="仿宋_GB2312" w:cs="仿宋_GB2312"/>
          <w:sz w:val="32"/>
          <w:szCs w:val="32"/>
        </w:rPr>
      </w:pPr>
      <w:r>
        <w:rPr>
          <w:rFonts w:hint="eastAsia" w:ascii="黑体" w:hAnsi="Times New Roman" w:eastAsia="黑体" w:cs="Times New Roman"/>
          <w:b w:val="0"/>
          <w:bCs/>
          <w:kern w:val="0"/>
          <w:sz w:val="32"/>
          <w:szCs w:val="20"/>
          <w:lang w:val="en-US" w:eastAsia="zh-CN" w:bidi="ar-SA"/>
          <w14:shadow w14:blurRad="50800" w14:dist="38100" w14:dir="2700000" w14:sx="100000" w14:sy="100000" w14:kx="0" w14:ky="0" w14:algn="tl">
            <w14:srgbClr w14:val="000000">
              <w14:alpha w14:val="60000"/>
            </w14:srgbClr>
          </w14:shadow>
        </w:rPr>
        <w:t>四、绩效评价指标分析</w:t>
      </w:r>
    </w:p>
    <w:p>
      <w:pPr>
        <w:spacing w:line="560" w:lineRule="exact"/>
        <w:outlineLvl w:val="0"/>
        <w:rPr>
          <w:rFonts w:hint="eastAsia" w:ascii="仿宋_GB2312" w:hAnsi="Arial" w:eastAsia="仿宋_GB2312" w:cs="Times New Roman"/>
          <w:b/>
          <w:bCs/>
          <w:kern w:val="44"/>
          <w:sz w:val="32"/>
          <w:szCs w:val="20"/>
          <w:lang w:val="en-US" w:eastAsia="zh-CN" w:bidi="ar-SA"/>
          <w14:shadow w14:blurRad="50800" w14:dist="38100" w14:dir="2700000" w14:sx="100000" w14:sy="100000" w14:kx="0" w14:ky="0" w14:algn="tl">
            <w14:srgbClr w14:val="000000">
              <w14:alpha w14:val="60000"/>
            </w14:srgbClr>
          </w14:shadow>
        </w:rPr>
      </w:pPr>
      <w:r>
        <w:rPr>
          <w:rFonts w:hint="eastAsia" w:ascii="仿宋_GB2312" w:hAnsi="Arial" w:eastAsia="仿宋_GB2312" w:cs="Times New Roman"/>
          <w:b/>
          <w:bCs/>
          <w:kern w:val="44"/>
          <w:sz w:val="32"/>
          <w:szCs w:val="20"/>
          <w:lang w:val="en-US" w:eastAsia="zh-CN" w:bidi="ar-SA"/>
          <w14:shadow w14:blurRad="50800" w14:dist="38100" w14:dir="2700000" w14:sx="100000" w14:sy="100000" w14:kx="0" w14:ky="0" w14:algn="tl">
            <w14:srgbClr w14:val="000000">
              <w14:alpha w14:val="60000"/>
            </w14:srgbClr>
          </w14:shadow>
        </w:rPr>
        <w:t>（一）项目决策情况</w:t>
      </w:r>
    </w:p>
    <w:p>
      <w:pPr>
        <w:spacing w:line="360" w:lineRule="auto"/>
        <w:ind w:firstLine="640" w:firstLineChars="200"/>
        <w:rPr>
          <w:rFonts w:ascii="仿宋_GB2312" w:hAnsi="宋体" w:eastAsia="仿宋_GB2312" w:cs="Times New Roman"/>
          <w:color w:val="000000"/>
          <w:sz w:val="32"/>
          <w:szCs w:val="32"/>
        </w:rPr>
      </w:pPr>
      <w:r>
        <w:rPr>
          <w:rFonts w:hint="eastAsia" w:ascii="仿宋_GB2312" w:hAnsi="宋体" w:eastAsia="仿宋_GB2312" w:cs="Times New Roman"/>
          <w:color w:val="000000"/>
          <w:sz w:val="32"/>
          <w:szCs w:val="32"/>
        </w:rPr>
        <w:t>1、决策依据</w:t>
      </w:r>
    </w:p>
    <w:p>
      <w:pPr>
        <w:spacing w:line="360" w:lineRule="auto"/>
        <w:ind w:firstLine="640" w:firstLineChars="200"/>
        <w:rPr>
          <w:rFonts w:hint="eastAsia" w:ascii="仿宋_GB2312" w:hAnsi="宋体" w:eastAsia="仿宋_GB2312" w:cs="Times New Roman"/>
          <w:color w:val="000000"/>
          <w:sz w:val="32"/>
          <w:szCs w:val="32"/>
          <w:lang w:eastAsia="zh-CN"/>
        </w:rPr>
      </w:pPr>
      <w:r>
        <w:rPr>
          <w:rFonts w:hint="eastAsia" w:ascii="仿宋_GB2312" w:hAnsi="宋体" w:eastAsia="仿宋_GB2312" w:cs="Times New Roman"/>
          <w:color w:val="000000"/>
          <w:sz w:val="32"/>
          <w:szCs w:val="32"/>
        </w:rPr>
        <w:t>项目依据《</w:t>
      </w:r>
      <w:r>
        <w:rPr>
          <w:rFonts w:hint="eastAsia" w:ascii="仿宋_GB2312" w:hAnsi="宋体" w:eastAsia="仿宋_GB2312" w:cs="Times New Roman"/>
          <w:color w:val="000000"/>
          <w:sz w:val="32"/>
          <w:szCs w:val="32"/>
          <w:lang w:eastAsia="zh-CN"/>
        </w:rPr>
        <w:t>密云县村级</w:t>
      </w:r>
      <w:r>
        <w:rPr>
          <w:rFonts w:hint="eastAsia" w:ascii="仿宋_GB2312" w:hAnsi="宋体" w:eastAsia="仿宋_GB2312" w:cs="Times New Roman"/>
          <w:color w:val="000000"/>
          <w:sz w:val="32"/>
          <w:szCs w:val="32"/>
        </w:rPr>
        <w:t>公益事业专项补助资金管理办法》（</w:t>
      </w:r>
      <w:r>
        <w:rPr>
          <w:rFonts w:hint="eastAsia" w:ascii="仿宋_GB2312" w:hAnsi="宋体" w:eastAsia="仿宋_GB2312" w:cs="Times New Roman"/>
          <w:color w:val="000000"/>
          <w:sz w:val="32"/>
          <w:szCs w:val="32"/>
          <w:lang w:eastAsia="zh-CN"/>
        </w:rPr>
        <w:t>密政发</w:t>
      </w:r>
      <w:r>
        <w:rPr>
          <w:rFonts w:hint="eastAsia" w:ascii="仿宋_GB2312" w:hAnsi="宋体" w:eastAsia="仿宋_GB2312" w:cs="Times New Roman"/>
          <w:color w:val="000000"/>
          <w:sz w:val="32"/>
          <w:szCs w:val="32"/>
        </w:rPr>
        <w:t>[20</w:t>
      </w:r>
      <w:r>
        <w:rPr>
          <w:rFonts w:hint="eastAsia" w:ascii="仿宋_GB2312" w:hAnsi="宋体" w:eastAsia="仿宋_GB2312" w:cs="Times New Roman"/>
          <w:color w:val="000000"/>
          <w:sz w:val="32"/>
          <w:szCs w:val="32"/>
          <w:lang w:val="en-US" w:eastAsia="zh-CN"/>
        </w:rPr>
        <w:t>14</w:t>
      </w:r>
      <w:r>
        <w:rPr>
          <w:rFonts w:hint="eastAsia" w:ascii="仿宋_GB2312" w:hAnsi="宋体" w:eastAsia="仿宋_GB2312" w:cs="Times New Roman"/>
          <w:color w:val="000000"/>
          <w:sz w:val="32"/>
          <w:szCs w:val="32"/>
        </w:rPr>
        <w:t>]</w:t>
      </w:r>
      <w:r>
        <w:rPr>
          <w:rFonts w:hint="eastAsia" w:ascii="仿宋_GB2312" w:hAnsi="宋体" w:eastAsia="仿宋_GB2312" w:cs="Times New Roman"/>
          <w:color w:val="000000"/>
          <w:sz w:val="32"/>
          <w:szCs w:val="32"/>
          <w:lang w:val="en-US" w:eastAsia="zh-CN"/>
        </w:rPr>
        <w:t>25</w:t>
      </w:r>
      <w:r>
        <w:rPr>
          <w:rFonts w:hint="eastAsia" w:ascii="仿宋_GB2312" w:hAnsi="宋体" w:eastAsia="仿宋_GB2312" w:cs="Times New Roman"/>
          <w:color w:val="000000"/>
          <w:sz w:val="32"/>
          <w:szCs w:val="32"/>
        </w:rPr>
        <w:t>号）文件精神申报立项</w:t>
      </w:r>
      <w:r>
        <w:rPr>
          <w:rFonts w:hint="eastAsia" w:ascii="仿宋_GB2312" w:hAnsi="宋体" w:eastAsia="仿宋_GB2312" w:cs="Times New Roman"/>
          <w:color w:val="000000"/>
          <w:sz w:val="32"/>
          <w:szCs w:val="32"/>
          <w:lang w:eastAsia="zh-CN"/>
        </w:rPr>
        <w:t>。</w:t>
      </w:r>
    </w:p>
    <w:p>
      <w:pPr>
        <w:spacing w:line="360" w:lineRule="auto"/>
        <w:ind w:firstLine="640" w:firstLineChars="200"/>
        <w:rPr>
          <w:rFonts w:ascii="仿宋_GB2312" w:hAnsi="宋体" w:eastAsia="仿宋_GB2312" w:cs="Times New Roman"/>
          <w:color w:val="000000"/>
          <w:sz w:val="32"/>
          <w:szCs w:val="32"/>
        </w:rPr>
      </w:pPr>
      <w:r>
        <w:rPr>
          <w:rFonts w:hint="eastAsia" w:ascii="仿宋_GB2312" w:hAnsi="宋体" w:eastAsia="仿宋_GB2312" w:cs="Times New Roman"/>
          <w:color w:val="000000"/>
          <w:sz w:val="32"/>
          <w:szCs w:val="32"/>
        </w:rPr>
        <w:t>2、决策流程</w:t>
      </w:r>
    </w:p>
    <w:p>
      <w:pPr>
        <w:widowControl w:val="0"/>
        <w:wordWrap/>
        <w:adjustRightInd/>
        <w:snapToGrid/>
        <w:spacing w:beforeAutospacing="0" w:afterAutospacing="0" w:line="560" w:lineRule="exact"/>
        <w:ind w:left="0" w:leftChars="0" w:right="0" w:firstLine="640" w:firstLineChars="200"/>
        <w:jc w:val="left"/>
        <w:textAlignment w:val="auto"/>
        <w:outlineLvl w:val="9"/>
        <w:rPr>
          <w:rFonts w:ascii="仿宋_GB2312" w:hAnsi="宋体" w:eastAsia="仿宋_GB2312" w:cs="Times New Roman"/>
          <w:color w:val="000000"/>
          <w:sz w:val="32"/>
          <w:szCs w:val="32"/>
        </w:rPr>
      </w:pPr>
      <w:r>
        <w:rPr>
          <w:rFonts w:hint="eastAsia" w:ascii="仿宋_GB2312" w:hAnsi="宋体" w:eastAsia="仿宋_GB2312" w:cs="Times New Roman"/>
          <w:color w:val="000000"/>
          <w:sz w:val="32"/>
          <w:szCs w:val="32"/>
        </w:rPr>
        <w:t>依据《</w:t>
      </w:r>
      <w:r>
        <w:rPr>
          <w:rFonts w:hint="eastAsia" w:ascii="仿宋" w:hAnsi="仿宋" w:eastAsia="仿宋" w:cs="仿宋"/>
          <w:color w:val="000000"/>
          <w:kern w:val="2"/>
          <w:sz w:val="32"/>
          <w:szCs w:val="32"/>
          <w:lang w:val="en-US" w:eastAsia="zh-CN"/>
        </w:rPr>
        <w:t>北京市密云区太师屯镇人民政府“三重一大”事项决策工作规则</w:t>
      </w:r>
      <w:r>
        <w:rPr>
          <w:rFonts w:hint="eastAsia" w:ascii="仿宋_GB2312" w:hAnsi="宋体" w:eastAsia="仿宋_GB2312" w:cs="Times New Roman"/>
          <w:color w:val="000000"/>
          <w:sz w:val="32"/>
          <w:szCs w:val="32"/>
        </w:rPr>
        <w:t>》文件及《</w:t>
      </w:r>
      <w:r>
        <w:rPr>
          <w:rFonts w:hint="eastAsia" w:ascii="仿宋_GB2312" w:hAnsi="宋体" w:eastAsia="仿宋_GB2312" w:cs="Times New Roman"/>
          <w:color w:val="000000"/>
          <w:sz w:val="32"/>
          <w:szCs w:val="32"/>
          <w:lang w:eastAsia="zh-CN"/>
        </w:rPr>
        <w:t>北京市密云区</w:t>
      </w:r>
      <w:r>
        <w:rPr>
          <w:rFonts w:hint="eastAsia" w:ascii="仿宋_GB2312" w:hAnsi="宋体" w:eastAsia="仿宋_GB2312" w:cs="Times New Roman"/>
          <w:color w:val="000000"/>
          <w:sz w:val="32"/>
          <w:szCs w:val="32"/>
          <w:lang w:val="en-US" w:eastAsia="zh-CN"/>
        </w:rPr>
        <w:t>太师屯</w:t>
      </w:r>
      <w:r>
        <w:rPr>
          <w:rFonts w:hint="eastAsia" w:ascii="仿宋_GB2312" w:hAnsi="宋体" w:eastAsia="仿宋_GB2312" w:cs="Times New Roman"/>
          <w:color w:val="000000"/>
          <w:sz w:val="32"/>
          <w:szCs w:val="32"/>
          <w:lang w:eastAsia="zh-CN"/>
        </w:rPr>
        <w:t>镇</w:t>
      </w:r>
      <w:r>
        <w:rPr>
          <w:rFonts w:hint="eastAsia" w:ascii="仿宋_GB2312" w:hAnsi="宋体" w:eastAsia="仿宋_GB2312" w:cs="Times New Roman"/>
          <w:color w:val="000000"/>
          <w:sz w:val="32"/>
          <w:szCs w:val="32"/>
        </w:rPr>
        <w:t>内部控制</w:t>
      </w:r>
      <w:r>
        <w:rPr>
          <w:rFonts w:hint="eastAsia" w:ascii="仿宋_GB2312" w:hAnsi="宋体" w:eastAsia="仿宋_GB2312" w:cs="Times New Roman"/>
          <w:color w:val="000000"/>
          <w:sz w:val="32"/>
          <w:szCs w:val="32"/>
          <w:lang w:eastAsia="zh-CN"/>
        </w:rPr>
        <w:t>规范手册</w:t>
      </w:r>
      <w:r>
        <w:rPr>
          <w:rFonts w:hint="eastAsia" w:ascii="仿宋_GB2312" w:hAnsi="宋体" w:eastAsia="仿宋_GB2312" w:cs="Times New Roman"/>
          <w:color w:val="000000"/>
          <w:sz w:val="32"/>
          <w:szCs w:val="32"/>
        </w:rPr>
        <w:t>》管理的要求，该项目由</w:t>
      </w:r>
      <w:r>
        <w:rPr>
          <w:rFonts w:hint="eastAsia" w:ascii="仿宋_GB2312" w:hAnsi="宋体" w:eastAsia="仿宋_GB2312" w:cs="Times New Roman"/>
          <w:color w:val="000000"/>
          <w:sz w:val="32"/>
          <w:szCs w:val="32"/>
          <w:lang w:eastAsia="zh-CN"/>
        </w:rPr>
        <w:t>镇</w:t>
      </w:r>
      <w:r>
        <w:rPr>
          <w:rFonts w:hint="eastAsia" w:ascii="仿宋_GB2312" w:hAnsi="宋体" w:eastAsia="仿宋_GB2312" w:cs="Times New Roman"/>
          <w:color w:val="000000"/>
          <w:sz w:val="32"/>
          <w:szCs w:val="32"/>
        </w:rPr>
        <w:t>办公会及党委会集体审议决策，审议通过后，项目预算纳入</w:t>
      </w:r>
      <w:r>
        <w:rPr>
          <w:rFonts w:hint="eastAsia" w:ascii="仿宋_GB2312" w:hAnsi="宋体" w:eastAsia="仿宋_GB2312" w:cs="Times New Roman"/>
          <w:color w:val="000000"/>
          <w:sz w:val="32"/>
          <w:szCs w:val="32"/>
          <w:lang w:eastAsia="zh-CN"/>
        </w:rPr>
        <w:t>2024</w:t>
      </w:r>
      <w:r>
        <w:rPr>
          <w:rFonts w:hint="eastAsia" w:ascii="仿宋_GB2312" w:hAnsi="宋体" w:eastAsia="仿宋_GB2312" w:cs="Times New Roman"/>
          <w:color w:val="000000"/>
          <w:sz w:val="32"/>
          <w:szCs w:val="32"/>
        </w:rPr>
        <w:t>年度</w:t>
      </w:r>
      <w:r>
        <w:rPr>
          <w:rFonts w:hint="eastAsia" w:ascii="仿宋_GB2312" w:hAnsi="宋体" w:eastAsia="仿宋_GB2312" w:cs="Times New Roman"/>
          <w:color w:val="000000"/>
          <w:sz w:val="32"/>
          <w:szCs w:val="32"/>
          <w:lang w:eastAsia="zh-CN"/>
        </w:rPr>
        <w:t>镇</w:t>
      </w:r>
      <w:r>
        <w:rPr>
          <w:rFonts w:hint="eastAsia" w:ascii="仿宋_GB2312" w:hAnsi="宋体" w:eastAsia="仿宋_GB2312" w:cs="Times New Roman"/>
          <w:color w:val="000000"/>
          <w:sz w:val="32"/>
          <w:szCs w:val="32"/>
        </w:rPr>
        <w:t>总体预</w:t>
      </w:r>
      <w:r>
        <w:rPr>
          <w:rFonts w:hint="eastAsia" w:ascii="仿宋_GB2312" w:hAnsi="宋体" w:eastAsia="仿宋_GB2312" w:cs="Times New Roman"/>
          <w:color w:val="000000"/>
          <w:sz w:val="32"/>
          <w:szCs w:val="32"/>
          <w:lang w:val="en-US" w:eastAsia="zh-CN"/>
        </w:rPr>
        <w:t>算资金之内</w:t>
      </w:r>
      <w:r>
        <w:rPr>
          <w:rFonts w:hint="eastAsia" w:ascii="仿宋_GB2312" w:hAnsi="宋体" w:eastAsia="仿宋_GB2312" w:cs="Times New Roman"/>
          <w:color w:val="000000"/>
          <w:sz w:val="32"/>
          <w:szCs w:val="32"/>
          <w:lang w:eastAsia="zh-CN"/>
        </w:rPr>
        <w:t>。</w:t>
      </w:r>
    </w:p>
    <w:p>
      <w:pPr>
        <w:spacing w:line="360" w:lineRule="auto"/>
        <w:ind w:firstLine="640" w:firstLineChars="200"/>
        <w:rPr>
          <w:rFonts w:ascii="仿宋_GB2312" w:hAnsi="宋体" w:eastAsia="仿宋_GB2312" w:cs="Times New Roman"/>
          <w:color w:val="000000"/>
          <w:sz w:val="32"/>
          <w:szCs w:val="32"/>
        </w:rPr>
      </w:pPr>
      <w:r>
        <w:rPr>
          <w:rFonts w:hint="eastAsia" w:ascii="仿宋_GB2312" w:hAnsi="宋体" w:eastAsia="仿宋_GB2312" w:cs="Times New Roman"/>
          <w:color w:val="000000"/>
          <w:sz w:val="32"/>
          <w:szCs w:val="32"/>
        </w:rPr>
        <w:t>3、决策结果</w:t>
      </w:r>
    </w:p>
    <w:p>
      <w:pPr>
        <w:pStyle w:val="2"/>
        <w:rPr>
          <w:rFonts w:hint="eastAsia"/>
        </w:rPr>
      </w:pPr>
      <w:r>
        <w:rPr>
          <w:rFonts w:hint="eastAsia" w:ascii="仿宋_GB2312" w:hAnsi="宋体" w:eastAsia="仿宋_GB2312" w:cs="Times New Roman"/>
          <w:b w:val="0"/>
          <w:bCs w:val="0"/>
          <w:color w:val="000000"/>
          <w:sz w:val="32"/>
          <w:szCs w:val="32"/>
        </w:rPr>
        <w:t>依据</w:t>
      </w:r>
      <w:r>
        <w:rPr>
          <w:rFonts w:hint="eastAsia" w:ascii="仿宋_GB2312" w:hAnsi="宋体" w:eastAsia="仿宋_GB2312" w:cs="Times New Roman"/>
          <w:b w:val="0"/>
          <w:bCs w:val="0"/>
          <w:color w:val="000000"/>
          <w:sz w:val="32"/>
          <w:szCs w:val="32"/>
          <w:lang w:val="en-US" w:eastAsia="zh-CN"/>
        </w:rPr>
        <w:t>太师屯</w:t>
      </w:r>
      <w:r>
        <w:rPr>
          <w:rFonts w:hint="eastAsia" w:ascii="仿宋_GB2312" w:hAnsi="宋体" w:eastAsia="仿宋_GB2312" w:cs="Times New Roman"/>
          <w:b w:val="0"/>
          <w:bCs w:val="0"/>
          <w:color w:val="000000"/>
          <w:sz w:val="32"/>
          <w:szCs w:val="32"/>
          <w:lang w:eastAsia="zh-CN"/>
        </w:rPr>
        <w:t>镇镇长</w:t>
      </w:r>
      <w:r>
        <w:rPr>
          <w:rFonts w:hint="eastAsia" w:ascii="仿宋_GB2312" w:hAnsi="宋体" w:eastAsia="仿宋_GB2312" w:cs="Times New Roman"/>
          <w:b w:val="0"/>
          <w:bCs w:val="0"/>
          <w:color w:val="000000"/>
          <w:sz w:val="32"/>
          <w:szCs w:val="32"/>
        </w:rPr>
        <w:t>办公会会议纪要，经</w:t>
      </w:r>
      <w:r>
        <w:rPr>
          <w:rFonts w:hint="eastAsia" w:ascii="仿宋_GB2312" w:hAnsi="宋体" w:eastAsia="仿宋_GB2312" w:cs="Times New Roman"/>
          <w:b w:val="0"/>
          <w:bCs w:val="0"/>
          <w:color w:val="000000"/>
          <w:sz w:val="32"/>
          <w:szCs w:val="32"/>
          <w:lang w:val="en-US" w:eastAsia="zh-CN"/>
        </w:rPr>
        <w:t>太师屯</w:t>
      </w:r>
      <w:r>
        <w:rPr>
          <w:rFonts w:hint="eastAsia" w:ascii="仿宋_GB2312" w:hAnsi="宋体" w:eastAsia="仿宋_GB2312" w:cs="Times New Roman"/>
          <w:b w:val="0"/>
          <w:bCs w:val="0"/>
          <w:color w:val="000000"/>
          <w:sz w:val="32"/>
          <w:szCs w:val="32"/>
          <w:lang w:eastAsia="zh-CN"/>
        </w:rPr>
        <w:t>镇</w:t>
      </w:r>
      <w:r>
        <w:rPr>
          <w:rFonts w:hint="eastAsia" w:ascii="仿宋_GB2312" w:hAnsi="宋体" w:eastAsia="仿宋_GB2312" w:cs="Times New Roman"/>
          <w:b w:val="0"/>
          <w:bCs w:val="0"/>
          <w:color w:val="000000"/>
          <w:sz w:val="32"/>
          <w:szCs w:val="32"/>
        </w:rPr>
        <w:t>集体决策</w:t>
      </w:r>
      <w:r>
        <w:rPr>
          <w:rFonts w:hint="eastAsia" w:ascii="仿宋_GB2312" w:hAnsi="宋体" w:eastAsia="仿宋_GB2312" w:cs="Times New Roman"/>
          <w:b w:val="0"/>
          <w:bCs w:val="0"/>
          <w:color w:val="000000"/>
          <w:sz w:val="32"/>
          <w:szCs w:val="32"/>
          <w:lang w:eastAsia="zh-CN"/>
        </w:rPr>
        <w:t>。</w:t>
      </w:r>
    </w:p>
    <w:p>
      <w:pPr>
        <w:numPr>
          <w:ilvl w:val="0"/>
          <w:numId w:val="2"/>
        </w:numPr>
        <w:spacing w:line="560" w:lineRule="exact"/>
        <w:ind w:left="-321" w:leftChars="0" w:firstLine="321" w:firstLineChars="0"/>
        <w:outlineLvl w:val="0"/>
        <w:rPr>
          <w:rFonts w:hint="eastAsia" w:ascii="仿宋_GB2312" w:hAnsi="Arial" w:eastAsia="仿宋_GB2312" w:cs="Times New Roman"/>
          <w:b/>
          <w:bCs/>
          <w:kern w:val="44"/>
          <w:sz w:val="32"/>
          <w:szCs w:val="20"/>
          <w:lang w:val="en-US" w:eastAsia="zh-CN" w:bidi="ar-SA"/>
          <w14:shadow w14:blurRad="50800" w14:dist="38100" w14:dir="2700000" w14:sx="100000" w14:sy="100000" w14:kx="0" w14:ky="0" w14:algn="tl">
            <w14:srgbClr w14:val="000000">
              <w14:alpha w14:val="60000"/>
            </w14:srgbClr>
          </w14:shadow>
        </w:rPr>
      </w:pPr>
      <w:r>
        <w:rPr>
          <w:rFonts w:hint="eastAsia" w:ascii="仿宋_GB2312" w:hAnsi="Arial" w:eastAsia="仿宋_GB2312" w:cs="Times New Roman"/>
          <w:b/>
          <w:bCs/>
          <w:kern w:val="44"/>
          <w:sz w:val="32"/>
          <w:szCs w:val="20"/>
          <w:lang w:val="en-US" w:eastAsia="zh-CN" w:bidi="ar-SA"/>
          <w14:shadow w14:blurRad="50800" w14:dist="38100" w14:dir="2700000" w14:sx="100000" w14:sy="100000" w14:kx="0" w14:ky="0" w14:algn="tl">
            <w14:srgbClr w14:val="000000">
              <w14:alpha w14:val="60000"/>
            </w14:srgbClr>
          </w14:shadow>
        </w:rPr>
        <w:t>项目过程情况</w:t>
      </w:r>
    </w:p>
    <w:p>
      <w:pPr>
        <w:spacing w:line="360" w:lineRule="auto"/>
        <w:ind w:firstLine="640" w:firstLineChars="200"/>
        <w:rPr>
          <w:rFonts w:ascii="仿宋_GB2312" w:hAnsi="宋体" w:eastAsia="仿宋_GB2312" w:cs="Times New Roman"/>
          <w:color w:val="000000"/>
          <w:sz w:val="32"/>
          <w:szCs w:val="32"/>
        </w:rPr>
      </w:pPr>
      <w:r>
        <w:rPr>
          <w:rFonts w:hint="eastAsia" w:ascii="仿宋_GB2312" w:hAnsi="宋体" w:eastAsia="仿宋_GB2312" w:cs="Times New Roman"/>
          <w:color w:val="000000"/>
          <w:sz w:val="32"/>
          <w:szCs w:val="32"/>
        </w:rPr>
        <w:t>1、资金管理制度建设情况</w:t>
      </w:r>
    </w:p>
    <w:p>
      <w:pPr>
        <w:spacing w:line="360" w:lineRule="auto"/>
        <w:ind w:firstLine="640" w:firstLineChars="200"/>
        <w:rPr>
          <w:rFonts w:ascii="仿宋_GB2312" w:hAnsi="宋体" w:eastAsia="仿宋_GB2312" w:cs="Times New Roman"/>
          <w:color w:val="000000"/>
          <w:sz w:val="32"/>
          <w:szCs w:val="32"/>
        </w:rPr>
      </w:pPr>
      <w:r>
        <w:rPr>
          <w:rFonts w:hint="eastAsia" w:ascii="仿宋_GB2312" w:hAnsi="宋体" w:eastAsia="仿宋_GB2312" w:cs="Times New Roman"/>
          <w:color w:val="000000"/>
          <w:sz w:val="32"/>
          <w:szCs w:val="32"/>
          <w:lang w:val="en-US" w:eastAsia="zh-CN"/>
        </w:rPr>
        <w:t>太师屯</w:t>
      </w:r>
      <w:r>
        <w:rPr>
          <w:rFonts w:hint="eastAsia" w:ascii="仿宋_GB2312" w:hAnsi="宋体" w:eastAsia="仿宋_GB2312" w:cs="Times New Roman"/>
          <w:color w:val="000000"/>
          <w:sz w:val="32"/>
          <w:szCs w:val="32"/>
          <w:lang w:eastAsia="zh-CN"/>
        </w:rPr>
        <w:t>镇</w:t>
      </w:r>
      <w:r>
        <w:rPr>
          <w:rFonts w:hint="eastAsia" w:ascii="仿宋_GB2312" w:hAnsi="宋体" w:eastAsia="仿宋_GB2312" w:cs="Times New Roman"/>
          <w:color w:val="000000"/>
          <w:sz w:val="32"/>
          <w:szCs w:val="32"/>
        </w:rPr>
        <w:t>为了确保项目预算编制科学合理、预算执行安全有效，依据</w:t>
      </w:r>
      <w:r>
        <w:rPr>
          <w:rFonts w:hint="eastAsia" w:ascii="仿宋_GB2312" w:hAnsi="宋体" w:eastAsia="仿宋_GB2312" w:cs="Times New Roman"/>
          <w:color w:val="000000"/>
          <w:sz w:val="32"/>
          <w:szCs w:val="32"/>
          <w:lang w:eastAsia="zh-CN"/>
        </w:rPr>
        <w:t>“三重一大”及“内控制度”审批</w:t>
      </w:r>
      <w:r>
        <w:rPr>
          <w:rFonts w:hint="eastAsia" w:ascii="仿宋_GB2312" w:hAnsi="宋体" w:eastAsia="仿宋_GB2312" w:cs="Times New Roman"/>
          <w:color w:val="000000"/>
          <w:sz w:val="32"/>
          <w:szCs w:val="32"/>
        </w:rPr>
        <w:t>流程，在项目实施过程中，严格按照制度要求对财政资金进行监管及使用，项目资金管理制度建设较为健全完善。</w:t>
      </w:r>
    </w:p>
    <w:p>
      <w:pPr>
        <w:spacing w:line="360" w:lineRule="auto"/>
        <w:ind w:firstLine="640" w:firstLineChars="200"/>
        <w:rPr>
          <w:rFonts w:ascii="仿宋_GB2312" w:hAnsi="宋体" w:eastAsia="仿宋_GB2312" w:cs="Times New Roman"/>
          <w:color w:val="000000"/>
          <w:sz w:val="32"/>
          <w:szCs w:val="32"/>
        </w:rPr>
      </w:pPr>
      <w:r>
        <w:rPr>
          <w:rFonts w:hint="eastAsia" w:ascii="仿宋_GB2312" w:hAnsi="宋体" w:eastAsia="仿宋_GB2312" w:cs="Times New Roman"/>
          <w:color w:val="000000"/>
          <w:sz w:val="32"/>
          <w:szCs w:val="32"/>
        </w:rPr>
        <w:t>2、资金管理情况</w:t>
      </w:r>
    </w:p>
    <w:p>
      <w:pPr>
        <w:pStyle w:val="2"/>
        <w:numPr>
          <w:ilvl w:val="0"/>
          <w:numId w:val="0"/>
        </w:numPr>
        <w:ind w:leftChars="0"/>
        <w:rPr>
          <w:rFonts w:hint="eastAsia"/>
        </w:rPr>
      </w:pPr>
      <w:r>
        <w:rPr>
          <w:rFonts w:hint="eastAsia" w:ascii="仿宋_GB2312" w:hAnsi="宋体" w:eastAsia="仿宋_GB2312" w:cs="Times New Roman"/>
          <w:color w:val="000000"/>
          <w:sz w:val="32"/>
          <w:szCs w:val="32"/>
        </w:rPr>
        <w:t>在项目的实施过程中，按照</w:t>
      </w:r>
      <w:r>
        <w:rPr>
          <w:rFonts w:hint="eastAsia" w:ascii="仿宋_GB2312" w:hAnsi="宋体" w:eastAsia="仿宋_GB2312" w:cs="Times New Roman"/>
          <w:color w:val="000000"/>
          <w:sz w:val="32"/>
          <w:szCs w:val="32"/>
          <w:lang w:val="en-US" w:eastAsia="zh-CN"/>
        </w:rPr>
        <w:t>太师屯</w:t>
      </w:r>
      <w:r>
        <w:rPr>
          <w:rFonts w:hint="eastAsia" w:ascii="仿宋_GB2312" w:hAnsi="宋体" w:eastAsia="仿宋_GB2312" w:cs="Times New Roman"/>
          <w:color w:val="000000"/>
          <w:sz w:val="32"/>
          <w:szCs w:val="32"/>
          <w:lang w:eastAsia="zh-CN"/>
        </w:rPr>
        <w:t>镇</w:t>
      </w:r>
      <w:r>
        <w:rPr>
          <w:rFonts w:hint="eastAsia" w:ascii="仿宋_GB2312" w:hAnsi="宋体" w:eastAsia="仿宋_GB2312" w:cs="Times New Roman"/>
          <w:color w:val="000000"/>
          <w:sz w:val="32"/>
          <w:szCs w:val="32"/>
        </w:rPr>
        <w:t>内部控制要求，需求部门提交资金支付申请单，由部门负责人审核通过后；业务分管领导进行审核，后经财务分管领导审批后，提交</w:t>
      </w:r>
      <w:r>
        <w:rPr>
          <w:rFonts w:hint="eastAsia" w:ascii="仿宋_GB2312" w:hAnsi="宋体" w:eastAsia="仿宋_GB2312" w:cs="Times New Roman"/>
          <w:color w:val="000000"/>
          <w:sz w:val="32"/>
          <w:szCs w:val="32"/>
          <w:lang w:eastAsia="zh-CN"/>
        </w:rPr>
        <w:t>镇长</w:t>
      </w:r>
      <w:r>
        <w:rPr>
          <w:rFonts w:hint="eastAsia" w:ascii="仿宋_GB2312" w:hAnsi="宋体" w:eastAsia="仿宋_GB2312" w:cs="Times New Roman"/>
          <w:color w:val="000000"/>
          <w:sz w:val="32"/>
          <w:szCs w:val="32"/>
        </w:rPr>
        <w:t>审批。其中，大于</w:t>
      </w:r>
      <w:r>
        <w:rPr>
          <w:rFonts w:hint="eastAsia" w:ascii="仿宋_GB2312" w:hAnsi="宋体" w:eastAsia="仿宋_GB2312" w:cs="Times New Roman"/>
          <w:color w:val="000000"/>
          <w:sz w:val="32"/>
          <w:szCs w:val="32"/>
          <w:lang w:val="en-US" w:eastAsia="zh-CN"/>
        </w:rPr>
        <w:t>3万元</w:t>
      </w:r>
      <w:r>
        <w:rPr>
          <w:rFonts w:hint="eastAsia" w:ascii="仿宋_GB2312" w:hAnsi="宋体" w:eastAsia="仿宋_GB2312" w:cs="Times New Roman"/>
          <w:color w:val="000000"/>
          <w:sz w:val="32"/>
          <w:szCs w:val="32"/>
        </w:rPr>
        <w:t>的项目，由</w:t>
      </w:r>
      <w:r>
        <w:rPr>
          <w:rFonts w:hint="eastAsia" w:ascii="仿宋_GB2312" w:hAnsi="宋体" w:eastAsia="仿宋_GB2312" w:cs="Times New Roman"/>
          <w:color w:val="000000"/>
          <w:sz w:val="32"/>
          <w:szCs w:val="32"/>
          <w:lang w:eastAsia="zh-CN"/>
        </w:rPr>
        <w:t>镇长</w:t>
      </w:r>
      <w:r>
        <w:rPr>
          <w:rFonts w:hint="eastAsia" w:ascii="仿宋_GB2312" w:hAnsi="宋体" w:eastAsia="仿宋_GB2312" w:cs="Times New Roman"/>
          <w:color w:val="000000"/>
          <w:sz w:val="32"/>
          <w:szCs w:val="32"/>
        </w:rPr>
        <w:t>办公会集体讨论决议，大于</w:t>
      </w:r>
      <w:r>
        <w:rPr>
          <w:rFonts w:hint="eastAsia" w:hAnsi="宋体" w:cs="Times New Roman"/>
          <w:color w:val="000000"/>
          <w:sz w:val="32"/>
          <w:szCs w:val="32"/>
          <w:lang w:val="en-US" w:eastAsia="zh-CN"/>
        </w:rPr>
        <w:t>3</w:t>
      </w:r>
      <w:r>
        <w:rPr>
          <w:rFonts w:hint="eastAsia" w:ascii="仿宋_GB2312" w:hAnsi="宋体" w:eastAsia="仿宋_GB2312" w:cs="Times New Roman"/>
          <w:color w:val="000000"/>
          <w:sz w:val="32"/>
          <w:szCs w:val="32"/>
          <w:lang w:val="en-US" w:eastAsia="zh-CN"/>
        </w:rPr>
        <w:t>0</w:t>
      </w:r>
      <w:r>
        <w:rPr>
          <w:rFonts w:hint="eastAsia" w:ascii="仿宋_GB2312" w:hAnsi="宋体" w:eastAsia="仿宋_GB2312" w:cs="Times New Roman"/>
          <w:color w:val="000000"/>
          <w:sz w:val="32"/>
          <w:szCs w:val="32"/>
        </w:rPr>
        <w:t>万元的项目，由</w:t>
      </w:r>
      <w:r>
        <w:rPr>
          <w:rFonts w:hint="eastAsia" w:ascii="仿宋_GB2312" w:hAnsi="宋体" w:eastAsia="仿宋_GB2312" w:cs="Times New Roman"/>
          <w:color w:val="000000"/>
          <w:sz w:val="32"/>
          <w:szCs w:val="32"/>
          <w:lang w:eastAsia="zh-CN"/>
        </w:rPr>
        <w:t>镇</w:t>
      </w:r>
      <w:r>
        <w:rPr>
          <w:rFonts w:hint="eastAsia" w:ascii="仿宋_GB2312" w:hAnsi="宋体" w:eastAsia="仿宋_GB2312" w:cs="Times New Roman"/>
          <w:color w:val="000000"/>
          <w:sz w:val="32"/>
          <w:szCs w:val="32"/>
        </w:rPr>
        <w:t>党委会集体决策</w:t>
      </w:r>
      <w:r>
        <w:rPr>
          <w:rFonts w:hint="eastAsia" w:ascii="仿宋_GB2312" w:hAnsi="宋体" w:eastAsia="仿宋_GB2312" w:cs="Times New Roman"/>
          <w:color w:val="000000"/>
          <w:sz w:val="32"/>
          <w:szCs w:val="32"/>
          <w:lang w:eastAsia="zh-CN"/>
        </w:rPr>
        <w:t>，手续齐全后方可拨付，</w:t>
      </w:r>
      <w:r>
        <w:rPr>
          <w:rFonts w:hint="eastAsia" w:ascii="仿宋_GB2312" w:hAnsi="宋体" w:eastAsia="仿宋_GB2312" w:cs="Times New Roman"/>
          <w:b w:val="0"/>
          <w:bCs w:val="0"/>
          <w:color w:val="000000"/>
          <w:sz w:val="32"/>
          <w:szCs w:val="32"/>
        </w:rPr>
        <w:t>项目总体资金管理较为规范有效</w:t>
      </w:r>
      <w:r>
        <w:rPr>
          <w:rFonts w:hint="eastAsia" w:ascii="仿宋_GB2312" w:hAnsi="宋体" w:eastAsia="仿宋_GB2312" w:cs="Times New Roman"/>
          <w:color w:val="000000"/>
          <w:sz w:val="32"/>
          <w:szCs w:val="32"/>
        </w:rPr>
        <w:t>。</w:t>
      </w:r>
    </w:p>
    <w:p>
      <w:pPr>
        <w:numPr>
          <w:ilvl w:val="0"/>
          <w:numId w:val="2"/>
        </w:numPr>
        <w:spacing w:line="560" w:lineRule="exact"/>
        <w:ind w:left="-321" w:leftChars="0" w:firstLine="321" w:firstLineChars="0"/>
        <w:outlineLvl w:val="0"/>
        <w:rPr>
          <w:rFonts w:hint="eastAsia" w:ascii="仿宋_GB2312" w:hAnsi="Arial" w:eastAsia="仿宋_GB2312" w:cs="Times New Roman"/>
          <w:b/>
          <w:bCs/>
          <w:kern w:val="44"/>
          <w:sz w:val="32"/>
          <w:szCs w:val="20"/>
          <w:lang w:val="en-US" w:eastAsia="zh-CN" w:bidi="ar-SA"/>
          <w14:shadow w14:blurRad="50800" w14:dist="38100" w14:dir="2700000" w14:sx="100000" w14:sy="100000" w14:kx="0" w14:ky="0" w14:algn="tl">
            <w14:srgbClr w14:val="000000">
              <w14:alpha w14:val="60000"/>
            </w14:srgbClr>
          </w14:shadow>
        </w:rPr>
      </w:pPr>
      <w:r>
        <w:rPr>
          <w:rFonts w:hint="eastAsia" w:ascii="仿宋_GB2312" w:hAnsi="Arial" w:eastAsia="仿宋_GB2312" w:cs="Times New Roman"/>
          <w:b/>
          <w:bCs/>
          <w:kern w:val="44"/>
          <w:sz w:val="32"/>
          <w:szCs w:val="20"/>
          <w:lang w:val="en-US" w:eastAsia="zh-CN" w:bidi="ar-SA"/>
          <w14:shadow w14:blurRad="50800" w14:dist="38100" w14:dir="2700000" w14:sx="100000" w14:sy="100000" w14:kx="0" w14:ky="0" w14:algn="tl">
            <w14:srgbClr w14:val="000000">
              <w14:alpha w14:val="60000"/>
            </w14:srgbClr>
          </w14:shadow>
        </w:rPr>
        <w:t>项目产出情况</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lang w:val="en-US" w:eastAsia="zh-CN"/>
        </w:rPr>
        <w:t>1、</w:t>
      </w:r>
      <w:r>
        <w:rPr>
          <w:rFonts w:hint="eastAsia" w:ascii="仿宋_GB2312" w:hAnsi="宋体" w:eastAsia="仿宋_GB2312" w:cs="仿宋_GB2312"/>
          <w:sz w:val="32"/>
          <w:szCs w:val="32"/>
        </w:rPr>
        <w:t>数量产出（或工作量）完成情况</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项目预期</w:t>
      </w:r>
      <w:r>
        <w:rPr>
          <w:rFonts w:hint="eastAsia" w:ascii="仿宋_GB2312" w:hAnsi="宋体" w:eastAsia="仿宋_GB2312" w:cs="仿宋_GB2312"/>
          <w:sz w:val="32"/>
          <w:szCs w:val="32"/>
          <w:lang w:val="en-US" w:eastAsia="zh-CN"/>
        </w:rPr>
        <w:t>34个村</w:t>
      </w:r>
      <w:r>
        <w:rPr>
          <w:rFonts w:hint="eastAsia" w:ascii="仿宋_GB2312" w:hAnsi="宋体" w:eastAsia="仿宋_GB2312" w:cs="仿宋_GB2312"/>
          <w:sz w:val="32"/>
          <w:szCs w:val="32"/>
        </w:rPr>
        <w:t>进行</w:t>
      </w:r>
      <w:r>
        <w:rPr>
          <w:rFonts w:hint="eastAsia" w:ascii="仿宋_GB2312" w:hAnsi="宋体" w:eastAsia="仿宋_GB2312" w:cs="仿宋_GB2312"/>
          <w:sz w:val="32"/>
          <w:szCs w:val="32"/>
          <w:lang w:eastAsia="zh-CN"/>
        </w:rPr>
        <w:t>村级公益事业的开展实施，</w:t>
      </w:r>
      <w:r>
        <w:rPr>
          <w:rFonts w:hint="eastAsia" w:ascii="仿宋_GB2312" w:hAnsi="宋体" w:eastAsia="仿宋_GB2312" w:cs="仿宋_GB2312"/>
          <w:sz w:val="32"/>
          <w:szCs w:val="32"/>
        </w:rPr>
        <w:t>项目数量指标完成较好。</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lang w:val="en-US" w:eastAsia="zh-CN"/>
        </w:rPr>
        <w:t>2、</w:t>
      </w:r>
      <w:r>
        <w:rPr>
          <w:rFonts w:hint="eastAsia" w:ascii="仿宋_GB2312" w:hAnsi="宋体" w:eastAsia="仿宋_GB2312" w:cs="仿宋_GB2312"/>
          <w:sz w:val="32"/>
          <w:szCs w:val="32"/>
        </w:rPr>
        <w:t>产出质量（或工作质量）完成情况</w:t>
      </w:r>
    </w:p>
    <w:p>
      <w:pPr>
        <w:spacing w:line="360" w:lineRule="auto"/>
        <w:ind w:firstLine="640" w:firstLineChars="200"/>
        <w:rPr>
          <w:rFonts w:ascii="仿宋_GB2312" w:hAnsi="宋体" w:eastAsia="仿宋_GB2312" w:cs="Times New Roman"/>
          <w:b/>
          <w:bCs/>
          <w:color w:val="000000"/>
          <w:sz w:val="32"/>
          <w:szCs w:val="32"/>
        </w:rPr>
      </w:pPr>
      <w:r>
        <w:rPr>
          <w:rFonts w:hint="eastAsia" w:ascii="仿宋_GB2312" w:hAnsi="宋体" w:eastAsia="仿宋_GB2312" w:cs="Times New Roman"/>
          <w:color w:val="000000"/>
          <w:sz w:val="32"/>
          <w:szCs w:val="32"/>
          <w:lang w:eastAsia="zh-CN"/>
        </w:rPr>
        <w:t>村级</w:t>
      </w:r>
      <w:r>
        <w:rPr>
          <w:rFonts w:hint="eastAsia" w:ascii="仿宋_GB2312" w:hAnsi="宋体" w:eastAsia="仿宋_GB2312" w:cs="Times New Roman"/>
          <w:color w:val="000000"/>
          <w:sz w:val="32"/>
          <w:szCs w:val="32"/>
        </w:rPr>
        <w:t>公益</w:t>
      </w:r>
      <w:r>
        <w:rPr>
          <w:rFonts w:hint="eastAsia" w:ascii="仿宋_GB2312" w:hAnsi="宋体" w:eastAsia="仿宋_GB2312" w:cs="Times New Roman"/>
          <w:color w:val="000000"/>
          <w:sz w:val="32"/>
          <w:szCs w:val="32"/>
          <w:lang w:eastAsia="zh-CN"/>
        </w:rPr>
        <w:t>事业</w:t>
      </w:r>
      <w:r>
        <w:rPr>
          <w:rFonts w:hint="eastAsia" w:ascii="仿宋_GB2312" w:hAnsi="宋体" w:eastAsia="仿宋_GB2312" w:cs="Times New Roman"/>
          <w:color w:val="000000"/>
          <w:sz w:val="32"/>
          <w:szCs w:val="32"/>
        </w:rPr>
        <w:t>金主要用于</w:t>
      </w:r>
      <w:r>
        <w:rPr>
          <w:rFonts w:hint="eastAsia" w:ascii="仿宋_GB2312" w:hAnsi="宋体" w:eastAsia="仿宋_GB2312" w:cs="Times New Roman"/>
          <w:color w:val="000000"/>
          <w:sz w:val="32"/>
          <w:szCs w:val="32"/>
          <w:lang w:eastAsia="zh-CN"/>
        </w:rPr>
        <w:t>村级污水电费，安装护栏、维修管道、清扫卫生、垃圾清运、安保执勤，维修管道，路灯维修，村级零星用工，清扫工具等公益事业，</w:t>
      </w:r>
      <w:r>
        <w:rPr>
          <w:rFonts w:hint="eastAsia" w:ascii="仿宋_GB2312" w:hAnsi="宋体" w:eastAsia="仿宋_GB2312" w:cs="Times New Roman"/>
          <w:b w:val="0"/>
          <w:bCs w:val="0"/>
          <w:color w:val="000000"/>
          <w:sz w:val="32"/>
          <w:szCs w:val="32"/>
        </w:rPr>
        <w:t>以支持</w:t>
      </w:r>
      <w:r>
        <w:rPr>
          <w:rFonts w:hint="eastAsia" w:ascii="仿宋_GB2312" w:hAnsi="宋体" w:eastAsia="仿宋_GB2312" w:cs="Times New Roman"/>
          <w:b w:val="0"/>
          <w:bCs w:val="0"/>
          <w:color w:val="000000"/>
          <w:sz w:val="32"/>
          <w:szCs w:val="32"/>
          <w:lang w:eastAsia="zh-CN"/>
        </w:rPr>
        <w:t>村级</w:t>
      </w:r>
      <w:r>
        <w:rPr>
          <w:rFonts w:hint="eastAsia" w:ascii="仿宋_GB2312" w:hAnsi="宋体" w:eastAsia="仿宋_GB2312" w:cs="Times New Roman"/>
          <w:b w:val="0"/>
          <w:bCs w:val="0"/>
          <w:color w:val="000000"/>
          <w:sz w:val="32"/>
          <w:szCs w:val="32"/>
        </w:rPr>
        <w:t>建设，</w:t>
      </w:r>
      <w:r>
        <w:rPr>
          <w:rFonts w:hint="eastAsia" w:ascii="仿宋_GB2312" w:hAnsi="宋体" w:eastAsia="仿宋_GB2312" w:cs="Times New Roman"/>
          <w:b w:val="0"/>
          <w:bCs w:val="0"/>
          <w:color w:val="000000"/>
          <w:sz w:val="32"/>
          <w:szCs w:val="32"/>
          <w:lang w:eastAsia="zh-CN"/>
        </w:rPr>
        <w:t>提高村民生活及居住环境质量，</w:t>
      </w:r>
      <w:r>
        <w:rPr>
          <w:rFonts w:hint="eastAsia" w:ascii="仿宋_GB2312" w:hAnsi="宋体" w:eastAsia="仿宋_GB2312" w:cs="Times New Roman"/>
          <w:b w:val="0"/>
          <w:bCs w:val="0"/>
          <w:color w:val="000000"/>
          <w:sz w:val="32"/>
          <w:szCs w:val="32"/>
        </w:rPr>
        <w:t>促进</w:t>
      </w:r>
      <w:r>
        <w:rPr>
          <w:rFonts w:hint="eastAsia" w:ascii="仿宋_GB2312" w:hAnsi="宋体" w:eastAsia="仿宋_GB2312" w:cs="Times New Roman"/>
          <w:b w:val="0"/>
          <w:bCs w:val="0"/>
          <w:color w:val="000000"/>
          <w:sz w:val="32"/>
          <w:szCs w:val="32"/>
          <w:lang w:eastAsia="zh-CN"/>
        </w:rPr>
        <w:t>社会</w:t>
      </w:r>
      <w:r>
        <w:rPr>
          <w:rFonts w:hint="eastAsia" w:ascii="仿宋_GB2312" w:hAnsi="宋体" w:eastAsia="仿宋_GB2312" w:cs="Times New Roman"/>
          <w:b w:val="0"/>
          <w:bCs w:val="0"/>
          <w:color w:val="000000"/>
          <w:sz w:val="32"/>
          <w:szCs w:val="32"/>
        </w:rPr>
        <w:t>和谐稳定发展。</w:t>
      </w:r>
      <w:r>
        <w:rPr>
          <w:rFonts w:hint="eastAsia" w:ascii="仿宋_GB2312" w:hAnsi="宋体" w:eastAsia="仿宋_GB2312" w:cs="Times New Roman"/>
          <w:b/>
          <w:bCs/>
          <w:color w:val="000000"/>
          <w:sz w:val="32"/>
          <w:szCs w:val="32"/>
        </w:rPr>
        <w:t xml:space="preserve"> </w:t>
      </w:r>
    </w:p>
    <w:p>
      <w:pPr>
        <w:spacing w:line="360" w:lineRule="auto"/>
        <w:rPr>
          <w:rFonts w:ascii="仿宋_GB2312" w:hAnsi="宋体" w:eastAsia="仿宋_GB2312" w:cs="Times New Roman"/>
          <w:sz w:val="32"/>
          <w:szCs w:val="32"/>
        </w:rPr>
      </w:pPr>
      <w:r>
        <w:rPr>
          <w:rFonts w:hint="eastAsia" w:ascii="仿宋_GB2312" w:hAnsi="宋体" w:eastAsia="仿宋_GB2312" w:cs="仿宋_GB2312"/>
          <w:sz w:val="32"/>
          <w:szCs w:val="32"/>
        </w:rPr>
        <w:t>未发现出现安全事故的情况，项目质量控制较为规范有效，保证了</w:t>
      </w:r>
      <w:r>
        <w:rPr>
          <w:rFonts w:hint="eastAsia" w:ascii="仿宋_GB2312" w:hAnsi="宋体" w:eastAsia="仿宋_GB2312" w:cs="仿宋_GB2312"/>
          <w:sz w:val="32"/>
          <w:szCs w:val="32"/>
          <w:lang w:val="en-US" w:eastAsia="zh-CN"/>
        </w:rPr>
        <w:t>34个村的村的公益事业</w:t>
      </w:r>
      <w:r>
        <w:rPr>
          <w:rFonts w:hint="eastAsia" w:ascii="仿宋_GB2312" w:hAnsi="宋体" w:eastAsia="仿宋_GB2312" w:cs="仿宋_GB2312"/>
          <w:sz w:val="32"/>
          <w:szCs w:val="32"/>
        </w:rPr>
        <w:t>，质量产出良好。</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lang w:val="en-US" w:eastAsia="zh-CN"/>
        </w:rPr>
        <w:t>3、</w:t>
      </w:r>
      <w:r>
        <w:rPr>
          <w:rFonts w:hint="eastAsia" w:ascii="仿宋_GB2312" w:hAnsi="宋体" w:eastAsia="仿宋_GB2312" w:cs="仿宋_GB2312"/>
          <w:sz w:val="32"/>
          <w:szCs w:val="32"/>
        </w:rPr>
        <w:t>产出进度（或工作进度）完成情况</w:t>
      </w:r>
    </w:p>
    <w:p>
      <w:pPr>
        <w:spacing w:line="520" w:lineRule="exact"/>
        <w:ind w:firstLine="640" w:firstLineChars="200"/>
        <w:rPr>
          <w:rFonts w:ascii="仿宋_GB2312" w:hAnsi="宋体" w:eastAsia="仿宋_GB2312" w:cs="Times New Roman"/>
          <w:b w:val="0"/>
          <w:bCs w:val="0"/>
          <w:sz w:val="32"/>
          <w:szCs w:val="32"/>
        </w:rPr>
      </w:pPr>
      <w:r>
        <w:rPr>
          <w:rFonts w:hint="eastAsia" w:ascii="仿宋_GB2312" w:hAnsi="宋体" w:eastAsia="仿宋_GB2312" w:cs="仿宋_GB2312"/>
          <w:b w:val="0"/>
          <w:bCs w:val="0"/>
          <w:sz w:val="32"/>
          <w:szCs w:val="32"/>
          <w:lang w:eastAsia="zh-CN"/>
        </w:rPr>
        <w:t>我镇</w:t>
      </w:r>
      <w:r>
        <w:rPr>
          <w:rFonts w:hint="eastAsia" w:ascii="仿宋_GB2312" w:hAnsi="宋体" w:eastAsia="仿宋_GB2312" w:cs="仿宋_GB2312"/>
          <w:b w:val="0"/>
          <w:bCs w:val="0"/>
          <w:sz w:val="32"/>
          <w:szCs w:val="32"/>
          <w:lang w:val="en-US" w:eastAsia="zh-CN"/>
        </w:rPr>
        <w:t>34个村根据各村的实际情况，优先安排群众生产生活密切相关的项目，按规定时间及时完成，</w:t>
      </w:r>
      <w:r>
        <w:rPr>
          <w:rFonts w:hint="eastAsia" w:ascii="仿宋_GB2312" w:hAnsi="宋体" w:eastAsia="仿宋_GB2312" w:cs="仿宋_GB2312"/>
          <w:b w:val="0"/>
          <w:bCs w:val="0"/>
          <w:sz w:val="32"/>
          <w:szCs w:val="32"/>
        </w:rPr>
        <w:t>未接到居民关于施工的举报，项目总体进度把控较好。</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lang w:val="en-US" w:eastAsia="zh-CN"/>
        </w:rPr>
        <w:t>4、</w:t>
      </w:r>
      <w:r>
        <w:rPr>
          <w:rFonts w:hint="eastAsia" w:ascii="仿宋_GB2312" w:hAnsi="宋体" w:eastAsia="仿宋_GB2312" w:cs="仿宋_GB2312"/>
          <w:sz w:val="32"/>
          <w:szCs w:val="32"/>
        </w:rPr>
        <w:t>产出成本（或工作成本）完成情况</w:t>
      </w:r>
    </w:p>
    <w:p>
      <w:pPr>
        <w:pStyle w:val="2"/>
        <w:numPr>
          <w:ilvl w:val="0"/>
          <w:numId w:val="0"/>
        </w:numPr>
        <w:ind w:leftChars="0"/>
        <w:rPr>
          <w:rFonts w:hint="eastAsia"/>
        </w:rPr>
      </w:pPr>
      <w:r>
        <w:rPr>
          <w:rFonts w:hint="eastAsia" w:ascii="仿宋_GB2312" w:hAnsi="宋体" w:eastAsia="仿宋_GB2312" w:cs="仿宋_GB2312"/>
          <w:sz w:val="32"/>
          <w:szCs w:val="32"/>
        </w:rPr>
        <w:t>项目实际支出为</w:t>
      </w:r>
      <w:r>
        <w:rPr>
          <w:rFonts w:hint="eastAsia" w:ascii="仿宋_GB2312" w:hAnsi="宋体" w:eastAsia="仿宋_GB2312" w:cs="仿宋_GB2312"/>
          <w:sz w:val="32"/>
          <w:szCs w:val="32"/>
          <w:lang w:val="en-US" w:eastAsia="zh-CN"/>
        </w:rPr>
        <w:t>912.56</w:t>
      </w:r>
      <w:r>
        <w:rPr>
          <w:rFonts w:hint="eastAsia" w:ascii="仿宋_GB2312" w:hAnsi="宋体" w:eastAsia="仿宋_GB2312" w:cs="仿宋_GB2312"/>
          <w:sz w:val="32"/>
          <w:szCs w:val="32"/>
        </w:rPr>
        <w:t>万元，未超过预算金额，项目成本指标控制较好。</w:t>
      </w:r>
    </w:p>
    <w:p>
      <w:pPr>
        <w:numPr>
          <w:ilvl w:val="0"/>
          <w:numId w:val="2"/>
        </w:numPr>
        <w:spacing w:line="560" w:lineRule="exact"/>
        <w:ind w:left="-321" w:leftChars="0" w:firstLine="321" w:firstLineChars="0"/>
        <w:outlineLvl w:val="0"/>
        <w:rPr>
          <w:rFonts w:hint="eastAsia" w:ascii="仿宋_GB2312" w:hAnsi="Arial" w:eastAsia="仿宋_GB2312" w:cs="Times New Roman"/>
          <w:b/>
          <w:bCs/>
          <w:kern w:val="44"/>
          <w:sz w:val="32"/>
          <w:szCs w:val="20"/>
          <w:lang w:val="en-US" w:eastAsia="zh-CN" w:bidi="ar-SA"/>
          <w14:shadow w14:blurRad="50800" w14:dist="38100" w14:dir="2700000" w14:sx="100000" w14:sy="100000" w14:kx="0" w14:ky="0" w14:algn="tl">
            <w14:srgbClr w14:val="000000">
              <w14:alpha w14:val="60000"/>
            </w14:srgbClr>
          </w14:shadow>
        </w:rPr>
      </w:pPr>
      <w:r>
        <w:rPr>
          <w:rFonts w:hint="eastAsia" w:ascii="仿宋_GB2312" w:hAnsi="Arial" w:eastAsia="仿宋_GB2312" w:cs="Times New Roman"/>
          <w:b/>
          <w:bCs/>
          <w:kern w:val="44"/>
          <w:sz w:val="32"/>
          <w:szCs w:val="20"/>
          <w:lang w:val="en-US" w:eastAsia="zh-CN" w:bidi="ar-SA"/>
          <w14:shadow w14:blurRad="50800" w14:dist="38100" w14:dir="2700000" w14:sx="100000" w14:sy="100000" w14:kx="0" w14:ky="0" w14:algn="tl">
            <w14:srgbClr w14:val="000000">
              <w14:alpha w14:val="60000"/>
            </w14:srgbClr>
          </w14:shadow>
        </w:rPr>
        <w:t>项目效益情况</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lang w:val="en-US" w:eastAsia="zh-CN"/>
        </w:rPr>
        <w:t>1、</w:t>
      </w:r>
      <w:r>
        <w:rPr>
          <w:rFonts w:hint="eastAsia" w:ascii="仿宋_GB2312" w:hAnsi="宋体" w:eastAsia="仿宋_GB2312" w:cs="仿宋_GB2312"/>
          <w:sz w:val="32"/>
          <w:szCs w:val="32"/>
        </w:rPr>
        <w:t>项目经济效益实现情况</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lang w:eastAsia="zh-CN"/>
        </w:rPr>
        <w:t>村民环境卫生，用水用电，生产生活有了公益金作保障，环境整洁度提升，增加了村民的旅游收入。</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lang w:val="en-US" w:eastAsia="zh-CN"/>
        </w:rPr>
        <w:t>2、</w:t>
      </w:r>
      <w:r>
        <w:rPr>
          <w:rFonts w:hint="eastAsia" w:ascii="仿宋_GB2312" w:hAnsi="宋体" w:eastAsia="仿宋_GB2312" w:cs="仿宋_GB2312"/>
          <w:sz w:val="32"/>
          <w:szCs w:val="32"/>
        </w:rPr>
        <w:t>项目社会效益实现情况</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村级环境、饮水安全、清洁卫生，人民的生活及环境清洁有资金保障，社会和谐稳</w:t>
      </w:r>
      <w:r>
        <w:rPr>
          <w:rFonts w:hint="eastAsia" w:ascii="仿宋_GB2312" w:hAnsi="宋体" w:eastAsia="仿宋_GB2312" w:cs="仿宋_GB2312"/>
          <w:sz w:val="32"/>
          <w:szCs w:val="32"/>
          <w:lang w:eastAsia="zh-CN"/>
        </w:rPr>
        <w:t>，</w:t>
      </w:r>
      <w:r>
        <w:rPr>
          <w:rFonts w:hint="eastAsia" w:ascii="仿宋_GB2312" w:hAnsi="宋体" w:eastAsia="仿宋_GB2312" w:cs="仿宋_GB2312"/>
          <w:sz w:val="32"/>
          <w:szCs w:val="32"/>
        </w:rPr>
        <w:t>使本地区政治经济文化等各项事业得到了更好的发展</w:t>
      </w:r>
      <w:r>
        <w:rPr>
          <w:rFonts w:ascii="仿宋_GB2312" w:hAnsi="宋体" w:eastAsia="仿宋_GB2312" w:cs="仿宋_GB2312"/>
          <w:sz w:val="32"/>
          <w:szCs w:val="32"/>
        </w:rPr>
        <w:t>,</w:t>
      </w:r>
      <w:r>
        <w:rPr>
          <w:rFonts w:hint="eastAsia" w:ascii="仿宋_GB2312" w:hAnsi="宋体" w:eastAsia="仿宋_GB2312" w:cs="仿宋_GB2312"/>
          <w:sz w:val="32"/>
          <w:szCs w:val="32"/>
        </w:rPr>
        <w:t>项目社会效益较为明显。</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lang w:val="en-US" w:eastAsia="zh-CN"/>
        </w:rPr>
        <w:t>3、</w:t>
      </w:r>
      <w:r>
        <w:rPr>
          <w:rFonts w:hint="eastAsia" w:ascii="仿宋_GB2312" w:hAnsi="宋体" w:eastAsia="仿宋_GB2312" w:cs="仿宋_GB2312"/>
          <w:sz w:val="32"/>
          <w:szCs w:val="32"/>
        </w:rPr>
        <w:t>项目环境效益实现情况</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lang w:eastAsia="zh-CN"/>
        </w:rPr>
        <w:t>通过村级公益事业金，对村级垃圾及卫生的治理，</w:t>
      </w:r>
      <w:r>
        <w:rPr>
          <w:rFonts w:hint="eastAsia" w:ascii="仿宋_GB2312" w:hAnsi="宋体" w:eastAsia="仿宋_GB2312" w:cs="仿宋_GB2312"/>
          <w:sz w:val="32"/>
          <w:szCs w:val="32"/>
        </w:rPr>
        <w:t>美化了环境，</w:t>
      </w:r>
      <w:r>
        <w:rPr>
          <w:rFonts w:hint="eastAsia" w:ascii="仿宋_GB2312" w:hAnsi="宋体" w:eastAsia="仿宋_GB2312" w:cs="仿宋_GB2312"/>
          <w:sz w:val="32"/>
          <w:szCs w:val="32"/>
          <w:lang w:eastAsia="zh-CN"/>
        </w:rPr>
        <w:t>民俗旅游收入显著提升，</w:t>
      </w:r>
      <w:r>
        <w:rPr>
          <w:rFonts w:hint="eastAsia" w:ascii="仿宋_GB2312" w:hAnsi="宋体" w:eastAsia="仿宋_GB2312" w:cs="仿宋_GB2312"/>
          <w:sz w:val="32"/>
          <w:szCs w:val="32"/>
        </w:rPr>
        <w:t>项目环境效益较为明显。</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lang w:val="en-US" w:eastAsia="zh-CN"/>
        </w:rPr>
        <w:t>4、</w:t>
      </w:r>
      <w:r>
        <w:rPr>
          <w:rFonts w:hint="eastAsia" w:ascii="仿宋_GB2312" w:hAnsi="宋体" w:eastAsia="仿宋_GB2312" w:cs="仿宋_GB2312"/>
          <w:sz w:val="32"/>
          <w:szCs w:val="32"/>
        </w:rPr>
        <w:t>项目实施的可持续影响</w:t>
      </w:r>
    </w:p>
    <w:p>
      <w:pPr>
        <w:pStyle w:val="2"/>
        <w:numPr>
          <w:ilvl w:val="0"/>
          <w:numId w:val="0"/>
        </w:numPr>
        <w:ind w:leftChars="0"/>
        <w:rPr>
          <w:rFonts w:hint="eastAsia" w:hAnsi="宋体" w:cs="仿宋_GB2312"/>
          <w:sz w:val="32"/>
          <w:szCs w:val="32"/>
          <w:lang w:eastAsia="zh-CN"/>
        </w:rPr>
      </w:pPr>
      <w:r>
        <w:rPr>
          <w:rFonts w:hint="eastAsia" w:ascii="仿宋_GB2312" w:hAnsi="宋体" w:eastAsia="仿宋_GB2312" w:cs="仿宋_GB2312"/>
          <w:sz w:val="32"/>
          <w:szCs w:val="32"/>
        </w:rPr>
        <w:t>项目立项所依据的政策是持续性政策，同时项目也是持续性项目，每年都在开展；项目的实施主体为持续性机构，项目完成后，对区域内的环境提升</w:t>
      </w:r>
      <w:r>
        <w:rPr>
          <w:rFonts w:hint="eastAsia" w:ascii="仿宋_GB2312" w:hAnsi="宋体" w:eastAsia="仿宋_GB2312" w:cs="仿宋_GB2312"/>
          <w:sz w:val="32"/>
          <w:szCs w:val="32"/>
          <w:lang w:eastAsia="zh-CN"/>
        </w:rPr>
        <w:t>及村民生活</w:t>
      </w:r>
      <w:r>
        <w:rPr>
          <w:rFonts w:hint="eastAsia" w:ascii="仿宋_GB2312" w:hAnsi="宋体" w:eastAsia="仿宋_GB2312" w:cs="仿宋_GB2312"/>
          <w:sz w:val="32"/>
          <w:szCs w:val="32"/>
        </w:rPr>
        <w:t>起到了积极作用，项目实施的可持续影响较好</w:t>
      </w:r>
      <w:r>
        <w:rPr>
          <w:rFonts w:hint="eastAsia" w:hAnsi="宋体" w:cs="仿宋_GB2312"/>
          <w:sz w:val="32"/>
          <w:szCs w:val="32"/>
          <w:lang w:eastAsia="zh-CN"/>
        </w:rPr>
        <w:t>。</w:t>
      </w:r>
    </w:p>
    <w:p>
      <w:pPr>
        <w:pStyle w:val="2"/>
        <w:numPr>
          <w:ilvl w:val="0"/>
          <w:numId w:val="0"/>
        </w:numPr>
        <w:ind w:left="210" w:leftChars="0"/>
        <w:rPr>
          <w:rFonts w:hint="eastAsia" w:ascii="黑体" w:hAnsi="Times New Roman" w:eastAsia="黑体" w:cs="Times New Roman"/>
          <w:b w:val="0"/>
          <w:bCs/>
          <w:kern w:val="0"/>
          <w:sz w:val="32"/>
          <w:szCs w:val="20"/>
          <w:lang w:val="en-US" w:eastAsia="zh-CN" w:bidi="ar-SA"/>
          <w14:shadow w14:blurRad="50800" w14:dist="38100" w14:dir="2700000" w14:sx="100000" w14:sy="100000" w14:kx="0" w14:ky="0" w14:algn="tl">
            <w14:srgbClr w14:val="000000">
              <w14:alpha w14:val="60000"/>
            </w14:srgbClr>
          </w14:shadow>
        </w:rPr>
      </w:pPr>
      <w:r>
        <w:rPr>
          <w:rFonts w:hint="eastAsia" w:ascii="黑体" w:hAnsi="Times New Roman" w:eastAsia="黑体" w:cs="Times New Roman"/>
          <w:b w:val="0"/>
          <w:bCs/>
          <w:kern w:val="0"/>
          <w:sz w:val="32"/>
          <w:szCs w:val="20"/>
          <w:lang w:val="en-US" w:eastAsia="zh-CN" w:bidi="ar-SA"/>
          <w14:shadow w14:blurRad="50800" w14:dist="38100" w14:dir="2700000" w14:sx="100000" w14:sy="100000" w14:kx="0" w14:ky="0" w14:algn="tl">
            <w14:srgbClr w14:val="000000">
              <w14:alpha w14:val="60000"/>
            </w14:srgbClr>
          </w14:shadow>
        </w:rPr>
        <w:t>五、主要经验及做法、存在的问题及原因分析</w:t>
      </w:r>
    </w:p>
    <w:p>
      <w:pPr>
        <w:pStyle w:val="2"/>
        <w:numPr>
          <w:ilvl w:val="0"/>
          <w:numId w:val="0"/>
        </w:numPr>
        <w:ind w:left="210" w:leftChars="0"/>
        <w:rPr>
          <w:rFonts w:hint="eastAsia" w:ascii="仿宋_GB2312" w:hAnsi="宋体" w:eastAsia="仿宋_GB2312" w:cs="仿宋_GB2312"/>
          <w:sz w:val="32"/>
          <w:szCs w:val="32"/>
        </w:rPr>
      </w:pPr>
      <w:r>
        <w:rPr>
          <w:rFonts w:hint="eastAsia" w:ascii="黑体" w:hAnsi="Times New Roman" w:eastAsia="黑体" w:cs="Times New Roman"/>
          <w:b w:val="0"/>
          <w:bCs/>
          <w:kern w:val="0"/>
          <w:sz w:val="32"/>
          <w:szCs w:val="20"/>
          <w:lang w:val="en-US" w:eastAsia="zh-CN" w:bidi="ar-SA"/>
          <w14:shadow w14:blurRad="50800" w14:dist="38100" w14:dir="2700000" w14:sx="100000" w14:sy="100000" w14:kx="0" w14:ky="0" w14:algn="tl">
            <w14:srgbClr w14:val="000000">
              <w14:alpha w14:val="60000"/>
            </w14:srgbClr>
          </w14:shadow>
        </w:rPr>
        <w:t xml:space="preserve">   </w:t>
      </w:r>
      <w:r>
        <w:rPr>
          <w:rFonts w:hint="eastAsia" w:ascii="仿宋_GB2312" w:hAnsi="宋体" w:eastAsia="仿宋_GB2312" w:cs="仿宋_GB2312"/>
          <w:sz w:val="32"/>
          <w:szCs w:val="32"/>
        </w:rPr>
        <w:t>绩效目标设置尚不够细化与量化</w:t>
      </w:r>
      <w:r>
        <w:rPr>
          <w:rFonts w:hint="eastAsia" w:hAnsi="宋体" w:cs="仿宋_GB2312"/>
          <w:sz w:val="32"/>
          <w:szCs w:val="32"/>
          <w:lang w:eastAsia="zh-CN"/>
        </w:rPr>
        <w:t>，</w:t>
      </w:r>
      <w:r>
        <w:rPr>
          <w:rFonts w:hint="eastAsia" w:ascii="仿宋_GB2312" w:hAnsi="宋体" w:eastAsia="仿宋_GB2312" w:cs="仿宋_GB2312"/>
          <w:sz w:val="32"/>
          <w:szCs w:val="32"/>
        </w:rPr>
        <w:t>项目组织机构设置不够细化，责任分工不够明确，未落实到人。</w:t>
      </w:r>
    </w:p>
    <w:p>
      <w:pPr>
        <w:numPr>
          <w:ilvl w:val="0"/>
          <w:numId w:val="3"/>
        </w:numPr>
        <w:spacing w:line="560" w:lineRule="exact"/>
        <w:ind w:firstLine="320" w:firstLineChars="100"/>
        <w:rPr>
          <w:rFonts w:hint="eastAsia" w:ascii="黑体" w:hAnsi="Times New Roman" w:eastAsia="黑体" w:cs="Times New Roman"/>
          <w:b w:val="0"/>
          <w:bCs/>
          <w:kern w:val="0"/>
          <w:sz w:val="32"/>
          <w:szCs w:val="20"/>
          <w:lang w:val="en-US" w:eastAsia="zh-CN" w:bidi="ar-SA"/>
          <w14:shadow w14:blurRad="50800" w14:dist="38100" w14:dir="2700000" w14:sx="100000" w14:sy="100000" w14:kx="0" w14:ky="0" w14:algn="tl">
            <w14:srgbClr w14:val="000000">
              <w14:alpha w14:val="60000"/>
            </w14:srgbClr>
          </w14:shadow>
        </w:rPr>
      </w:pPr>
      <w:r>
        <w:rPr>
          <w:rFonts w:hint="eastAsia" w:ascii="黑体" w:hAnsi="Times New Roman" w:eastAsia="黑体" w:cs="Times New Roman"/>
          <w:b w:val="0"/>
          <w:bCs/>
          <w:kern w:val="0"/>
          <w:sz w:val="32"/>
          <w:szCs w:val="20"/>
          <w:lang w:val="en-US" w:eastAsia="zh-CN" w:bidi="ar-SA"/>
          <w14:shadow w14:blurRad="50800" w14:dist="38100" w14:dir="2700000" w14:sx="100000" w14:sy="100000" w14:kx="0" w14:ky="0" w14:algn="tl">
            <w14:srgbClr w14:val="000000">
              <w14:alpha w14:val="60000"/>
            </w14:srgbClr>
          </w14:shadow>
        </w:rPr>
        <w:t>有关建议</w:t>
      </w:r>
    </w:p>
    <w:p>
      <w:pPr>
        <w:pStyle w:val="2"/>
        <w:numPr>
          <w:ilvl w:val="0"/>
          <w:numId w:val="0"/>
        </w:numPr>
        <w:rPr>
          <w:rFonts w:hint="default"/>
          <w:lang w:val="en-US" w:eastAsia="zh-CN"/>
        </w:rPr>
      </w:pPr>
      <w:r>
        <w:rPr>
          <w:rFonts w:hint="eastAsia"/>
          <w:lang w:val="en-US" w:eastAsia="zh-CN"/>
        </w:rPr>
        <w:t xml:space="preserve">     无</w:t>
      </w:r>
    </w:p>
    <w:p>
      <w:pPr>
        <w:numPr>
          <w:ilvl w:val="0"/>
          <w:numId w:val="3"/>
        </w:numPr>
        <w:spacing w:line="560" w:lineRule="exact"/>
        <w:ind w:left="0" w:leftChars="0" w:firstLine="320" w:firstLineChars="100"/>
        <w:rPr>
          <w:rFonts w:hint="eastAsia" w:ascii="黑体" w:hAnsi="Times New Roman" w:eastAsia="黑体" w:cs="Times New Roman"/>
          <w:b w:val="0"/>
          <w:bCs/>
          <w:kern w:val="0"/>
          <w:sz w:val="32"/>
          <w:szCs w:val="20"/>
          <w:lang w:val="en-US" w:eastAsia="zh-CN" w:bidi="ar-SA"/>
          <w14:shadow w14:blurRad="50800" w14:dist="38100" w14:dir="2700000" w14:sx="100000" w14:sy="100000" w14:kx="0" w14:ky="0" w14:algn="tl">
            <w14:srgbClr w14:val="000000">
              <w14:alpha w14:val="60000"/>
            </w14:srgbClr>
          </w14:shadow>
        </w:rPr>
      </w:pPr>
      <w:r>
        <w:rPr>
          <w:rFonts w:hint="eastAsia" w:ascii="黑体" w:hAnsi="Times New Roman" w:eastAsia="黑体" w:cs="Times New Roman"/>
          <w:b w:val="0"/>
          <w:bCs/>
          <w:kern w:val="0"/>
          <w:sz w:val="32"/>
          <w:szCs w:val="20"/>
          <w:lang w:val="en-US" w:eastAsia="zh-CN" w:bidi="ar-SA"/>
          <w14:shadow w14:blurRad="50800" w14:dist="38100" w14:dir="2700000" w14:sx="100000" w14:sy="100000" w14:kx="0" w14:ky="0" w14:algn="tl">
            <w14:srgbClr w14:val="000000">
              <w14:alpha w14:val="60000"/>
            </w14:srgbClr>
          </w14:shadow>
        </w:rPr>
        <w:t>其他需要说明的问题</w:t>
      </w:r>
    </w:p>
    <w:p>
      <w:pPr>
        <w:pStyle w:val="2"/>
        <w:numPr>
          <w:ilvl w:val="0"/>
          <w:numId w:val="0"/>
        </w:numPr>
        <w:ind w:leftChars="100" w:firstLine="640" w:firstLineChars="200"/>
      </w:pPr>
      <w:r>
        <w:rPr>
          <w:rFonts w:hint="eastAsia" w:ascii="仿宋_GB2312" w:hAnsi="宋体" w:eastAsia="仿宋_GB2312" w:cs="仿宋_GB2312"/>
          <w:sz w:val="32"/>
          <w:szCs w:val="32"/>
        </w:rPr>
        <w:t>在今后的项目开展过程中，对于组织机构设置，进一步明确责任分工，责任落实到人；对于过程管理，进一步加强管理的记录与留痕，提高日常管理的效率；对于绩效目标的制定，在确保目标明确合理的前提下，进一步细化量化，做到可评价、可考量、可验证。</w:t>
      </w:r>
    </w:p>
    <w:p>
      <w:pPr>
        <w:pStyle w:val="5"/>
        <w:ind w:firstLine="420"/>
      </w:pPr>
    </w:p>
    <w:p>
      <w:pPr>
        <w:pStyle w:val="5"/>
        <w:ind w:firstLine="420"/>
      </w:pPr>
    </w:p>
    <w:p>
      <w:pPr>
        <w:spacing w:line="480" w:lineRule="exact"/>
        <w:jc w:val="both"/>
        <w:rPr>
          <w:rFonts w:ascii="方正小标宋简体" w:hAnsi="黑体" w:eastAsia="方正小标宋简体"/>
          <w:sz w:val="36"/>
          <w:szCs w:val="36"/>
        </w:rPr>
      </w:pPr>
    </w:p>
    <w:p>
      <w:pPr>
        <w:jc w:val="center"/>
        <w:rPr>
          <w:rFonts w:ascii="仿宋_GB2312" w:eastAsia="仿宋_GB2312"/>
          <w:vanish/>
          <w:sz w:val="32"/>
          <w:szCs w:val="32"/>
        </w:rPr>
      </w:pPr>
      <w:r>
        <w:rPr>
          <w:rFonts w:ascii="仿宋_GB2312" w:eastAsia="仿宋_GB2312"/>
          <w:vanish/>
          <w:sz w:val="32"/>
          <w:szCs w:val="32"/>
        </w:rPr>
        <w:object>
          <v:shape id="_x0000_i1043" o:spt="75" type="#_x0000_t75" style="height:428.65pt;width:692.85pt;" o:ole="t" filled="f" o:preferrelative="t" stroked="f" coordsize="21600,21600">
            <v:path/>
            <v:fill on="f" focussize="0,0"/>
            <v:stroke on="f"/>
            <v:imagedata r:id="rId46" o:title=""/>
            <o:lock v:ext="edit" aspectratio="f"/>
            <w10:wrap type="none"/>
            <w10:anchorlock/>
          </v:shape>
          <o:OLEObject Type="Embed" ProgID="Excel.Sheet.12" ShapeID="_x0000_i1043" DrawAspect="Content" ObjectID="_1468075743" r:id="rId45">
            <o:LockedField>false</o:LockedField>
          </o:OLEObject>
        </w:object>
      </w:r>
    </w:p>
    <w:p>
      <w:pPr>
        <w:widowControl/>
        <w:jc w:val="center"/>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object>
          <v:shape id="_x0000_i1044" o:spt="75" type="#_x0000_t75" style="height:433.35pt;width:629.45pt;" o:ole="t" filled="f" o:preferrelative="t" stroked="f" coordsize="21600,21600">
            <v:path/>
            <v:fill on="f" focussize="0,0"/>
            <v:stroke on="f"/>
            <v:imagedata r:id="rId48" o:title=""/>
            <o:lock v:ext="edit" aspectratio="f"/>
            <w10:wrap type="none"/>
            <w10:anchorlock/>
          </v:shape>
          <o:OLEObject Type="Embed" ProgID="Excel.Sheet.12" ShapeID="_x0000_i1044" DrawAspect="Content" ObjectID="_1468075744" r:id="rId47">
            <o:LockedField>false</o:LockedField>
          </o:OLEObject>
        </w:object>
      </w:r>
      <w:r>
        <w:rPr>
          <w:rFonts w:ascii="仿宋_GB2312" w:hAnsi="宋体" w:eastAsia="仿宋_GB2312" w:cs="宋体"/>
          <w:color w:val="000000"/>
          <w:kern w:val="0"/>
          <w:sz w:val="32"/>
          <w:szCs w:val="32"/>
        </w:rPr>
        <w:object>
          <v:shape id="_x0000_i1045" o:spt="75" type="#_x0000_t75" style="height:436.05pt;width:568.85pt;" o:ole="t" filled="f" o:preferrelative="t" stroked="f" coordsize="21600,21600">
            <v:path/>
            <v:fill on="f" focussize="0,0"/>
            <v:stroke on="f"/>
            <v:imagedata r:id="rId50" o:title=""/>
            <o:lock v:ext="edit" aspectratio="f"/>
            <w10:wrap type="none"/>
            <w10:anchorlock/>
          </v:shape>
          <o:OLEObject Type="Embed" ProgID="Excel.Sheet.12" ShapeID="_x0000_i1045" DrawAspect="Content" ObjectID="_1468075745" r:id="rId49">
            <o:LockedField>false</o:LockedField>
          </o:OLEObject>
        </w:object>
      </w:r>
    </w:p>
    <w:p>
      <w:pPr>
        <w:jc w:val="center"/>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object>
          <v:shape id="_x0000_i1046" o:spt="75" type="#_x0000_t75" style="height:435.95pt;width:585.35pt;" o:ole="t" filled="f" o:preferrelative="t" stroked="f" coordsize="21600,21600">
            <v:path/>
            <v:fill on="f" focussize="0,0"/>
            <v:stroke on="f"/>
            <v:imagedata r:id="rId52" o:title=""/>
            <o:lock v:ext="edit" aspectratio="f"/>
            <w10:wrap type="none"/>
            <w10:anchorlock/>
          </v:shape>
          <o:OLEObject Type="Embed" ProgID="Excel.Sheet.12" ShapeID="_x0000_i1046" DrawAspect="Content" ObjectID="_1468075746" r:id="rId51">
            <o:LockedField>false</o:LockedField>
          </o:OLEObject>
        </w:object>
      </w:r>
    </w:p>
    <w:p>
      <w:pPr>
        <w:jc w:val="center"/>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object>
          <v:shape id="_x0000_i1047" o:spt="75" type="#_x0000_t75" style="height:435.9pt;width:608.25pt;" o:ole="t" filled="f" o:preferrelative="t" stroked="f" coordsize="21600,21600">
            <v:path/>
            <v:fill on="f" focussize="0,0"/>
            <v:stroke on="f"/>
            <v:imagedata r:id="rId54" o:title=""/>
            <o:lock v:ext="edit" aspectratio="f"/>
            <w10:wrap type="none"/>
            <w10:anchorlock/>
          </v:shape>
          <o:OLEObject Type="Embed" ProgID="Excel.Sheet.12" ShapeID="_x0000_i1047" DrawAspect="Content" ObjectID="_1468075747" r:id="rId53">
            <o:LockedField>false</o:LockedField>
          </o:OLEObject>
        </w:object>
      </w:r>
    </w:p>
    <w:p>
      <w:pPr>
        <w:jc w:val="center"/>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object>
          <v:shape id="_x0000_i1048" o:spt="75" type="#_x0000_t75" style="height:436.3pt;width:585.45pt;" o:ole="t" filled="f" o:preferrelative="t" stroked="f" coordsize="21600,21600">
            <v:path/>
            <v:fill on="f" focussize="0,0"/>
            <v:stroke on="f"/>
            <v:imagedata r:id="rId56" o:title=""/>
            <o:lock v:ext="edit" aspectratio="f"/>
            <w10:wrap type="none"/>
            <w10:anchorlock/>
          </v:shape>
          <o:OLEObject Type="Embed" ProgID="Excel.Sheet.12" ShapeID="_x0000_i1048" DrawAspect="Content" ObjectID="_1468075748" r:id="rId55">
            <o:LockedField>false</o:LockedField>
          </o:OLEObject>
        </w:object>
      </w:r>
    </w:p>
    <w:p>
      <w:pPr>
        <w:jc w:val="center"/>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object>
          <v:shape id="_x0000_i1049" o:spt="75" type="#_x0000_t75" style="height:435.25pt;width:604.6pt;" o:ole="t" filled="f" o:preferrelative="t" stroked="f" coordsize="21600,21600">
            <v:path/>
            <v:fill on="f" focussize="0,0"/>
            <v:stroke on="f"/>
            <v:imagedata r:id="rId58" o:title=""/>
            <o:lock v:ext="edit" aspectratio="f"/>
            <w10:wrap type="none"/>
            <w10:anchorlock/>
          </v:shape>
          <o:OLEObject Type="Embed" ProgID="Excel.Sheet.12" ShapeID="_x0000_i1049" DrawAspect="Content" ObjectID="_1468075749" r:id="rId57">
            <o:LockedField>false</o:LockedField>
          </o:OLEObject>
        </w:object>
      </w:r>
    </w:p>
    <w:p>
      <w:pPr>
        <w:jc w:val="center"/>
      </w:pPr>
      <w:r>
        <w:object>
          <v:shape id="_x0000_i1050" o:spt="75" type="#_x0000_t75" style="height:426.6pt;width:687.7pt;" o:ole="t" filled="f" o:preferrelative="t" stroked="f" coordsize="21600,21600">
            <v:path/>
            <v:fill on="f" focussize="0,0"/>
            <v:stroke on="f"/>
            <v:imagedata r:id="rId60" o:title=""/>
            <o:lock v:ext="edit" aspectratio="f"/>
            <w10:wrap type="none"/>
            <w10:anchorlock/>
          </v:shape>
          <o:OLEObject Type="Embed" ProgID="Excel.Sheet.12" ShapeID="_x0000_i1050" DrawAspect="Content" ObjectID="_1468075750" r:id="rId59">
            <o:LockedField>false</o:LockedField>
          </o:OLEObject>
        </w:object>
      </w: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4"/>
        <w:spacing w:before="156" w:after="156"/>
      </w:pPr>
    </w:p>
    <w:sectPr>
      <w:footerReference r:id="rId4" w:type="default"/>
      <w:footerReference r:id="rId5" w:type="even"/>
      <w:pgSz w:w="16838" w:h="11906" w:orient="landscape"/>
      <w:pgMar w:top="1134" w:right="1134" w:bottom="1134" w:left="1134"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Droid Sans">
    <w:altName w:val="微软雅黑"/>
    <w:panose1 w:val="00000000000000000000"/>
    <w:charset w:val="00"/>
    <w:family w:val="auto"/>
    <w:pitch w:val="default"/>
    <w:sig w:usb0="00000000" w:usb1="00000000" w:usb2="00000000" w:usb3="00000000" w:csb0="00040001" w:csb1="00000000"/>
  </w:font>
  <w:font w:name="方正小标宋简体">
    <w:altName w:val="微软雅黑"/>
    <w:panose1 w:val="00000000000000000000"/>
    <w:charset w:val="86"/>
    <w:family w:val="auto"/>
    <w:pitch w:val="default"/>
    <w:sig w:usb0="00000000" w:usb1="00000000" w:usb2="00000012"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5"/>
      </w:rPr>
    </w:pPr>
    <w:r>
      <w:fldChar w:fldCharType="begin"/>
    </w:r>
    <w:r>
      <w:rPr>
        <w:rStyle w:val="15"/>
      </w:rPr>
      <w:instrText xml:space="preserve">PAGE  </w:instrText>
    </w:r>
    <w:r>
      <w:fldChar w:fldCharType="separate"/>
    </w:r>
    <w:r>
      <w:rPr>
        <w:rStyle w:val="15"/>
      </w:rPr>
      <w:t>3</w:t>
    </w:r>
    <w: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spacing w:before="120" w:after="120"/>
      <w:rPr>
        <w:rStyle w:val="15"/>
      </w:rPr>
    </w:pPr>
    <w:r>
      <w:fldChar w:fldCharType="begin"/>
    </w:r>
    <w:r>
      <w:rPr>
        <w:rStyle w:val="15"/>
      </w:rPr>
      <w:instrText xml:space="preserve">PAGE  </w:instrText>
    </w:r>
    <w:r>
      <w:fldChar w:fldCharType="separate"/>
    </w:r>
    <w:r>
      <w:rPr>
        <w:rStyle w:val="15"/>
      </w:rPr>
      <w:t>5</w:t>
    </w:r>
    <w:r>
      <w:fldChar w:fldCharType="end"/>
    </w:r>
  </w:p>
  <w:p>
    <w:pPr>
      <w:pStyle w:val="9"/>
      <w:spacing w:before="120" w:after="120"/>
    </w:pPr>
  </w:p>
  <w:p>
    <w:pPr>
      <w:spacing w:before="120" w:after="120"/>
    </w:pPr>
  </w:p>
  <w:p>
    <w:pPr>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spacing w:before="120" w:after="120"/>
      <w:rPr>
        <w:rStyle w:val="15"/>
      </w:rPr>
    </w:pPr>
    <w:r>
      <w:fldChar w:fldCharType="begin"/>
    </w:r>
    <w:r>
      <w:rPr>
        <w:rStyle w:val="15"/>
      </w:rPr>
      <w:instrText xml:space="preserve">PAGE  </w:instrText>
    </w:r>
    <w:r>
      <w:fldChar w:fldCharType="separate"/>
    </w:r>
    <w:r>
      <w:rPr>
        <w:rStyle w:val="15"/>
      </w:rPr>
      <w:t>15</w:t>
    </w:r>
    <w:r>
      <w:fldChar w:fldCharType="end"/>
    </w:r>
  </w:p>
  <w:p>
    <w:pPr>
      <w:pStyle w:val="9"/>
      <w:spacing w:before="120" w:after="120"/>
    </w:pPr>
  </w:p>
  <w:p>
    <w:pPr>
      <w:spacing w:before="120" w:after="120"/>
    </w:pPr>
  </w:p>
  <w:p>
    <w:pPr>
      <w:spacing w:before="120" w:after="1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3A356C"/>
    <w:multiLevelType w:val="singleLevel"/>
    <w:tmpl w:val="F83A356C"/>
    <w:lvl w:ilvl="0" w:tentative="0">
      <w:start w:val="2"/>
      <w:numFmt w:val="chineseCounting"/>
      <w:suff w:val="nothing"/>
      <w:lvlText w:val="%1、"/>
      <w:lvlJc w:val="left"/>
      <w:pPr>
        <w:ind w:left="-433"/>
      </w:pPr>
      <w:rPr>
        <w:rFonts w:hint="eastAsia"/>
      </w:rPr>
    </w:lvl>
  </w:abstractNum>
  <w:abstractNum w:abstractNumId="1">
    <w:nsid w:val="211BA597"/>
    <w:multiLevelType w:val="singleLevel"/>
    <w:tmpl w:val="211BA597"/>
    <w:lvl w:ilvl="0" w:tentative="0">
      <w:start w:val="1"/>
      <w:numFmt w:val="chineseCounting"/>
      <w:suff w:val="nothing"/>
      <w:lvlText w:val="（%1）"/>
      <w:lvlJc w:val="left"/>
      <w:pPr>
        <w:ind w:left="-321"/>
      </w:pPr>
      <w:rPr>
        <w:rFonts w:hint="eastAsia"/>
      </w:rPr>
    </w:lvl>
  </w:abstractNum>
  <w:abstractNum w:abstractNumId="2">
    <w:nsid w:val="61A590E3"/>
    <w:multiLevelType w:val="singleLevel"/>
    <w:tmpl w:val="61A590E3"/>
    <w:lvl w:ilvl="0" w:tentative="0">
      <w:start w:val="6"/>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wMTNkNzRkOGQ3ZDg5YTBkMDAwNTJiNjc4NWVlMjcifQ=="/>
  </w:docVars>
  <w:rsids>
    <w:rsidRoot w:val="00100246"/>
    <w:rsid w:val="00003B03"/>
    <w:rsid w:val="000040E6"/>
    <w:rsid w:val="00011D72"/>
    <w:rsid w:val="00027CD5"/>
    <w:rsid w:val="00031B8E"/>
    <w:rsid w:val="00033EC1"/>
    <w:rsid w:val="00034224"/>
    <w:rsid w:val="00040275"/>
    <w:rsid w:val="0004719C"/>
    <w:rsid w:val="00047F6E"/>
    <w:rsid w:val="00051B00"/>
    <w:rsid w:val="000601B1"/>
    <w:rsid w:val="00063034"/>
    <w:rsid w:val="00066E19"/>
    <w:rsid w:val="0006752F"/>
    <w:rsid w:val="00071797"/>
    <w:rsid w:val="00071860"/>
    <w:rsid w:val="0007258E"/>
    <w:rsid w:val="00077A9E"/>
    <w:rsid w:val="00077F4A"/>
    <w:rsid w:val="00077FE5"/>
    <w:rsid w:val="00080447"/>
    <w:rsid w:val="00085663"/>
    <w:rsid w:val="00095948"/>
    <w:rsid w:val="00095C26"/>
    <w:rsid w:val="00096504"/>
    <w:rsid w:val="00096B86"/>
    <w:rsid w:val="000A1770"/>
    <w:rsid w:val="000A283C"/>
    <w:rsid w:val="000B15B7"/>
    <w:rsid w:val="000B70F1"/>
    <w:rsid w:val="000C4611"/>
    <w:rsid w:val="000D1B61"/>
    <w:rsid w:val="000D6854"/>
    <w:rsid w:val="000E0B26"/>
    <w:rsid w:val="000E3291"/>
    <w:rsid w:val="000F08FE"/>
    <w:rsid w:val="000F208B"/>
    <w:rsid w:val="000F2A48"/>
    <w:rsid w:val="000F49BE"/>
    <w:rsid w:val="00100246"/>
    <w:rsid w:val="0010682D"/>
    <w:rsid w:val="001073C6"/>
    <w:rsid w:val="00107DB5"/>
    <w:rsid w:val="00113613"/>
    <w:rsid w:val="0011483D"/>
    <w:rsid w:val="00115724"/>
    <w:rsid w:val="00130995"/>
    <w:rsid w:val="00131FF9"/>
    <w:rsid w:val="00132320"/>
    <w:rsid w:val="00135B6A"/>
    <w:rsid w:val="001369A7"/>
    <w:rsid w:val="001428C5"/>
    <w:rsid w:val="001503D8"/>
    <w:rsid w:val="00157540"/>
    <w:rsid w:val="0017111F"/>
    <w:rsid w:val="00173CF6"/>
    <w:rsid w:val="00180DAD"/>
    <w:rsid w:val="0018370E"/>
    <w:rsid w:val="001852E1"/>
    <w:rsid w:val="00191568"/>
    <w:rsid w:val="001A4277"/>
    <w:rsid w:val="001A7D2E"/>
    <w:rsid w:val="001B1DF9"/>
    <w:rsid w:val="001B1E93"/>
    <w:rsid w:val="001B375E"/>
    <w:rsid w:val="001B4A46"/>
    <w:rsid w:val="001B5E87"/>
    <w:rsid w:val="001B5E91"/>
    <w:rsid w:val="001B69BF"/>
    <w:rsid w:val="001B7988"/>
    <w:rsid w:val="001D78D9"/>
    <w:rsid w:val="001E0556"/>
    <w:rsid w:val="001E2355"/>
    <w:rsid w:val="001E2379"/>
    <w:rsid w:val="001E29A9"/>
    <w:rsid w:val="001F5857"/>
    <w:rsid w:val="00206EC3"/>
    <w:rsid w:val="0021047C"/>
    <w:rsid w:val="00211E4E"/>
    <w:rsid w:val="00213D1C"/>
    <w:rsid w:val="00214C3A"/>
    <w:rsid w:val="00217517"/>
    <w:rsid w:val="00222628"/>
    <w:rsid w:val="002253CB"/>
    <w:rsid w:val="002267A6"/>
    <w:rsid w:val="002326DE"/>
    <w:rsid w:val="00234314"/>
    <w:rsid w:val="00241724"/>
    <w:rsid w:val="0024390C"/>
    <w:rsid w:val="002441F4"/>
    <w:rsid w:val="00244204"/>
    <w:rsid w:val="002448A4"/>
    <w:rsid w:val="00245A0A"/>
    <w:rsid w:val="00246C42"/>
    <w:rsid w:val="002515CC"/>
    <w:rsid w:val="00253EC4"/>
    <w:rsid w:val="00254515"/>
    <w:rsid w:val="0026479D"/>
    <w:rsid w:val="002673C4"/>
    <w:rsid w:val="0027112B"/>
    <w:rsid w:val="00271C3F"/>
    <w:rsid w:val="00272460"/>
    <w:rsid w:val="00273070"/>
    <w:rsid w:val="0027394A"/>
    <w:rsid w:val="00274D50"/>
    <w:rsid w:val="002760D5"/>
    <w:rsid w:val="00276289"/>
    <w:rsid w:val="0028081D"/>
    <w:rsid w:val="0028458C"/>
    <w:rsid w:val="002911BD"/>
    <w:rsid w:val="00291C98"/>
    <w:rsid w:val="00294DE9"/>
    <w:rsid w:val="002A1488"/>
    <w:rsid w:val="002A4C2B"/>
    <w:rsid w:val="002B19D0"/>
    <w:rsid w:val="002B3682"/>
    <w:rsid w:val="002B5464"/>
    <w:rsid w:val="002C0443"/>
    <w:rsid w:val="002C12FB"/>
    <w:rsid w:val="002C24BC"/>
    <w:rsid w:val="002D03C6"/>
    <w:rsid w:val="002D0FDF"/>
    <w:rsid w:val="002D3955"/>
    <w:rsid w:val="002D68A9"/>
    <w:rsid w:val="002E06AE"/>
    <w:rsid w:val="002E4B75"/>
    <w:rsid w:val="002E68DD"/>
    <w:rsid w:val="002F17C2"/>
    <w:rsid w:val="002F32EE"/>
    <w:rsid w:val="002F4054"/>
    <w:rsid w:val="002F5574"/>
    <w:rsid w:val="00301D20"/>
    <w:rsid w:val="00302B19"/>
    <w:rsid w:val="00303428"/>
    <w:rsid w:val="003053C4"/>
    <w:rsid w:val="003058A3"/>
    <w:rsid w:val="00307DA5"/>
    <w:rsid w:val="0031169D"/>
    <w:rsid w:val="0031170D"/>
    <w:rsid w:val="00313E14"/>
    <w:rsid w:val="003167DD"/>
    <w:rsid w:val="00320C8B"/>
    <w:rsid w:val="00321BD8"/>
    <w:rsid w:val="00325687"/>
    <w:rsid w:val="00332C14"/>
    <w:rsid w:val="00335079"/>
    <w:rsid w:val="003352CE"/>
    <w:rsid w:val="00341D8E"/>
    <w:rsid w:val="003502B9"/>
    <w:rsid w:val="00351B8F"/>
    <w:rsid w:val="00353226"/>
    <w:rsid w:val="00353717"/>
    <w:rsid w:val="00354630"/>
    <w:rsid w:val="00365A24"/>
    <w:rsid w:val="003712DB"/>
    <w:rsid w:val="00373DDC"/>
    <w:rsid w:val="00382A86"/>
    <w:rsid w:val="00383BCC"/>
    <w:rsid w:val="00385243"/>
    <w:rsid w:val="003925D4"/>
    <w:rsid w:val="0039318C"/>
    <w:rsid w:val="00393366"/>
    <w:rsid w:val="003937DC"/>
    <w:rsid w:val="00393D75"/>
    <w:rsid w:val="003A2F2D"/>
    <w:rsid w:val="003A43AC"/>
    <w:rsid w:val="003A4EB6"/>
    <w:rsid w:val="003A7AE9"/>
    <w:rsid w:val="003A7BC5"/>
    <w:rsid w:val="003A7FF5"/>
    <w:rsid w:val="003B0352"/>
    <w:rsid w:val="003B4437"/>
    <w:rsid w:val="003B48C4"/>
    <w:rsid w:val="003B5E20"/>
    <w:rsid w:val="003B6DAD"/>
    <w:rsid w:val="003B735F"/>
    <w:rsid w:val="003C030C"/>
    <w:rsid w:val="003C55FC"/>
    <w:rsid w:val="003D0EC3"/>
    <w:rsid w:val="003D7274"/>
    <w:rsid w:val="003E4D82"/>
    <w:rsid w:val="003E5BC1"/>
    <w:rsid w:val="003F0D1B"/>
    <w:rsid w:val="003F1DD6"/>
    <w:rsid w:val="00401087"/>
    <w:rsid w:val="00402E26"/>
    <w:rsid w:val="00405701"/>
    <w:rsid w:val="004110BC"/>
    <w:rsid w:val="0041271F"/>
    <w:rsid w:val="0041688E"/>
    <w:rsid w:val="004170EF"/>
    <w:rsid w:val="0042093C"/>
    <w:rsid w:val="004233DD"/>
    <w:rsid w:val="00424405"/>
    <w:rsid w:val="00425B25"/>
    <w:rsid w:val="00425D24"/>
    <w:rsid w:val="00426A4D"/>
    <w:rsid w:val="00427687"/>
    <w:rsid w:val="00433231"/>
    <w:rsid w:val="004334CA"/>
    <w:rsid w:val="0043506A"/>
    <w:rsid w:val="00435830"/>
    <w:rsid w:val="0043619C"/>
    <w:rsid w:val="0044475D"/>
    <w:rsid w:val="00444D1E"/>
    <w:rsid w:val="0044571A"/>
    <w:rsid w:val="0044705D"/>
    <w:rsid w:val="0045090E"/>
    <w:rsid w:val="00453E36"/>
    <w:rsid w:val="00457286"/>
    <w:rsid w:val="00461FA5"/>
    <w:rsid w:val="00463566"/>
    <w:rsid w:val="00464182"/>
    <w:rsid w:val="00471C52"/>
    <w:rsid w:val="0047460C"/>
    <w:rsid w:val="00474FF2"/>
    <w:rsid w:val="00480098"/>
    <w:rsid w:val="00484A93"/>
    <w:rsid w:val="00485E12"/>
    <w:rsid w:val="004865DA"/>
    <w:rsid w:val="0048779C"/>
    <w:rsid w:val="00487AB7"/>
    <w:rsid w:val="00487ED0"/>
    <w:rsid w:val="00491D09"/>
    <w:rsid w:val="0049682C"/>
    <w:rsid w:val="004A168E"/>
    <w:rsid w:val="004A4EC7"/>
    <w:rsid w:val="004B0003"/>
    <w:rsid w:val="004C020A"/>
    <w:rsid w:val="004C03A3"/>
    <w:rsid w:val="004C44B8"/>
    <w:rsid w:val="004C7629"/>
    <w:rsid w:val="004D0D5D"/>
    <w:rsid w:val="004E27DD"/>
    <w:rsid w:val="004E3350"/>
    <w:rsid w:val="004E5292"/>
    <w:rsid w:val="004F2C5B"/>
    <w:rsid w:val="004F641B"/>
    <w:rsid w:val="004F71F3"/>
    <w:rsid w:val="005052FA"/>
    <w:rsid w:val="005069E1"/>
    <w:rsid w:val="00507E59"/>
    <w:rsid w:val="005122B5"/>
    <w:rsid w:val="0052381C"/>
    <w:rsid w:val="005346B3"/>
    <w:rsid w:val="0054051C"/>
    <w:rsid w:val="00546A84"/>
    <w:rsid w:val="00547BE2"/>
    <w:rsid w:val="0055353D"/>
    <w:rsid w:val="0056187C"/>
    <w:rsid w:val="00576B03"/>
    <w:rsid w:val="00581E1A"/>
    <w:rsid w:val="00591655"/>
    <w:rsid w:val="00591BEC"/>
    <w:rsid w:val="005940EA"/>
    <w:rsid w:val="00594448"/>
    <w:rsid w:val="005A1D6F"/>
    <w:rsid w:val="005A4D82"/>
    <w:rsid w:val="005A52A6"/>
    <w:rsid w:val="005B0DEC"/>
    <w:rsid w:val="005B368E"/>
    <w:rsid w:val="005B46D9"/>
    <w:rsid w:val="005B6E69"/>
    <w:rsid w:val="005C0015"/>
    <w:rsid w:val="005C1E82"/>
    <w:rsid w:val="005C2BCE"/>
    <w:rsid w:val="005C2CA5"/>
    <w:rsid w:val="005C7062"/>
    <w:rsid w:val="005C7788"/>
    <w:rsid w:val="005D10B9"/>
    <w:rsid w:val="005D18DA"/>
    <w:rsid w:val="005E00DC"/>
    <w:rsid w:val="005E3BBC"/>
    <w:rsid w:val="005E3EC6"/>
    <w:rsid w:val="005E4E07"/>
    <w:rsid w:val="005E4E46"/>
    <w:rsid w:val="005E5275"/>
    <w:rsid w:val="005E7DC8"/>
    <w:rsid w:val="005E7EC9"/>
    <w:rsid w:val="005F7087"/>
    <w:rsid w:val="00611BE4"/>
    <w:rsid w:val="0061219B"/>
    <w:rsid w:val="00621419"/>
    <w:rsid w:val="00626446"/>
    <w:rsid w:val="00626BE8"/>
    <w:rsid w:val="00631827"/>
    <w:rsid w:val="00632804"/>
    <w:rsid w:val="006376DA"/>
    <w:rsid w:val="006459DA"/>
    <w:rsid w:val="006502E8"/>
    <w:rsid w:val="00654A2B"/>
    <w:rsid w:val="0065675C"/>
    <w:rsid w:val="0065793F"/>
    <w:rsid w:val="0066263B"/>
    <w:rsid w:val="0066713A"/>
    <w:rsid w:val="0067195C"/>
    <w:rsid w:val="006724F7"/>
    <w:rsid w:val="0067511A"/>
    <w:rsid w:val="0067539B"/>
    <w:rsid w:val="00675543"/>
    <w:rsid w:val="00677396"/>
    <w:rsid w:val="00677AD9"/>
    <w:rsid w:val="00681970"/>
    <w:rsid w:val="00690306"/>
    <w:rsid w:val="00690641"/>
    <w:rsid w:val="00690D88"/>
    <w:rsid w:val="00691844"/>
    <w:rsid w:val="00693DDF"/>
    <w:rsid w:val="00696F9E"/>
    <w:rsid w:val="006A374A"/>
    <w:rsid w:val="006A505E"/>
    <w:rsid w:val="006A513E"/>
    <w:rsid w:val="006A5265"/>
    <w:rsid w:val="006B0CB9"/>
    <w:rsid w:val="006B2609"/>
    <w:rsid w:val="006B2750"/>
    <w:rsid w:val="006B3678"/>
    <w:rsid w:val="006B7390"/>
    <w:rsid w:val="006C0084"/>
    <w:rsid w:val="006C107D"/>
    <w:rsid w:val="006C3600"/>
    <w:rsid w:val="006C4534"/>
    <w:rsid w:val="006C5205"/>
    <w:rsid w:val="006C75F6"/>
    <w:rsid w:val="006D3F53"/>
    <w:rsid w:val="006D60AF"/>
    <w:rsid w:val="006E4722"/>
    <w:rsid w:val="00701651"/>
    <w:rsid w:val="007049BF"/>
    <w:rsid w:val="00704E79"/>
    <w:rsid w:val="00707A26"/>
    <w:rsid w:val="0071120F"/>
    <w:rsid w:val="00716380"/>
    <w:rsid w:val="00722165"/>
    <w:rsid w:val="00724B1C"/>
    <w:rsid w:val="007428F0"/>
    <w:rsid w:val="007512EF"/>
    <w:rsid w:val="007551AC"/>
    <w:rsid w:val="0076101C"/>
    <w:rsid w:val="00763D87"/>
    <w:rsid w:val="007670B2"/>
    <w:rsid w:val="00771795"/>
    <w:rsid w:val="00774925"/>
    <w:rsid w:val="0079279F"/>
    <w:rsid w:val="00793E69"/>
    <w:rsid w:val="007A063C"/>
    <w:rsid w:val="007A16B0"/>
    <w:rsid w:val="007A19EA"/>
    <w:rsid w:val="007A6092"/>
    <w:rsid w:val="007A60B7"/>
    <w:rsid w:val="007A64A6"/>
    <w:rsid w:val="007A6EE1"/>
    <w:rsid w:val="007A7C89"/>
    <w:rsid w:val="007B1487"/>
    <w:rsid w:val="007B2A43"/>
    <w:rsid w:val="007B326F"/>
    <w:rsid w:val="007B6A58"/>
    <w:rsid w:val="007B6C06"/>
    <w:rsid w:val="007B7B78"/>
    <w:rsid w:val="007C32B1"/>
    <w:rsid w:val="007C7A22"/>
    <w:rsid w:val="007C7C62"/>
    <w:rsid w:val="007D1076"/>
    <w:rsid w:val="007D12B7"/>
    <w:rsid w:val="007D2A49"/>
    <w:rsid w:val="007D5E38"/>
    <w:rsid w:val="007D7AC4"/>
    <w:rsid w:val="007E0340"/>
    <w:rsid w:val="007E1D4A"/>
    <w:rsid w:val="007E53C0"/>
    <w:rsid w:val="007E7703"/>
    <w:rsid w:val="007F4558"/>
    <w:rsid w:val="007F64DF"/>
    <w:rsid w:val="008050EF"/>
    <w:rsid w:val="0080652C"/>
    <w:rsid w:val="0080715F"/>
    <w:rsid w:val="008113D6"/>
    <w:rsid w:val="00812BA7"/>
    <w:rsid w:val="00813A87"/>
    <w:rsid w:val="00813F63"/>
    <w:rsid w:val="00815F57"/>
    <w:rsid w:val="0081760B"/>
    <w:rsid w:val="008218AC"/>
    <w:rsid w:val="00825359"/>
    <w:rsid w:val="00825E13"/>
    <w:rsid w:val="00826F07"/>
    <w:rsid w:val="008337CB"/>
    <w:rsid w:val="00834A3C"/>
    <w:rsid w:val="008360A0"/>
    <w:rsid w:val="00837658"/>
    <w:rsid w:val="00837CD4"/>
    <w:rsid w:val="00837F78"/>
    <w:rsid w:val="008400EE"/>
    <w:rsid w:val="00840791"/>
    <w:rsid w:val="00845576"/>
    <w:rsid w:val="00850708"/>
    <w:rsid w:val="00851024"/>
    <w:rsid w:val="008526D7"/>
    <w:rsid w:val="0086238C"/>
    <w:rsid w:val="008655DC"/>
    <w:rsid w:val="0086732D"/>
    <w:rsid w:val="00870183"/>
    <w:rsid w:val="00875726"/>
    <w:rsid w:val="00877F10"/>
    <w:rsid w:val="0088225D"/>
    <w:rsid w:val="00882F8D"/>
    <w:rsid w:val="00884FB0"/>
    <w:rsid w:val="008853A5"/>
    <w:rsid w:val="008944DA"/>
    <w:rsid w:val="00894D78"/>
    <w:rsid w:val="008A6A18"/>
    <w:rsid w:val="008B033F"/>
    <w:rsid w:val="008B4003"/>
    <w:rsid w:val="008B7443"/>
    <w:rsid w:val="008C179E"/>
    <w:rsid w:val="008C2379"/>
    <w:rsid w:val="008C4FF7"/>
    <w:rsid w:val="008C5C4C"/>
    <w:rsid w:val="008C7056"/>
    <w:rsid w:val="008C706D"/>
    <w:rsid w:val="008D3145"/>
    <w:rsid w:val="008E1A54"/>
    <w:rsid w:val="008E1F95"/>
    <w:rsid w:val="008E36B6"/>
    <w:rsid w:val="008E4267"/>
    <w:rsid w:val="008E4847"/>
    <w:rsid w:val="008E5FF1"/>
    <w:rsid w:val="008E63D2"/>
    <w:rsid w:val="008E6E14"/>
    <w:rsid w:val="008F1528"/>
    <w:rsid w:val="008F1AE5"/>
    <w:rsid w:val="008F55D9"/>
    <w:rsid w:val="009057DE"/>
    <w:rsid w:val="00905F97"/>
    <w:rsid w:val="00906FA3"/>
    <w:rsid w:val="0091239D"/>
    <w:rsid w:val="00912825"/>
    <w:rsid w:val="009129B8"/>
    <w:rsid w:val="00912B99"/>
    <w:rsid w:val="00912C78"/>
    <w:rsid w:val="00927892"/>
    <w:rsid w:val="009319B9"/>
    <w:rsid w:val="009351E9"/>
    <w:rsid w:val="00937862"/>
    <w:rsid w:val="00942279"/>
    <w:rsid w:val="009524EB"/>
    <w:rsid w:val="00962013"/>
    <w:rsid w:val="00963942"/>
    <w:rsid w:val="0096716C"/>
    <w:rsid w:val="009672B2"/>
    <w:rsid w:val="00971C66"/>
    <w:rsid w:val="00972363"/>
    <w:rsid w:val="0098419C"/>
    <w:rsid w:val="009843EF"/>
    <w:rsid w:val="009867F2"/>
    <w:rsid w:val="00991347"/>
    <w:rsid w:val="00996018"/>
    <w:rsid w:val="0099738E"/>
    <w:rsid w:val="009A493E"/>
    <w:rsid w:val="009A531F"/>
    <w:rsid w:val="009A6931"/>
    <w:rsid w:val="009B1F9A"/>
    <w:rsid w:val="009B1FA9"/>
    <w:rsid w:val="009B349F"/>
    <w:rsid w:val="009B4293"/>
    <w:rsid w:val="009B6715"/>
    <w:rsid w:val="009C7B74"/>
    <w:rsid w:val="009D0BE2"/>
    <w:rsid w:val="009D114E"/>
    <w:rsid w:val="009D210F"/>
    <w:rsid w:val="009D309C"/>
    <w:rsid w:val="009D37B1"/>
    <w:rsid w:val="009D4717"/>
    <w:rsid w:val="009D694D"/>
    <w:rsid w:val="009E264E"/>
    <w:rsid w:val="009F0C98"/>
    <w:rsid w:val="009F0F81"/>
    <w:rsid w:val="009F2543"/>
    <w:rsid w:val="009F256D"/>
    <w:rsid w:val="009F341E"/>
    <w:rsid w:val="009F57CE"/>
    <w:rsid w:val="00A117CA"/>
    <w:rsid w:val="00A12225"/>
    <w:rsid w:val="00A14C18"/>
    <w:rsid w:val="00A25898"/>
    <w:rsid w:val="00A3071D"/>
    <w:rsid w:val="00A3182E"/>
    <w:rsid w:val="00A31A89"/>
    <w:rsid w:val="00A32F06"/>
    <w:rsid w:val="00A34934"/>
    <w:rsid w:val="00A34EFE"/>
    <w:rsid w:val="00A36546"/>
    <w:rsid w:val="00A4069C"/>
    <w:rsid w:val="00A413B5"/>
    <w:rsid w:val="00A429CB"/>
    <w:rsid w:val="00A44E87"/>
    <w:rsid w:val="00A5063C"/>
    <w:rsid w:val="00A52749"/>
    <w:rsid w:val="00A5422E"/>
    <w:rsid w:val="00A56EC1"/>
    <w:rsid w:val="00A6350C"/>
    <w:rsid w:val="00A6370B"/>
    <w:rsid w:val="00A63A73"/>
    <w:rsid w:val="00A6655C"/>
    <w:rsid w:val="00A66CBB"/>
    <w:rsid w:val="00A6704E"/>
    <w:rsid w:val="00A67EA4"/>
    <w:rsid w:val="00A773FF"/>
    <w:rsid w:val="00A83AA1"/>
    <w:rsid w:val="00A906F4"/>
    <w:rsid w:val="00A9343A"/>
    <w:rsid w:val="00A9706C"/>
    <w:rsid w:val="00A97B34"/>
    <w:rsid w:val="00AA1B5C"/>
    <w:rsid w:val="00AA7A27"/>
    <w:rsid w:val="00AB3FB0"/>
    <w:rsid w:val="00AB465D"/>
    <w:rsid w:val="00AB713D"/>
    <w:rsid w:val="00AC114C"/>
    <w:rsid w:val="00AC1478"/>
    <w:rsid w:val="00AC6C2D"/>
    <w:rsid w:val="00AC6E17"/>
    <w:rsid w:val="00AD2FF3"/>
    <w:rsid w:val="00AD7764"/>
    <w:rsid w:val="00AD7FE2"/>
    <w:rsid w:val="00AE1284"/>
    <w:rsid w:val="00AE1B18"/>
    <w:rsid w:val="00AE7339"/>
    <w:rsid w:val="00AF1B0B"/>
    <w:rsid w:val="00AF242C"/>
    <w:rsid w:val="00AF3CC4"/>
    <w:rsid w:val="00B05903"/>
    <w:rsid w:val="00B12C7A"/>
    <w:rsid w:val="00B12E10"/>
    <w:rsid w:val="00B22BC3"/>
    <w:rsid w:val="00B25865"/>
    <w:rsid w:val="00B272B6"/>
    <w:rsid w:val="00B2771B"/>
    <w:rsid w:val="00B336E9"/>
    <w:rsid w:val="00B33AE5"/>
    <w:rsid w:val="00B35BE5"/>
    <w:rsid w:val="00B46965"/>
    <w:rsid w:val="00B54ED0"/>
    <w:rsid w:val="00B55D47"/>
    <w:rsid w:val="00B6204E"/>
    <w:rsid w:val="00B649EC"/>
    <w:rsid w:val="00B728DD"/>
    <w:rsid w:val="00B72D43"/>
    <w:rsid w:val="00B74121"/>
    <w:rsid w:val="00B80ABA"/>
    <w:rsid w:val="00B859FF"/>
    <w:rsid w:val="00B85C1B"/>
    <w:rsid w:val="00B85FF0"/>
    <w:rsid w:val="00B86150"/>
    <w:rsid w:val="00B878F9"/>
    <w:rsid w:val="00B9044A"/>
    <w:rsid w:val="00B960F3"/>
    <w:rsid w:val="00B96A31"/>
    <w:rsid w:val="00BA05E6"/>
    <w:rsid w:val="00BA51B0"/>
    <w:rsid w:val="00BA6319"/>
    <w:rsid w:val="00BC03B0"/>
    <w:rsid w:val="00BC06A3"/>
    <w:rsid w:val="00BC0CEA"/>
    <w:rsid w:val="00BC2220"/>
    <w:rsid w:val="00BC26B9"/>
    <w:rsid w:val="00BC26FA"/>
    <w:rsid w:val="00BC4E01"/>
    <w:rsid w:val="00BC73F6"/>
    <w:rsid w:val="00BD1177"/>
    <w:rsid w:val="00BD1374"/>
    <w:rsid w:val="00BD3531"/>
    <w:rsid w:val="00BD4E35"/>
    <w:rsid w:val="00BE34CA"/>
    <w:rsid w:val="00BF116A"/>
    <w:rsid w:val="00C02058"/>
    <w:rsid w:val="00C0623C"/>
    <w:rsid w:val="00C06A07"/>
    <w:rsid w:val="00C132B6"/>
    <w:rsid w:val="00C21A6C"/>
    <w:rsid w:val="00C24A10"/>
    <w:rsid w:val="00C27003"/>
    <w:rsid w:val="00C27597"/>
    <w:rsid w:val="00C32BD4"/>
    <w:rsid w:val="00C33E48"/>
    <w:rsid w:val="00C3618B"/>
    <w:rsid w:val="00C403FB"/>
    <w:rsid w:val="00C4316E"/>
    <w:rsid w:val="00C441A2"/>
    <w:rsid w:val="00C5076B"/>
    <w:rsid w:val="00C512D4"/>
    <w:rsid w:val="00C51CF4"/>
    <w:rsid w:val="00C531E2"/>
    <w:rsid w:val="00C53204"/>
    <w:rsid w:val="00C57E34"/>
    <w:rsid w:val="00C64659"/>
    <w:rsid w:val="00C662E9"/>
    <w:rsid w:val="00C66C2D"/>
    <w:rsid w:val="00C7190B"/>
    <w:rsid w:val="00C76852"/>
    <w:rsid w:val="00C77210"/>
    <w:rsid w:val="00C777FA"/>
    <w:rsid w:val="00C77989"/>
    <w:rsid w:val="00C811F4"/>
    <w:rsid w:val="00C81E51"/>
    <w:rsid w:val="00C87B73"/>
    <w:rsid w:val="00C92444"/>
    <w:rsid w:val="00C92FBB"/>
    <w:rsid w:val="00C93327"/>
    <w:rsid w:val="00C97B4D"/>
    <w:rsid w:val="00CA5602"/>
    <w:rsid w:val="00CA5CA9"/>
    <w:rsid w:val="00CA78E2"/>
    <w:rsid w:val="00CB1BBE"/>
    <w:rsid w:val="00CB65DB"/>
    <w:rsid w:val="00CB6BD9"/>
    <w:rsid w:val="00CC293A"/>
    <w:rsid w:val="00CE19F6"/>
    <w:rsid w:val="00CE6B76"/>
    <w:rsid w:val="00CF366B"/>
    <w:rsid w:val="00CF5D9D"/>
    <w:rsid w:val="00CF606C"/>
    <w:rsid w:val="00CF7423"/>
    <w:rsid w:val="00D001F5"/>
    <w:rsid w:val="00D03E80"/>
    <w:rsid w:val="00D1505F"/>
    <w:rsid w:val="00D15B9F"/>
    <w:rsid w:val="00D15DD6"/>
    <w:rsid w:val="00D25548"/>
    <w:rsid w:val="00D2601F"/>
    <w:rsid w:val="00D27759"/>
    <w:rsid w:val="00D30028"/>
    <w:rsid w:val="00D325D3"/>
    <w:rsid w:val="00D408D6"/>
    <w:rsid w:val="00D511DD"/>
    <w:rsid w:val="00D55C2A"/>
    <w:rsid w:val="00D571C1"/>
    <w:rsid w:val="00D602F4"/>
    <w:rsid w:val="00D628BD"/>
    <w:rsid w:val="00D6457E"/>
    <w:rsid w:val="00D742E2"/>
    <w:rsid w:val="00D7580E"/>
    <w:rsid w:val="00D87DAF"/>
    <w:rsid w:val="00D9446D"/>
    <w:rsid w:val="00DA2994"/>
    <w:rsid w:val="00DB08E8"/>
    <w:rsid w:val="00DB0DED"/>
    <w:rsid w:val="00DB3073"/>
    <w:rsid w:val="00DB3BA9"/>
    <w:rsid w:val="00DB50FE"/>
    <w:rsid w:val="00DB5EDA"/>
    <w:rsid w:val="00DC2349"/>
    <w:rsid w:val="00DC3026"/>
    <w:rsid w:val="00DD1EDB"/>
    <w:rsid w:val="00DD57AA"/>
    <w:rsid w:val="00DE1578"/>
    <w:rsid w:val="00DE7F67"/>
    <w:rsid w:val="00DF0529"/>
    <w:rsid w:val="00DF09EF"/>
    <w:rsid w:val="00DF0D0F"/>
    <w:rsid w:val="00DF13D6"/>
    <w:rsid w:val="00DF27D6"/>
    <w:rsid w:val="00DF2BEA"/>
    <w:rsid w:val="00DF4488"/>
    <w:rsid w:val="00DF5B98"/>
    <w:rsid w:val="00DF6FA8"/>
    <w:rsid w:val="00DF701E"/>
    <w:rsid w:val="00DF7BE5"/>
    <w:rsid w:val="00E00D49"/>
    <w:rsid w:val="00E019A8"/>
    <w:rsid w:val="00E03A46"/>
    <w:rsid w:val="00E03C6D"/>
    <w:rsid w:val="00E0476F"/>
    <w:rsid w:val="00E04899"/>
    <w:rsid w:val="00E0796F"/>
    <w:rsid w:val="00E10948"/>
    <w:rsid w:val="00E24371"/>
    <w:rsid w:val="00E243AB"/>
    <w:rsid w:val="00E26641"/>
    <w:rsid w:val="00E2778F"/>
    <w:rsid w:val="00E278B0"/>
    <w:rsid w:val="00E33023"/>
    <w:rsid w:val="00E331F3"/>
    <w:rsid w:val="00E3498D"/>
    <w:rsid w:val="00E42425"/>
    <w:rsid w:val="00E43E55"/>
    <w:rsid w:val="00E4554E"/>
    <w:rsid w:val="00E46D22"/>
    <w:rsid w:val="00E4768F"/>
    <w:rsid w:val="00E53C0E"/>
    <w:rsid w:val="00E54F7E"/>
    <w:rsid w:val="00E560CE"/>
    <w:rsid w:val="00E5674E"/>
    <w:rsid w:val="00E63783"/>
    <w:rsid w:val="00E650E2"/>
    <w:rsid w:val="00E75CAD"/>
    <w:rsid w:val="00E76922"/>
    <w:rsid w:val="00E8595B"/>
    <w:rsid w:val="00E915EC"/>
    <w:rsid w:val="00E9423F"/>
    <w:rsid w:val="00EA11B1"/>
    <w:rsid w:val="00EA2224"/>
    <w:rsid w:val="00EA7194"/>
    <w:rsid w:val="00EB1329"/>
    <w:rsid w:val="00EB2987"/>
    <w:rsid w:val="00EB2D75"/>
    <w:rsid w:val="00EB34BE"/>
    <w:rsid w:val="00EB571A"/>
    <w:rsid w:val="00EC2804"/>
    <w:rsid w:val="00EC6117"/>
    <w:rsid w:val="00EC6138"/>
    <w:rsid w:val="00ED1DCF"/>
    <w:rsid w:val="00ED43C9"/>
    <w:rsid w:val="00EE2C60"/>
    <w:rsid w:val="00EE2E58"/>
    <w:rsid w:val="00EE487A"/>
    <w:rsid w:val="00EE734C"/>
    <w:rsid w:val="00EF6907"/>
    <w:rsid w:val="00EF6D91"/>
    <w:rsid w:val="00F01F54"/>
    <w:rsid w:val="00F04D4D"/>
    <w:rsid w:val="00F11DD8"/>
    <w:rsid w:val="00F12745"/>
    <w:rsid w:val="00F13766"/>
    <w:rsid w:val="00F20A77"/>
    <w:rsid w:val="00F22C60"/>
    <w:rsid w:val="00F231A4"/>
    <w:rsid w:val="00F23252"/>
    <w:rsid w:val="00F27B2A"/>
    <w:rsid w:val="00F31762"/>
    <w:rsid w:val="00F345D3"/>
    <w:rsid w:val="00F356ED"/>
    <w:rsid w:val="00F359B5"/>
    <w:rsid w:val="00F4144F"/>
    <w:rsid w:val="00F433F3"/>
    <w:rsid w:val="00F47F64"/>
    <w:rsid w:val="00F522D9"/>
    <w:rsid w:val="00F52F54"/>
    <w:rsid w:val="00F53584"/>
    <w:rsid w:val="00F61B24"/>
    <w:rsid w:val="00F62DE5"/>
    <w:rsid w:val="00F63F8A"/>
    <w:rsid w:val="00F6514E"/>
    <w:rsid w:val="00F703DC"/>
    <w:rsid w:val="00F71D06"/>
    <w:rsid w:val="00F73B46"/>
    <w:rsid w:val="00F73D01"/>
    <w:rsid w:val="00F7642B"/>
    <w:rsid w:val="00F76A43"/>
    <w:rsid w:val="00F80334"/>
    <w:rsid w:val="00F8139D"/>
    <w:rsid w:val="00F83DF9"/>
    <w:rsid w:val="00F85DA0"/>
    <w:rsid w:val="00F930AF"/>
    <w:rsid w:val="00F9352C"/>
    <w:rsid w:val="00F975B0"/>
    <w:rsid w:val="00FA15F1"/>
    <w:rsid w:val="00FA19F5"/>
    <w:rsid w:val="00FA4A69"/>
    <w:rsid w:val="00FA649A"/>
    <w:rsid w:val="00FB1248"/>
    <w:rsid w:val="00FB208D"/>
    <w:rsid w:val="00FB3CF4"/>
    <w:rsid w:val="00FB4A27"/>
    <w:rsid w:val="00FB4A49"/>
    <w:rsid w:val="00FB69B3"/>
    <w:rsid w:val="00FC6FBE"/>
    <w:rsid w:val="00FD1162"/>
    <w:rsid w:val="00FD2232"/>
    <w:rsid w:val="00FD4AE7"/>
    <w:rsid w:val="00FD65A9"/>
    <w:rsid w:val="00FD7508"/>
    <w:rsid w:val="00FE1E51"/>
    <w:rsid w:val="00FE2496"/>
    <w:rsid w:val="00FE6A2B"/>
    <w:rsid w:val="00FF0275"/>
    <w:rsid w:val="00FF07B3"/>
    <w:rsid w:val="00FF1E37"/>
    <w:rsid w:val="016C5BD4"/>
    <w:rsid w:val="02F120AB"/>
    <w:rsid w:val="038C5D09"/>
    <w:rsid w:val="04C3537C"/>
    <w:rsid w:val="079004AC"/>
    <w:rsid w:val="0BA148CA"/>
    <w:rsid w:val="0C1165C4"/>
    <w:rsid w:val="0DB20547"/>
    <w:rsid w:val="0DD136FE"/>
    <w:rsid w:val="0EEF5ACD"/>
    <w:rsid w:val="0F8E2C57"/>
    <w:rsid w:val="1059665E"/>
    <w:rsid w:val="10AC13BA"/>
    <w:rsid w:val="13E26B34"/>
    <w:rsid w:val="145A6C1B"/>
    <w:rsid w:val="167A2FF9"/>
    <w:rsid w:val="1AEC0734"/>
    <w:rsid w:val="1D5F3B84"/>
    <w:rsid w:val="1DEF20B0"/>
    <w:rsid w:val="214243FA"/>
    <w:rsid w:val="21AD613C"/>
    <w:rsid w:val="257A14F5"/>
    <w:rsid w:val="27196C26"/>
    <w:rsid w:val="29EF086F"/>
    <w:rsid w:val="2AC131D7"/>
    <w:rsid w:val="2E4F2AAF"/>
    <w:rsid w:val="2EFFE297"/>
    <w:rsid w:val="301437CA"/>
    <w:rsid w:val="349D1F0A"/>
    <w:rsid w:val="34DD0473"/>
    <w:rsid w:val="3ACE5F77"/>
    <w:rsid w:val="3C684897"/>
    <w:rsid w:val="3D6F64B5"/>
    <w:rsid w:val="406279B0"/>
    <w:rsid w:val="433E495C"/>
    <w:rsid w:val="458443A5"/>
    <w:rsid w:val="46954CA7"/>
    <w:rsid w:val="48005E6B"/>
    <w:rsid w:val="488402D2"/>
    <w:rsid w:val="489F2FD7"/>
    <w:rsid w:val="490F4B33"/>
    <w:rsid w:val="4AC27CB3"/>
    <w:rsid w:val="4BF72BEF"/>
    <w:rsid w:val="4FA90297"/>
    <w:rsid w:val="4FAC1AD7"/>
    <w:rsid w:val="4FC41A43"/>
    <w:rsid w:val="51DB3C59"/>
    <w:rsid w:val="52531AD7"/>
    <w:rsid w:val="550C0952"/>
    <w:rsid w:val="55762E42"/>
    <w:rsid w:val="57A7B272"/>
    <w:rsid w:val="57B037F2"/>
    <w:rsid w:val="58470068"/>
    <w:rsid w:val="58553054"/>
    <w:rsid w:val="58747CAC"/>
    <w:rsid w:val="58E4001B"/>
    <w:rsid w:val="5A1720F9"/>
    <w:rsid w:val="5B3540A7"/>
    <w:rsid w:val="5B9C37C2"/>
    <w:rsid w:val="5BA7C654"/>
    <w:rsid w:val="5CC63DA7"/>
    <w:rsid w:val="60012125"/>
    <w:rsid w:val="6070033D"/>
    <w:rsid w:val="60A54109"/>
    <w:rsid w:val="61D01CDF"/>
    <w:rsid w:val="62091049"/>
    <w:rsid w:val="63E32E21"/>
    <w:rsid w:val="64C0607C"/>
    <w:rsid w:val="65756C86"/>
    <w:rsid w:val="674D385B"/>
    <w:rsid w:val="676F09E1"/>
    <w:rsid w:val="6A173B78"/>
    <w:rsid w:val="71D7769E"/>
    <w:rsid w:val="74302E9A"/>
    <w:rsid w:val="798524E4"/>
    <w:rsid w:val="7A676B64"/>
    <w:rsid w:val="7A7F1C49"/>
    <w:rsid w:val="7B5B7AE6"/>
    <w:rsid w:val="7B7B6628"/>
    <w:rsid w:val="7BA7071E"/>
    <w:rsid w:val="7BDF6DA8"/>
    <w:rsid w:val="7C7EDC1A"/>
    <w:rsid w:val="7CCED98D"/>
    <w:rsid w:val="7D08410F"/>
    <w:rsid w:val="7D242F93"/>
    <w:rsid w:val="7DB96DED"/>
    <w:rsid w:val="7DD3AD81"/>
    <w:rsid w:val="7DD74C68"/>
    <w:rsid w:val="7F42566D"/>
    <w:rsid w:val="7F7FE70F"/>
    <w:rsid w:val="7FFF772F"/>
    <w:rsid w:val="95F35EF6"/>
    <w:rsid w:val="9BFFD860"/>
    <w:rsid w:val="AC5F73DE"/>
    <w:rsid w:val="B5DDD2C8"/>
    <w:rsid w:val="B9DFABD9"/>
    <w:rsid w:val="BC0D83FC"/>
    <w:rsid w:val="BF3BDEFB"/>
    <w:rsid w:val="C75F6086"/>
    <w:rsid w:val="C7F7ED2D"/>
    <w:rsid w:val="CFAF854E"/>
    <w:rsid w:val="D8D7928E"/>
    <w:rsid w:val="D8FE3136"/>
    <w:rsid w:val="DDDE60B7"/>
    <w:rsid w:val="DE9F6A22"/>
    <w:rsid w:val="DF4FCE6A"/>
    <w:rsid w:val="E4FED278"/>
    <w:rsid w:val="EDAA365C"/>
    <w:rsid w:val="EDADFC12"/>
    <w:rsid w:val="F2FD229B"/>
    <w:rsid w:val="F7F709E9"/>
    <w:rsid w:val="F7FF3690"/>
    <w:rsid w:val="F9BD3900"/>
    <w:rsid w:val="FC8B9876"/>
    <w:rsid w:val="FEDFF218"/>
    <w:rsid w:val="FEDFFF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keepLines/>
      <w:spacing w:line="360" w:lineRule="auto"/>
      <w:ind w:firstLine="643" w:firstLineChars="200"/>
      <w:outlineLvl w:val="0"/>
    </w:pPr>
    <w:rPr>
      <w:rFonts w:ascii="宋体" w:hAnsi="Times New Roman" w:eastAsia="宋体" w:cs="Times New Roman"/>
      <w:b/>
      <w:kern w:val="44"/>
      <w:sz w:val="32"/>
      <w:szCs w:val="20"/>
    </w:rPr>
  </w:style>
  <w:style w:type="paragraph" w:styleId="4">
    <w:name w:val="heading 2"/>
    <w:basedOn w:val="1"/>
    <w:next w:val="1"/>
    <w:qFormat/>
    <w:uiPriority w:val="0"/>
    <w:pPr>
      <w:keepNext/>
      <w:keepLines/>
      <w:spacing w:before="100" w:beforeAutospacing="1" w:after="100" w:afterAutospacing="1"/>
      <w:outlineLvl w:val="1"/>
    </w:pPr>
    <w:rPr>
      <w:rFonts w:ascii="Cambria" w:hAnsi="Cambria" w:eastAsia="黑体"/>
      <w:b/>
      <w:bCs/>
      <w:kern w:val="0"/>
      <w:sz w:val="36"/>
      <w:szCs w:val="32"/>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unhideWhenUsed/>
    <w:qFormat/>
    <w:uiPriority w:val="99"/>
    <w:pPr>
      <w:spacing w:after="120"/>
    </w:pPr>
    <w:rPr>
      <w:rFonts w:ascii="Calibri" w:hAnsi="Calibri" w:eastAsia="宋体" w:cs="Times New Roman"/>
    </w:rPr>
  </w:style>
  <w:style w:type="paragraph" w:styleId="5">
    <w:name w:val="Normal Indent"/>
    <w:basedOn w:val="1"/>
    <w:next w:val="1"/>
    <w:qFormat/>
    <w:uiPriority w:val="0"/>
    <w:pPr>
      <w:ind w:firstLine="200" w:firstLineChars="200"/>
    </w:pPr>
  </w:style>
  <w:style w:type="paragraph" w:styleId="6">
    <w:name w:val="Body Text Indent"/>
    <w:basedOn w:val="1"/>
    <w:qFormat/>
    <w:uiPriority w:val="0"/>
    <w:pPr>
      <w:ind w:firstLine="645"/>
    </w:pPr>
    <w:rPr>
      <w:rFonts w:ascii="仿宋_GB2312" w:hAnsi="Calibri" w:eastAsia="仿宋_GB2312"/>
      <w:sz w:val="32"/>
      <w:szCs w:val="32"/>
    </w:rPr>
  </w:style>
  <w:style w:type="paragraph" w:styleId="7">
    <w:name w:val="Date"/>
    <w:basedOn w:val="1"/>
    <w:next w:val="1"/>
    <w:qFormat/>
    <w:uiPriority w:val="0"/>
    <w:pPr>
      <w:ind w:left="100" w:leftChars="2500"/>
    </w:pPr>
  </w:style>
  <w:style w:type="paragraph" w:styleId="8">
    <w:name w:val="Balloon Text"/>
    <w:basedOn w:val="1"/>
    <w:semiHidden/>
    <w:qFormat/>
    <w:uiPriority w:val="0"/>
    <w:rPr>
      <w:sz w:val="18"/>
      <w:szCs w:val="18"/>
    </w:rPr>
  </w:style>
  <w:style w:type="paragraph" w:styleId="9">
    <w:name w:val="footer"/>
    <w:basedOn w:val="1"/>
    <w:link w:val="16"/>
    <w:qFormat/>
    <w:uiPriority w:val="0"/>
    <w:pPr>
      <w:tabs>
        <w:tab w:val="center" w:pos="4153"/>
        <w:tab w:val="right" w:pos="8306"/>
      </w:tabs>
      <w:snapToGrid w:val="0"/>
      <w:jc w:val="left"/>
    </w:pPr>
    <w:rPr>
      <w:sz w:val="18"/>
      <w:szCs w:val="18"/>
    </w:rPr>
  </w:style>
  <w:style w:type="paragraph" w:styleId="10">
    <w:name w:val="header"/>
    <w:basedOn w:val="1"/>
    <w:link w:val="17"/>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11">
    <w:name w:val="Normal (Web)"/>
    <w:basedOn w:val="1"/>
    <w:unhideWhenUsed/>
    <w:qFormat/>
    <w:uiPriority w:val="0"/>
    <w:pPr>
      <w:spacing w:before="100" w:beforeAutospacing="1" w:after="100" w:afterAutospacing="1"/>
      <w:ind w:right="238"/>
      <w:jc w:val="left"/>
    </w:pPr>
    <w:rPr>
      <w:b/>
      <w:kern w:val="0"/>
      <w:sz w:val="24"/>
      <w:szCs w:val="20"/>
    </w:rPr>
  </w:style>
  <w:style w:type="character" w:styleId="14">
    <w:name w:val="Strong"/>
    <w:qFormat/>
    <w:uiPriority w:val="0"/>
    <w:rPr>
      <w:b/>
    </w:rPr>
  </w:style>
  <w:style w:type="character" w:styleId="15">
    <w:name w:val="page number"/>
    <w:qFormat/>
    <w:uiPriority w:val="0"/>
  </w:style>
  <w:style w:type="character" w:customStyle="1" w:styleId="16">
    <w:name w:val="页脚 字符"/>
    <w:link w:val="9"/>
    <w:qFormat/>
    <w:uiPriority w:val="0"/>
    <w:rPr>
      <w:rFonts w:eastAsia="宋体"/>
      <w:kern w:val="2"/>
      <w:sz w:val="18"/>
      <w:szCs w:val="18"/>
      <w:lang w:val="en-US" w:eastAsia="zh-CN" w:bidi="ar-SA"/>
    </w:rPr>
  </w:style>
  <w:style w:type="character" w:customStyle="1" w:styleId="17">
    <w:name w:val="页眉 字符"/>
    <w:link w:val="10"/>
    <w:qFormat/>
    <w:uiPriority w:val="0"/>
    <w:rPr>
      <w:rFonts w:ascii="Calibri" w:hAnsi="Calibri" w:eastAsia="宋体"/>
      <w:kern w:val="2"/>
      <w:sz w:val="18"/>
      <w:szCs w:val="18"/>
      <w:lang w:val="en-US" w:eastAsia="zh-CN" w:bidi="ar-SA"/>
    </w:rPr>
  </w:style>
  <w:style w:type="paragraph" w:customStyle="1" w:styleId="18">
    <w:name w:val="Char Char Char Char Char Char Char"/>
    <w:basedOn w:val="1"/>
    <w:qFormat/>
    <w:uiPriority w:val="0"/>
    <w:rPr>
      <w:rFonts w:ascii="Tahoma" w:hAnsi="Tahoma"/>
      <w:sz w:val="24"/>
      <w:szCs w:val="20"/>
    </w:rPr>
  </w:style>
  <w:style w:type="paragraph" w:customStyle="1" w:styleId="19">
    <w:name w:val="Char1 Char Char Char"/>
    <w:basedOn w:val="1"/>
    <w:qFormat/>
    <w:uiPriority w:val="0"/>
    <w:pPr>
      <w:widowControl/>
      <w:spacing w:after="160" w:line="240" w:lineRule="exact"/>
      <w:jc w:val="left"/>
    </w:pPr>
    <w:rPr>
      <w:szCs w:val="20"/>
    </w:rPr>
  </w:style>
  <w:style w:type="paragraph" w:customStyle="1" w:styleId="20">
    <w:name w:val="Char"/>
    <w:basedOn w:val="1"/>
    <w:qFormat/>
    <w:uiPriority w:val="0"/>
    <w:rPr>
      <w:rFonts w:ascii="Tahoma" w:hAnsi="Tahoma"/>
      <w:sz w:val="24"/>
      <w:szCs w:val="20"/>
    </w:rPr>
  </w:style>
  <w:style w:type="paragraph" w:customStyle="1" w:styleId="21">
    <w:name w:val="Char Char3 Char Char"/>
    <w:basedOn w:val="1"/>
    <w:qFormat/>
    <w:uiPriority w:val="0"/>
    <w:rPr>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26.emf"/><Relationship Id="rId6" Type="http://schemas.openxmlformats.org/officeDocument/2006/relationships/theme" Target="theme/theme1.xml"/><Relationship Id="rId59" Type="http://schemas.openxmlformats.org/officeDocument/2006/relationships/oleObject" Target="embeddings/oleObject26.bin"/><Relationship Id="rId58" Type="http://schemas.openxmlformats.org/officeDocument/2006/relationships/image" Target="media/image25.emf"/><Relationship Id="rId57" Type="http://schemas.openxmlformats.org/officeDocument/2006/relationships/oleObject" Target="embeddings/oleObject25.bin"/><Relationship Id="rId56" Type="http://schemas.openxmlformats.org/officeDocument/2006/relationships/image" Target="media/image24.emf"/><Relationship Id="rId55" Type="http://schemas.openxmlformats.org/officeDocument/2006/relationships/oleObject" Target="embeddings/oleObject24.bin"/><Relationship Id="rId54" Type="http://schemas.openxmlformats.org/officeDocument/2006/relationships/image" Target="media/image23.emf"/><Relationship Id="rId53" Type="http://schemas.openxmlformats.org/officeDocument/2006/relationships/oleObject" Target="embeddings/oleObject23.bin"/><Relationship Id="rId52" Type="http://schemas.openxmlformats.org/officeDocument/2006/relationships/image" Target="media/image22.emf"/><Relationship Id="rId51" Type="http://schemas.openxmlformats.org/officeDocument/2006/relationships/oleObject" Target="embeddings/oleObject22.bin"/><Relationship Id="rId50" Type="http://schemas.openxmlformats.org/officeDocument/2006/relationships/image" Target="media/image21.emf"/><Relationship Id="rId5" Type="http://schemas.openxmlformats.org/officeDocument/2006/relationships/footer" Target="footer3.xml"/><Relationship Id="rId49" Type="http://schemas.openxmlformats.org/officeDocument/2006/relationships/oleObject" Target="embeddings/oleObject21.bin"/><Relationship Id="rId48" Type="http://schemas.openxmlformats.org/officeDocument/2006/relationships/image" Target="media/image20.emf"/><Relationship Id="rId47" Type="http://schemas.openxmlformats.org/officeDocument/2006/relationships/oleObject" Target="embeddings/oleObject20.bin"/><Relationship Id="rId46" Type="http://schemas.openxmlformats.org/officeDocument/2006/relationships/image" Target="media/image19.emf"/><Relationship Id="rId45" Type="http://schemas.openxmlformats.org/officeDocument/2006/relationships/oleObject" Target="embeddings/oleObject19.bin"/><Relationship Id="rId44" Type="http://schemas.openxmlformats.org/officeDocument/2006/relationships/chart" Target="charts/chart2.xml"/><Relationship Id="rId43" Type="http://schemas.openxmlformats.org/officeDocument/2006/relationships/chart" Target="charts/chart1.xml"/><Relationship Id="rId42" Type="http://schemas.openxmlformats.org/officeDocument/2006/relationships/image" Target="media/image18.emf"/><Relationship Id="rId41" Type="http://schemas.openxmlformats.org/officeDocument/2006/relationships/oleObject" Target="embeddings/oleObject18.bin"/><Relationship Id="rId40" Type="http://schemas.openxmlformats.org/officeDocument/2006/relationships/image" Target="media/image17.emf"/><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6.emf"/><Relationship Id="rId37" Type="http://schemas.openxmlformats.org/officeDocument/2006/relationships/oleObject" Target="embeddings/oleObject16.bin"/><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b="0"/>
              <a:t>收入决算</a:t>
            </a:r>
            <a:endParaRPr lang="zh-CN" altLang="en-US" sz="1400" b="0"/>
          </a:p>
        </c:rich>
      </c:tx>
      <c:layout/>
      <c:overlay val="0"/>
    </c:title>
    <c:autoTitleDeleted val="0"/>
    <c:plotArea>
      <c:layout/>
      <c:pieChart>
        <c:varyColors val="1"/>
        <c:ser>
          <c:idx val="0"/>
          <c:order val="0"/>
          <c:tx>
            <c:strRef>
              <c:f>Sheet1!$B$1</c:f>
              <c:strCache>
                <c:ptCount val="1"/>
                <c:pt idx="0">
                  <c:v>收入</c:v>
                </c:pt>
              </c:strCache>
            </c:strRef>
          </c:tx>
          <c:explosion val="0"/>
          <c:dPt>
            <c:idx val="0"/>
            <c:bubble3D val="0"/>
          </c:dPt>
          <c:dPt>
            <c:idx val="1"/>
            <c:bubble3D val="0"/>
          </c:dPt>
          <c:dPt>
            <c:idx val="2"/>
            <c:bubble3D val="0"/>
          </c:dPt>
          <c:dPt>
            <c:idx val="3"/>
            <c:bubble3D val="0"/>
          </c:dPt>
          <c:dPt>
            <c:idx val="4"/>
            <c:bubble3D val="0"/>
          </c:dPt>
          <c:dPt>
            <c:idx val="5"/>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Sheet1!$A$2:$A$7</c:f>
              <c:strCache>
                <c:ptCount val="6"/>
                <c:pt idx="0">
                  <c:v>财政拨款收入</c:v>
                </c:pt>
                <c:pt idx="1">
                  <c:v>上级补助收入</c:v>
                </c:pt>
                <c:pt idx="2">
                  <c:v>事业收入</c:v>
                </c:pt>
                <c:pt idx="3">
                  <c:v>经营收入</c:v>
                </c:pt>
                <c:pt idx="4">
                  <c:v>附属单位上缴</c:v>
                </c:pt>
                <c:pt idx="5">
                  <c:v>其他收入</c:v>
                </c:pt>
              </c:strCache>
            </c:strRef>
          </c:cat>
          <c:val>
            <c:numRef>
              <c:f>Sheet1!$B$2:$B$7</c:f>
              <c:numCache>
                <c:formatCode>General</c:formatCode>
                <c:ptCount val="6"/>
                <c:pt idx="0">
                  <c:v>23818.84</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solidFill>
                <a:latin typeface="+mn-lt"/>
                <a:ea typeface="+mn-ea"/>
                <a:cs typeface="+mn-cs"/>
              </a:defRPr>
            </a:pPr>
            <a:r>
              <a:rPr lang="zh-CN" altLang="en-US">
                <a:solidFill>
                  <a:schemeClr val="tx1"/>
                </a:solidFill>
              </a:rPr>
              <a:t>支出决算</a:t>
            </a:r>
            <a:endParaRPr lang="zh-CN" altLang="en-US">
              <a:solidFill>
                <a:schemeClr val="tx1"/>
              </a:solidFill>
            </a:endParaRPr>
          </a:p>
        </c:rich>
      </c:tx>
      <c:layout/>
      <c:overlay val="0"/>
      <c:spPr>
        <a:noFill/>
        <a:ln>
          <a:noFill/>
        </a:ln>
        <a:effectLst/>
      </c:spPr>
    </c:title>
    <c:autoTitleDeleted val="0"/>
    <c:plotArea>
      <c:layout/>
      <c:pieChart>
        <c:varyColors val="1"/>
        <c:ser>
          <c:idx val="0"/>
          <c:order val="0"/>
          <c:tx>
            <c:strRef>
              <c:f>Sheet0!$B$1</c:f>
              <c:strCache>
                <c:ptCount val="1"/>
                <c:pt idx="0">
                  <c:v>支出</c:v>
                </c:pt>
              </c:strCache>
            </c:strRef>
          </c:tx>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Pt>
            <c:idx val="3"/>
            <c:bubble3D val="0"/>
            <c:spPr>
              <a:solidFill>
                <a:srgbClr val="8064A2"/>
              </a:solidFill>
              <a:ln w="19050">
                <a:solidFill>
                  <a:srgbClr val="FFFFFF"/>
                </a:solidFill>
              </a:ln>
              <a:effectLst/>
            </c:spPr>
          </c:dPt>
          <c:dPt>
            <c:idx val="4"/>
            <c:bubble3D val="0"/>
            <c:spPr>
              <a:solidFill>
                <a:srgbClr val="4BACC6"/>
              </a:solidFill>
              <a:ln w="19050">
                <a:solidFill>
                  <a:srgbClr val="FFFFFF"/>
                </a:solidFill>
              </a:ln>
              <a:effectLst/>
            </c:spPr>
          </c:dPt>
          <c:dLbls>
            <c:dLbl>
              <c:idx val="2"/>
              <c:layout>
                <c:manualLayout>
                  <c:x val="-0.03900372940115"/>
                  <c:y val="0.032827143610787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0389887693586102"/>
                  <c:y val="0.010511229510062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Sheet0!$A$2:$A$6</c:f>
              <c:strCache>
                <c:ptCount val="5"/>
                <c:pt idx="0">
                  <c:v>基本支出</c:v>
                </c:pt>
                <c:pt idx="1">
                  <c:v>项目支出</c:v>
                </c:pt>
                <c:pt idx="2">
                  <c:v>上缴上级支出</c:v>
                </c:pt>
                <c:pt idx="3">
                  <c:v>经营支出</c:v>
                </c:pt>
                <c:pt idx="4">
                  <c:v>对附属单位补助支出</c:v>
                </c:pt>
              </c:strCache>
            </c:strRef>
          </c:cat>
          <c:val>
            <c:numRef>
              <c:f>Sheet0!$B$2:$B$6</c:f>
              <c:numCache>
                <c:formatCode>General</c:formatCode>
                <c:ptCount val="5"/>
                <c:pt idx="0">
                  <c:v>3081.08</c:v>
                </c:pt>
                <c:pt idx="1">
                  <c:v>29212.31</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Entry>
      <c:legendEntry>
        <c:idx val="3"/>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Entry>
      <c:legendEntry>
        <c:idx val="4"/>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1662</Words>
  <Characters>9478</Characters>
  <Lines>78</Lines>
  <Paragraphs>22</Paragraphs>
  <TotalTime>2</TotalTime>
  <ScaleCrop>false</ScaleCrop>
  <LinksUpToDate>false</LinksUpToDate>
  <CharactersWithSpaces>11118</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2017-07-11T15:16:00Z</dcterms:created>
  <dc:creator>常程</dc:creator>
  <cp:lastModifiedBy>财务专用</cp:lastModifiedBy>
  <cp:lastPrinted>2020-08-07T11:39:00Z</cp:lastPrinted>
  <dcterms:modified xsi:type="dcterms:W3CDTF">2025-06-20T03:00:40Z</dcterms:modified>
  <dc:title>北京市财政局关于做好向市人大常委会报送2015年度市级部门决算（草案）</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435078ACFECC4A5A8A519EF4C3681114_13</vt:lpwstr>
  </property>
  <property fmtid="{D5CDD505-2E9C-101B-9397-08002B2CF9AE}" pid="4" name="KSOTemplateDocerSaveRecord">
    <vt:lpwstr>eyJoZGlkIjoiMzFhMDlmODM4NDM3ZTUzZTJhOWRjZWIxNmVkMjQxNTMiLCJ1c2VySWQiOiIxMTQwMjc4MDE0In0=</vt:lpwstr>
  </property>
</Properties>
</file>