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北京市密云区教育工作者活动中心</w:t>
      </w:r>
    </w:p>
    <w:p>
      <w:pPr>
        <w:jc w:val="center"/>
        <w:rPr>
          <w:rFonts w:ascii="黑体" w:eastAsia="黑体"/>
          <w:sz w:val="72"/>
          <w:szCs w:val="72"/>
        </w:rPr>
      </w:pPr>
      <w:r>
        <w:rPr>
          <w:rFonts w:hint="eastAsia" w:ascii="黑体" w:eastAsia="黑体"/>
          <w:sz w:val="72"/>
          <w:szCs w:val="72"/>
        </w:rPr>
        <w:t>2024年度部门决算（公开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2024年度部门决算报表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2024年度部门决算说明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2024年度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2024年度部门绩效评价情况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2024年度部门决算报表</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drawing>
          <wp:inline distT="0" distB="0" distL="114300" distR="114300">
            <wp:extent cx="8479155" cy="6257925"/>
            <wp:effectExtent l="0" t="0" r="952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479155" cy="6257925"/>
                    </a:xfrm>
                    <a:prstGeom prst="rect">
                      <a:avLst/>
                    </a:prstGeom>
                    <a:noFill/>
                    <a:ln>
                      <a:noFill/>
                    </a:ln>
                  </pic:spPr>
                </pic:pic>
              </a:graphicData>
            </a:graphic>
          </wp:inline>
        </w:drawing>
      </w:r>
    </w:p>
    <w:p>
      <w:pPr>
        <w:tabs>
          <w:tab w:val="center" w:pos="6979"/>
        </w:tabs>
        <w:spacing w:before="156" w:beforeLines="50" w:after="156" w:afterLines="50"/>
        <w:jc w:val="center"/>
        <w:rPr>
          <w:rFonts w:ascii="宋体" w:hAnsi="宋体" w:cs="宋体"/>
          <w:b/>
          <w:bCs/>
          <w:spacing w:val="40"/>
          <w:kern w:val="0"/>
          <w:sz w:val="32"/>
          <w:szCs w:val="32"/>
        </w:rPr>
      </w:pPr>
      <w:r>
        <w:drawing>
          <wp:inline distT="0" distB="0" distL="114300" distR="114300">
            <wp:extent cx="9242425" cy="4903470"/>
            <wp:effectExtent l="0" t="0" r="825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9242425" cy="4903470"/>
                    </a:xfrm>
                    <a:prstGeom prst="rect">
                      <a:avLst/>
                    </a:prstGeom>
                    <a:noFill/>
                    <a:ln>
                      <a:noFill/>
                    </a:ln>
                  </pic:spPr>
                </pic:pic>
              </a:graphicData>
            </a:graphic>
          </wp:inline>
        </w:drawing>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drawing>
          <wp:inline distT="0" distB="0" distL="114300" distR="114300">
            <wp:extent cx="9249410" cy="5179060"/>
            <wp:effectExtent l="0" t="0" r="1270" b="25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9249410" cy="5179060"/>
                    </a:xfrm>
                    <a:prstGeom prst="rect">
                      <a:avLst/>
                    </a:prstGeom>
                    <a:noFill/>
                    <a:ln>
                      <a:noFill/>
                    </a:ln>
                  </pic:spPr>
                </pic:pic>
              </a:graphicData>
            </a:graphic>
          </wp:inline>
        </w:drawing>
      </w:r>
    </w:p>
    <w:p>
      <w:pPr>
        <w:pStyle w:val="2"/>
        <w:jc w:val="right"/>
        <w:rPr>
          <w:rFonts w:ascii="宋体" w:hAnsi="宋体" w:cs="宋体"/>
          <w:spacing w:val="40"/>
          <w:sz w:val="32"/>
        </w:rPr>
      </w:pPr>
      <w:r>
        <w:drawing>
          <wp:inline distT="0" distB="0" distL="114300" distR="114300">
            <wp:extent cx="8775700" cy="6184900"/>
            <wp:effectExtent l="0" t="0" r="2540" b="254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8775700" cy="6184900"/>
                    </a:xfrm>
                    <a:prstGeom prst="rect">
                      <a:avLst/>
                    </a:prstGeom>
                    <a:noFill/>
                    <a:ln>
                      <a:noFill/>
                    </a:ln>
                  </pic:spPr>
                </pic:pic>
              </a:graphicData>
            </a:graphic>
          </wp:inline>
        </w:drawing>
      </w:r>
    </w:p>
    <w:p>
      <w:pPr>
        <w:rPr>
          <w:rFonts w:ascii="宋体" w:hAnsi="宋体" w:cs="宋体"/>
          <w:b/>
          <w:bCs/>
          <w:spacing w:val="40"/>
          <w:kern w:val="0"/>
          <w:sz w:val="32"/>
          <w:szCs w:val="32"/>
        </w:rPr>
      </w:pPr>
    </w:p>
    <w:p>
      <w:pPr>
        <w:pStyle w:val="2"/>
        <w:rPr>
          <w:rFonts w:ascii="宋体" w:hAnsi="宋体" w:cs="宋体"/>
          <w:spacing w:val="40"/>
          <w:sz w:val="32"/>
        </w:rPr>
      </w:pPr>
      <w:r>
        <w:drawing>
          <wp:inline distT="0" distB="0" distL="114300" distR="114300">
            <wp:extent cx="9251315" cy="4925695"/>
            <wp:effectExtent l="0" t="0" r="14605" b="1206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9251315" cy="4925695"/>
                    </a:xfrm>
                    <a:prstGeom prst="rect">
                      <a:avLst/>
                    </a:prstGeom>
                    <a:noFill/>
                    <a:ln>
                      <a:noFill/>
                    </a:ln>
                  </pic:spPr>
                </pic:pic>
              </a:graphicData>
            </a:graphic>
          </wp:inline>
        </w:drawing>
      </w:r>
    </w:p>
    <w:p>
      <w:pPr>
        <w:rPr>
          <w:rFonts w:ascii="宋体" w:hAnsi="宋体" w:cs="宋体"/>
          <w:b/>
          <w:bCs/>
          <w:spacing w:val="40"/>
          <w:kern w:val="0"/>
          <w:sz w:val="32"/>
          <w:szCs w:val="32"/>
        </w:rPr>
      </w:pPr>
    </w:p>
    <w:p>
      <w:pPr>
        <w:pStyle w:val="2"/>
        <w:rPr>
          <w:rFonts w:ascii="宋体" w:hAnsi="宋体" w:cs="宋体"/>
          <w:spacing w:val="40"/>
          <w:sz w:val="32"/>
        </w:rPr>
      </w:pPr>
      <w:r>
        <w:drawing>
          <wp:inline distT="0" distB="0" distL="114300" distR="114300">
            <wp:extent cx="9243695" cy="5602605"/>
            <wp:effectExtent l="0" t="0" r="6985" b="571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9243695" cy="5602605"/>
                    </a:xfrm>
                    <a:prstGeom prst="rect">
                      <a:avLst/>
                    </a:prstGeom>
                    <a:noFill/>
                    <a:ln>
                      <a:noFill/>
                    </a:ln>
                  </pic:spPr>
                </pic:pic>
              </a:graphicData>
            </a:graphic>
          </wp:inline>
        </w:drawing>
      </w:r>
    </w:p>
    <w:p>
      <w:pPr>
        <w:rPr>
          <w:rFonts w:ascii="宋体" w:hAnsi="宋体" w:cs="宋体"/>
          <w:b/>
          <w:bCs/>
          <w:spacing w:val="40"/>
          <w:kern w:val="0"/>
          <w:sz w:val="32"/>
          <w:szCs w:val="32"/>
        </w:rPr>
      </w:pPr>
      <w:r>
        <w:drawing>
          <wp:inline distT="0" distB="0" distL="114300" distR="114300">
            <wp:extent cx="9246870" cy="1881505"/>
            <wp:effectExtent l="0" t="0" r="3810" b="825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9246870" cy="1881505"/>
                    </a:xfrm>
                    <a:prstGeom prst="rect">
                      <a:avLst/>
                    </a:prstGeom>
                    <a:noFill/>
                    <a:ln>
                      <a:noFill/>
                    </a:ln>
                  </pic:spPr>
                </pic:pic>
              </a:graphicData>
            </a:graphic>
          </wp:inline>
        </w:drawing>
      </w: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r>
        <w:drawing>
          <wp:inline distT="0" distB="0" distL="114300" distR="114300">
            <wp:extent cx="9243695" cy="5876290"/>
            <wp:effectExtent l="0" t="0" r="6985" b="635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stretch>
                      <a:fillRect/>
                    </a:stretch>
                  </pic:blipFill>
                  <pic:spPr>
                    <a:xfrm>
                      <a:off x="0" y="0"/>
                      <a:ext cx="9243695" cy="5876290"/>
                    </a:xfrm>
                    <a:prstGeom prst="rect">
                      <a:avLst/>
                    </a:prstGeom>
                    <a:noFill/>
                    <a:ln>
                      <a:noFill/>
                    </a:ln>
                  </pic:spPr>
                </pic:pic>
              </a:graphicData>
            </a:graphic>
          </wp:inline>
        </w:drawing>
      </w: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rPr>
          <w:rFonts w:ascii="宋体" w:hAnsi="宋体" w:cs="宋体"/>
          <w:spacing w:val="40"/>
          <w:sz w:val="32"/>
        </w:rPr>
      </w:pPr>
      <w:r>
        <w:drawing>
          <wp:inline distT="0" distB="0" distL="114300" distR="114300">
            <wp:extent cx="9249410" cy="2281555"/>
            <wp:effectExtent l="0" t="0" r="1270" b="44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9249410" cy="2281555"/>
                    </a:xfrm>
                    <a:prstGeom prst="rect">
                      <a:avLst/>
                    </a:prstGeom>
                    <a:noFill/>
                    <a:ln>
                      <a:noFill/>
                    </a:ln>
                  </pic:spPr>
                </pic:pic>
              </a:graphicData>
            </a:graphic>
          </wp:inline>
        </w:drawing>
      </w:r>
    </w:p>
    <w:p>
      <w:pPr>
        <w:rPr>
          <w:rFonts w:ascii="宋体" w:hAnsi="宋体" w:cs="宋体"/>
          <w:b/>
          <w:bCs/>
          <w:spacing w:val="40"/>
          <w:kern w:val="0"/>
          <w:sz w:val="32"/>
          <w:szCs w:val="32"/>
        </w:rPr>
      </w:pPr>
      <w:r>
        <w:drawing>
          <wp:inline distT="0" distB="0" distL="114300" distR="114300">
            <wp:extent cx="9247505" cy="3236595"/>
            <wp:effectExtent l="0" t="0" r="3175"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5"/>
                    <a:stretch>
                      <a:fillRect/>
                    </a:stretch>
                  </pic:blipFill>
                  <pic:spPr>
                    <a:xfrm>
                      <a:off x="0" y="0"/>
                      <a:ext cx="9247505" cy="3236595"/>
                    </a:xfrm>
                    <a:prstGeom prst="rect">
                      <a:avLst/>
                    </a:prstGeom>
                    <a:noFill/>
                    <a:ln>
                      <a:noFill/>
                    </a:ln>
                  </pic:spPr>
                </pic:pic>
              </a:graphicData>
            </a:graphic>
          </wp:inline>
        </w:drawing>
      </w:r>
    </w:p>
    <w:p>
      <w:pPr>
        <w:pStyle w:val="2"/>
        <w:jc w:val="center"/>
        <w:rPr>
          <w:rFonts w:ascii="宋体" w:hAnsi="宋体" w:cs="宋体"/>
          <w:spacing w:val="40"/>
          <w:sz w:val="32"/>
        </w:rPr>
      </w:pPr>
      <w:r>
        <w:drawing>
          <wp:inline distT="0" distB="0" distL="114300" distR="114300">
            <wp:extent cx="7246620" cy="4061460"/>
            <wp:effectExtent l="0" t="0" r="7620" b="762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6"/>
                    <a:stretch>
                      <a:fillRect/>
                    </a:stretch>
                  </pic:blipFill>
                  <pic:spPr>
                    <a:xfrm>
                      <a:off x="0" y="0"/>
                      <a:ext cx="7246620" cy="4061460"/>
                    </a:xfrm>
                    <a:prstGeom prst="rect">
                      <a:avLst/>
                    </a:prstGeom>
                    <a:noFill/>
                    <a:ln>
                      <a:noFill/>
                    </a:ln>
                  </pic:spPr>
                </pic:pic>
              </a:graphicData>
            </a:graphic>
          </wp:inline>
        </w:drawing>
      </w:r>
    </w:p>
    <w:p>
      <w:pPr>
        <w:rPr>
          <w:rFonts w:ascii="宋体" w:hAnsi="宋体" w:cs="宋体"/>
          <w:b/>
          <w:bCs/>
          <w:spacing w:val="40"/>
          <w:kern w:val="0"/>
          <w:sz w:val="32"/>
          <w:szCs w:val="32"/>
        </w:rPr>
      </w:pPr>
    </w:p>
    <w:p>
      <w:pPr>
        <w:pStyle w:val="2"/>
        <w:rPr>
          <w:rFonts w:ascii="宋体" w:hAnsi="宋体" w:cs="宋体"/>
          <w:spacing w:val="40"/>
          <w:sz w:val="32"/>
        </w:rPr>
      </w:pPr>
    </w:p>
    <w:p>
      <w:pPr>
        <w:rPr>
          <w:rFonts w:ascii="宋体" w:hAnsi="宋体" w:cs="宋体"/>
          <w:b/>
          <w:bCs/>
          <w:spacing w:val="40"/>
          <w:kern w:val="0"/>
          <w:sz w:val="32"/>
          <w:szCs w:val="32"/>
        </w:rPr>
      </w:pPr>
    </w:p>
    <w:p>
      <w:pPr>
        <w:pStyle w:val="2"/>
        <w:jc w:val="center"/>
        <w:rPr>
          <w:rFonts w:ascii="宋体" w:hAnsi="宋体" w:cs="宋体"/>
          <w:spacing w:val="40"/>
          <w:sz w:val="32"/>
        </w:rPr>
      </w:pPr>
      <w:r>
        <w:drawing>
          <wp:inline distT="0" distB="0" distL="114300" distR="114300">
            <wp:extent cx="6372860" cy="6072505"/>
            <wp:effectExtent l="0" t="0" r="12700" b="825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7"/>
                    <a:stretch>
                      <a:fillRect/>
                    </a:stretch>
                  </pic:blipFill>
                  <pic:spPr>
                    <a:xfrm>
                      <a:off x="0" y="0"/>
                      <a:ext cx="6372860" cy="6072505"/>
                    </a:xfrm>
                    <a:prstGeom prst="rect">
                      <a:avLst/>
                    </a:prstGeom>
                    <a:noFill/>
                    <a:ln>
                      <a:noFill/>
                    </a:ln>
                  </pic:spPr>
                </pic:pic>
              </a:graphicData>
            </a:graphic>
          </wp:inline>
        </w:drawing>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第二部分 2024年度部门决算说明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我单位北京市密云区教育工作者活动中心（以下简称：教工中心）是隶属于北京市密云区教育委员会的二级预算单位。单位性质：事业单位。内设：主任室、关工委、老教协、教工中心等部门；主要职责:业务范围为实施其他教育；为离退休教师管理服务。</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393.91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减少90.5万元，下降18.68%。</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393.91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减少90.5万元，下降18.68%。</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393.91</w:t>
      </w:r>
      <w:r>
        <w:rPr>
          <w:rFonts w:hint="eastAsia" w:ascii="仿宋_GB2312" w:eastAsia="仿宋_GB2312"/>
          <w:sz w:val="28"/>
          <w:szCs w:val="28"/>
        </w:rPr>
        <w:t>万元，占收入合计的100%。其中：一般公共预算财政拨款收入</w:t>
      </w:r>
      <w:r>
        <w:rPr>
          <w:rFonts w:ascii="仿宋_GB2312" w:eastAsia="仿宋_GB2312"/>
          <w:sz w:val="28"/>
          <w:szCs w:val="28"/>
        </w:rPr>
        <w:t>393.91</w:t>
      </w:r>
      <w:r>
        <w:rPr>
          <w:rFonts w:hint="eastAsia" w:ascii="仿宋_GB2312" w:eastAsia="仿宋_GB2312"/>
          <w:sz w:val="28"/>
          <w:szCs w:val="28"/>
        </w:rPr>
        <w:t>万元，占收入合计的100%；政府性基金预算财政拨款收入</w:t>
      </w:r>
      <w:r>
        <w:rPr>
          <w:rFonts w:ascii="仿宋_GB2312" w:eastAsia="仿宋_GB2312"/>
          <w:sz w:val="28"/>
          <w:szCs w:val="28"/>
        </w:rPr>
        <w:t>0</w:t>
      </w:r>
      <w:r>
        <w:rPr>
          <w:rFonts w:hint="eastAsia" w:ascii="仿宋_GB2312" w:eastAsia="仿宋_GB2312"/>
          <w:sz w:val="28"/>
          <w:szCs w:val="28"/>
        </w:rPr>
        <w:t>万元，占收入合计的0%；国有资本经营预算财政拨款收入</w:t>
      </w:r>
      <w:r>
        <w:rPr>
          <w:rFonts w:ascii="仿宋_GB2312" w:eastAsia="仿宋_GB2312"/>
          <w:sz w:val="28"/>
          <w:szCs w:val="28"/>
        </w:rPr>
        <w:t>0</w:t>
      </w:r>
      <w:r>
        <w:rPr>
          <w:rFonts w:hint="eastAsia" w:ascii="仿宋_GB2312" w:eastAsia="仿宋_GB2312"/>
          <w:sz w:val="28"/>
          <w:szCs w:val="28"/>
        </w:rPr>
        <w:t>万元，占收入合计的0%；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万元，占收入合计的0%。</w:t>
      </w:r>
    </w:p>
    <w:p>
      <w:pPr>
        <w:pStyle w:val="2"/>
        <w:spacing w:before="156" w:after="156"/>
        <w:jc w:val="center"/>
      </w:pPr>
      <w:r>
        <w:rPr>
          <w:rFonts w:hint="eastAsia" w:ascii="仿宋_GB2312" w:eastAsia="仿宋_GB2312"/>
          <w:color w:val="000000"/>
          <w:sz w:val="32"/>
        </w:rPr>
        <w:t>图1：收入决算</w:t>
      </w:r>
    </w:p>
    <w:p>
      <w:pPr>
        <w:pStyle w:val="3"/>
        <w:ind w:firstLine="420"/>
        <w:jc w:val="center"/>
      </w:pPr>
      <w:r>
        <w:drawing>
          <wp:inline distT="0" distB="0" distL="0" distR="0">
            <wp:extent cx="4036695" cy="2328545"/>
            <wp:effectExtent l="4445" t="4445" r="12700" b="1397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2024年度本年支出合计</w:t>
      </w:r>
      <w:r>
        <w:rPr>
          <w:rFonts w:ascii="仿宋_GB2312" w:eastAsia="仿宋_GB2312"/>
          <w:sz w:val="28"/>
          <w:szCs w:val="28"/>
        </w:rPr>
        <w:t>393.91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减少90.5万元，下降18.68%，其中：基本支出</w:t>
      </w:r>
      <w:r>
        <w:rPr>
          <w:rFonts w:ascii="仿宋_GB2312" w:eastAsia="仿宋_GB2312"/>
          <w:sz w:val="28"/>
          <w:szCs w:val="28"/>
        </w:rPr>
        <w:t>385.91</w:t>
      </w:r>
      <w:r>
        <w:rPr>
          <w:rFonts w:hint="eastAsia" w:ascii="仿宋_GB2312" w:eastAsia="仿宋_GB2312"/>
          <w:sz w:val="28"/>
          <w:szCs w:val="28"/>
        </w:rPr>
        <w:t>万元，占支出合计的97.97%；项目支出</w:t>
      </w:r>
      <w:r>
        <w:rPr>
          <w:rFonts w:ascii="仿宋_GB2312" w:eastAsia="仿宋_GB2312"/>
          <w:sz w:val="28"/>
          <w:szCs w:val="28"/>
        </w:rPr>
        <w:t>8</w:t>
      </w:r>
      <w:r>
        <w:rPr>
          <w:rFonts w:hint="eastAsia" w:ascii="仿宋_GB2312" w:eastAsia="仿宋_GB2312"/>
          <w:sz w:val="28"/>
          <w:szCs w:val="28"/>
        </w:rPr>
        <w:t>万元，占支出合计的2.03%;上缴上级支出</w:t>
      </w:r>
      <w:r>
        <w:rPr>
          <w:rFonts w:ascii="仿宋_GB2312" w:eastAsia="仿宋_GB2312"/>
          <w:sz w:val="28"/>
          <w:szCs w:val="28"/>
        </w:rPr>
        <w:t>0</w:t>
      </w:r>
      <w:r>
        <w:rPr>
          <w:rFonts w:hint="eastAsia" w:ascii="仿宋_GB2312" w:eastAsia="仿宋_GB2312"/>
          <w:sz w:val="28"/>
          <w:szCs w:val="28"/>
        </w:rPr>
        <w:t>万元，占支出合计的0%；经营支出</w:t>
      </w:r>
      <w:r>
        <w:rPr>
          <w:rFonts w:ascii="仿宋_GB2312" w:eastAsia="仿宋_GB2312"/>
          <w:sz w:val="28"/>
          <w:szCs w:val="28"/>
        </w:rPr>
        <w:t>0</w:t>
      </w:r>
      <w:r>
        <w:rPr>
          <w:rFonts w:hint="eastAsia" w:ascii="仿宋_GB2312" w:eastAsia="仿宋_GB2312"/>
          <w:sz w:val="28"/>
          <w:szCs w:val="28"/>
        </w:rPr>
        <w:t>万元，占支出合计的0%；对附属单位补助支出</w:t>
      </w:r>
      <w:r>
        <w:rPr>
          <w:rFonts w:ascii="仿宋_GB2312" w:eastAsia="仿宋_GB2312"/>
          <w:sz w:val="28"/>
          <w:szCs w:val="28"/>
        </w:rPr>
        <w:t>0</w:t>
      </w:r>
      <w:r>
        <w:rPr>
          <w:rFonts w:hint="eastAsia" w:ascii="仿宋_GB2312" w:eastAsia="仿宋_GB2312"/>
          <w:sz w:val="28"/>
          <w:szCs w:val="28"/>
        </w:rPr>
        <w:t>万元，占支出合计的0%。</w:t>
      </w:r>
    </w:p>
    <w:p>
      <w:pPr>
        <w:pStyle w:val="2"/>
        <w:spacing w:before="156" w:after="156"/>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0795" b="1079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393.91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减少90.5万元，下降18.68%。主要原因：人员退休、调动及离休人员去世导致。</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2024年度一般公共预算财政拨款支出</w:t>
      </w:r>
      <w:r>
        <w:rPr>
          <w:rFonts w:ascii="仿宋_GB2312" w:eastAsia="仿宋_GB2312"/>
          <w:sz w:val="28"/>
          <w:szCs w:val="28"/>
        </w:rPr>
        <w:t>393.91</w:t>
      </w:r>
      <w:r>
        <w:rPr>
          <w:rFonts w:hint="eastAsia" w:ascii="仿宋_GB2312" w:eastAsia="仿宋_GB2312"/>
          <w:sz w:val="28"/>
          <w:szCs w:val="28"/>
        </w:rPr>
        <w:t>万元，主要用于以下方面（按大类）：社会保障和就业支出167.49万元，占本年财政拨款支出42.52%；教育支出205.3万元，占本年财政拨款支出52.12%；卫生健康支出21.13万元，占本年财政拨款支出5.36%。</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1、“教育支出”（类）2024年度年初预算205.30万元，2024年度决算205.30万元，完成年初预算的100%。</w:t>
      </w:r>
    </w:p>
    <w:p>
      <w:pPr>
        <w:autoSpaceDE w:val="0"/>
        <w:autoSpaceDN w:val="0"/>
        <w:adjustRightInd w:val="0"/>
        <w:spacing w:line="580" w:lineRule="exact"/>
        <w:ind w:firstLine="560" w:firstLineChars="200"/>
        <w:jc w:val="left"/>
        <w:rPr>
          <w:rFonts w:ascii="仿宋_GB2312" w:hAnsi="仿宋" w:eastAsia="仿宋_GB2312"/>
          <w:b/>
          <w:sz w:val="28"/>
          <w:szCs w:val="28"/>
        </w:rPr>
      </w:pPr>
      <w:r>
        <w:rPr>
          <w:rFonts w:hint="eastAsia" w:ascii="仿宋_GB2312" w:eastAsia="仿宋_GB2312"/>
          <w:sz w:val="28"/>
          <w:szCs w:val="28"/>
        </w:rPr>
        <w:t>其中：</w:t>
      </w:r>
      <w:r>
        <w:rPr>
          <w:rFonts w:hint="eastAsia" w:ascii="仿宋_GB2312" w:hAnsi="仿宋" w:eastAsia="仿宋_GB2312"/>
          <w:sz w:val="28"/>
          <w:szCs w:val="28"/>
        </w:rPr>
        <w:t>工资福利支出181.12万元，占本年支出88.22%；商品和服务支出24.17元，占本年支出11.78%；对个人和家庭的补助0万元，占本年支出0%；资本性支出0万元，占本年支出0%</w:t>
      </w:r>
      <w:r>
        <w:rPr>
          <w:rFonts w:hint="eastAsia" w:ascii="仿宋_GB2312" w:hAnsi="仿宋" w:eastAsia="仿宋_GB2312"/>
          <w:b/>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2、“社会保障和就业”(类)2024年度年初预算167.49万元，2024年度决算167.49万元，完成年初预算的100%。</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3、“卫生健康支出”（类）2024年度年初预算21.13万元，2024年度决算21.13万元，完成年初预算的100%。</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840" w:firstLineChars="300"/>
        <w:rPr>
          <w:rFonts w:ascii="仿宋_GB2312" w:eastAsia="仿宋_GB2312"/>
          <w:sz w:val="28"/>
          <w:szCs w:val="28"/>
        </w:rPr>
      </w:pPr>
      <w:r>
        <w:rPr>
          <w:rFonts w:hint="eastAsia" w:ascii="仿宋_GB2312" w:eastAsia="仿宋_GB2312"/>
          <w:sz w:val="28"/>
          <w:szCs w:val="28"/>
        </w:rPr>
        <w:t>本单位2023年度无此项资金。</w:t>
      </w:r>
    </w:p>
    <w:p>
      <w:pPr>
        <w:pStyle w:val="3"/>
        <w:numPr>
          <w:ilvl w:val="0"/>
          <w:numId w:val="1"/>
        </w:numPr>
        <w:ind w:firstLine="560"/>
        <w:rPr>
          <w:rFonts w:ascii="仿宋_GB2312" w:eastAsia="仿宋_GB2312"/>
          <w:sz w:val="28"/>
          <w:szCs w:val="28"/>
        </w:rPr>
      </w:pPr>
      <w:r>
        <w:rPr>
          <w:rFonts w:hint="eastAsia" w:ascii="仿宋_GB2312" w:eastAsia="仿宋_GB2312"/>
          <w:sz w:val="28"/>
          <w:szCs w:val="28"/>
        </w:rPr>
        <w:t>政府性基金预算财政拨款支出决算具体情况</w:t>
      </w:r>
    </w:p>
    <w:p>
      <w:pPr>
        <w:pStyle w:val="3"/>
        <w:ind w:firstLine="0" w:firstLineChars="0"/>
      </w:pPr>
      <w:r>
        <w:rPr>
          <w:rFonts w:hint="eastAsia" w:ascii="仿宋_GB2312" w:eastAsia="仿宋_GB2312"/>
          <w:sz w:val="28"/>
          <w:szCs w:val="28"/>
        </w:rPr>
        <w:t xml:space="preserve">     本单位2023年度无此项资金。</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2024年度国有资本经营预算财政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2024年度使用一般公共预算财政拨款安排基本支出</w:t>
      </w:r>
      <w:r>
        <w:rPr>
          <w:rFonts w:ascii="仿宋_GB2312" w:eastAsia="仿宋_GB2312"/>
          <w:sz w:val="28"/>
          <w:szCs w:val="28"/>
        </w:rPr>
        <w:t>385.91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rPr>
        <w:t>2024年度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本单位本年度无此项支出。</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left="540"/>
        <w:rPr>
          <w:rFonts w:ascii="仿宋_GB2312" w:eastAsia="仿宋_GB2312"/>
          <w:sz w:val="28"/>
          <w:szCs w:val="28"/>
        </w:rPr>
      </w:pPr>
      <w:r>
        <w:rPr>
          <w:rFonts w:hint="eastAsia" w:ascii="仿宋_GB2312" w:eastAsia="仿宋_GB2312"/>
          <w:sz w:val="28"/>
          <w:szCs w:val="28"/>
        </w:rPr>
        <w:t>本单位不属于机关运行经费统计范围。</w:t>
      </w:r>
    </w:p>
    <w:p>
      <w:pPr>
        <w:ind w:left="540"/>
        <w:rPr>
          <w:rFonts w:ascii="黑体" w:eastAsia="黑体"/>
          <w:sz w:val="28"/>
          <w:szCs w:val="28"/>
        </w:rPr>
      </w:pPr>
      <w:r>
        <w:rPr>
          <w:rFonts w:hint="eastAsia" w:ascii="黑体" w:eastAsia="黑体"/>
          <w:sz w:val="28"/>
          <w:szCs w:val="28"/>
        </w:rPr>
        <w:t>三、政府采购支出情况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本单位本年度无此项支出。</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2023年度新购置车辆0台，共计0万元；新购置单位价值100万元（含）以上的设备0台（套），共计0万元。</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2023年度</w:t>
      </w:r>
      <w:r>
        <w:rPr>
          <w:rFonts w:ascii="仿宋_GB2312" w:eastAsia="仿宋_GB2312"/>
          <w:sz w:val="28"/>
          <w:szCs w:val="28"/>
        </w:rPr>
        <w:t>政府购买服务决算0</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spacing w:line="580" w:lineRule="exact"/>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spacing w:line="580" w:lineRule="exact"/>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spacing w:line="580" w:lineRule="exact"/>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spacing w:line="580" w:lineRule="exact"/>
        <w:ind w:firstLine="420" w:firstLineChars="150"/>
        <w:rPr>
          <w:rFonts w:ascii="仿宋_GB2312" w:eastAsia="仿宋_GB2312"/>
          <w:sz w:val="28"/>
          <w:szCs w:val="28"/>
        </w:rPr>
      </w:pPr>
      <w:r>
        <w:rPr>
          <w:rFonts w:hint="eastAsia" w:ascii="仿宋_GB2312" w:eastAsia="仿宋_GB2312"/>
          <w:sz w:val="28"/>
          <w:szCs w:val="28"/>
        </w:rPr>
        <w:t>7.各单位需根据自身业务职能，补充当年使用的所有支出功能分类项级科目名词解释：</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教育支出（类）普通教育（款）其他普通教育支出（项）：反映本单位的教育项目支出。</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教育支出（类）其他教育支出（款）其他教育支出（项）：反映本单位的教育基本支出和项目支出。</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社会保障和就业支出（类）行政事业单位养老支出（款）事业单位离退休（项）：反映本单位对离退休人员的支出。</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社会保障和就业支出（类）行政事业单位养老支出（款）机关事业单位基本养老保险缴费支出（项）：反映本单位对在职教职工的基本养老保险缴费支出。</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社会保障和就业支出（类）行政事业单位养老支出（款）机关事业单位职业年金缴费支出（项）：反映本单位对在职教职工的职业年金缴费支出。</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卫生健康支出（类）行政事业单位医疗（款）事业单位医疗（项）：反映本单位对在职教职工的医疗保险缴费支出。</w:t>
      </w:r>
    </w:p>
    <w:p>
      <w:pPr>
        <w:rPr>
          <w:rFonts w:ascii="仿宋_GB2312" w:eastAsia="仿宋_GB2312"/>
          <w:sz w:val="28"/>
          <w:szCs w:val="28"/>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ind w:firstLine="640" w:firstLineChars="200"/>
        <w:jc w:val="center"/>
        <w:rPr>
          <w:rFonts w:asciiTheme="majorEastAsia" w:hAnsiTheme="majorEastAsia" w:eastAsiaTheme="majorEastAsia" w:cstheme="majorEastAsia"/>
          <w:b/>
          <w:bCs/>
          <w:sz w:val="32"/>
          <w:szCs w:val="32"/>
        </w:rPr>
      </w:pPr>
    </w:p>
    <w:p>
      <w:pPr>
        <w:rPr>
          <w:rFonts w:asciiTheme="majorEastAsia" w:hAnsiTheme="majorEastAsia" w:eastAsiaTheme="majorEastAsia" w:cstheme="majorEastAsia"/>
          <w:b/>
          <w:bCs/>
          <w:sz w:val="32"/>
          <w:szCs w:val="32"/>
        </w:rPr>
      </w:pPr>
    </w:p>
    <w:p>
      <w:pPr>
        <w:numPr>
          <w:ilvl w:val="0"/>
          <w:numId w:val="2"/>
        </w:numP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 2024年度部门绩效评价情况</w:t>
      </w:r>
    </w:p>
    <w:tbl>
      <w:tblPr>
        <w:tblStyle w:val="10"/>
        <w:tblW w:w="12777" w:type="dxa"/>
        <w:tblInd w:w="96" w:type="dxa"/>
        <w:tblLayout w:type="autofit"/>
        <w:tblCellMar>
          <w:top w:w="0" w:type="dxa"/>
          <w:left w:w="108" w:type="dxa"/>
          <w:bottom w:w="0" w:type="dxa"/>
          <w:right w:w="108" w:type="dxa"/>
        </w:tblCellMar>
      </w:tblPr>
      <w:tblGrid>
        <w:gridCol w:w="1056"/>
        <w:gridCol w:w="750"/>
        <w:gridCol w:w="1056"/>
        <w:gridCol w:w="1350"/>
        <w:gridCol w:w="1305"/>
        <w:gridCol w:w="570"/>
        <w:gridCol w:w="1092"/>
        <w:gridCol w:w="1140"/>
        <w:gridCol w:w="480"/>
        <w:gridCol w:w="1056"/>
        <w:gridCol w:w="495"/>
        <w:gridCol w:w="1056"/>
        <w:gridCol w:w="315"/>
        <w:gridCol w:w="1056"/>
      </w:tblGrid>
      <w:tr>
        <w:tblPrEx>
          <w:tblCellMar>
            <w:top w:w="0" w:type="dxa"/>
            <w:left w:w="108" w:type="dxa"/>
            <w:bottom w:w="0" w:type="dxa"/>
            <w:right w:w="108" w:type="dxa"/>
          </w:tblCellMar>
        </w:tblPrEx>
        <w:trPr>
          <w:trHeight w:val="1140" w:hRule="atLeast"/>
        </w:trPr>
        <w:tc>
          <w:tcPr>
            <w:tcW w:w="12777" w:type="dxa"/>
            <w:gridSpan w:val="14"/>
            <w:tcBorders>
              <w:top w:val="nil"/>
              <w:left w:val="nil"/>
              <w:bottom w:val="nil"/>
              <w:right w:val="nil"/>
            </w:tcBorders>
            <w:shd w:val="clear" w:color="auto" w:fill="auto"/>
            <w:noWrap/>
            <w:vAlign w:val="center"/>
          </w:tcPr>
          <w:p>
            <w:pPr>
              <w:widowControl/>
              <w:jc w:val="center"/>
              <w:textAlignment w:val="center"/>
              <w:rPr>
                <w:rFonts w:ascii="黑体" w:hAnsi="黑体" w:eastAsia="黑体" w:cs="方正小标宋简体"/>
                <w:b/>
                <w:bCs/>
                <w:color w:val="000000"/>
                <w:sz w:val="36"/>
                <w:szCs w:val="36"/>
              </w:rPr>
            </w:pPr>
            <w:r>
              <w:rPr>
                <w:rFonts w:hint="eastAsia" w:ascii="方正小标宋简体" w:hAnsi="方正小标宋简体" w:eastAsia="方正小标宋简体" w:cs="方正小标宋简体"/>
                <w:b/>
                <w:bCs/>
                <w:color w:val="000000"/>
                <w:kern w:val="0"/>
                <w:sz w:val="36"/>
                <w:szCs w:val="36"/>
                <w:lang w:bidi="ar"/>
              </w:rPr>
              <w:t xml:space="preserve">       </w:t>
            </w:r>
            <w:r>
              <w:rPr>
                <w:rFonts w:hint="eastAsia" w:ascii="黑体" w:hAnsi="黑体" w:eastAsia="黑体" w:cs="方正小标宋简体"/>
                <w:b/>
                <w:bCs/>
                <w:color w:val="000000"/>
                <w:kern w:val="0"/>
                <w:sz w:val="36"/>
                <w:szCs w:val="36"/>
                <w:lang w:bidi="ar"/>
              </w:rPr>
              <w:t xml:space="preserve">  项目支出绩效自评表</w:t>
            </w:r>
          </w:p>
        </w:tc>
      </w:tr>
      <w:tr>
        <w:tblPrEx>
          <w:tblCellMar>
            <w:top w:w="0" w:type="dxa"/>
            <w:left w:w="108" w:type="dxa"/>
            <w:bottom w:w="0" w:type="dxa"/>
            <w:right w:w="108" w:type="dxa"/>
          </w:tblCellMar>
        </w:tblPrEx>
        <w:trPr>
          <w:trHeight w:val="578" w:hRule="atLeast"/>
        </w:trPr>
        <w:tc>
          <w:tcPr>
            <w:tcW w:w="0" w:type="auto"/>
            <w:gridSpan w:val="14"/>
            <w:tcBorders>
              <w:top w:val="nil"/>
              <w:left w:val="nil"/>
              <w:bottom w:val="nil"/>
              <w:right w:val="nil"/>
            </w:tcBorders>
            <w:shd w:val="clear" w:color="auto" w:fill="auto"/>
            <w:noWrap/>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（2024年度）</w:t>
            </w:r>
          </w:p>
        </w:tc>
      </w:tr>
      <w:tr>
        <w:tblPrEx>
          <w:tblCellMar>
            <w:top w:w="0" w:type="dxa"/>
            <w:left w:w="108" w:type="dxa"/>
            <w:bottom w:w="0" w:type="dxa"/>
            <w:right w:w="108" w:type="dxa"/>
          </w:tblCellMar>
        </w:tblPrEx>
        <w:trPr>
          <w:trHeight w:val="435"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项目名称</w:t>
            </w:r>
          </w:p>
        </w:tc>
        <w:tc>
          <w:tcPr>
            <w:tcW w:w="1097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2024年关工委活动经费项目</w:t>
            </w:r>
          </w:p>
        </w:tc>
      </w:tr>
      <w:tr>
        <w:tblPrEx>
          <w:tblCellMar>
            <w:top w:w="0" w:type="dxa"/>
            <w:left w:w="108" w:type="dxa"/>
            <w:bottom w:w="0" w:type="dxa"/>
            <w:right w:w="108" w:type="dxa"/>
          </w:tblCellMar>
        </w:tblPrEx>
        <w:trPr>
          <w:trHeight w:val="435"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主管部门</w:t>
            </w:r>
          </w:p>
        </w:tc>
        <w:tc>
          <w:tcPr>
            <w:tcW w:w="5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北京市密云区教育委员会</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实施单位</w:t>
            </w:r>
          </w:p>
        </w:tc>
        <w:tc>
          <w:tcPr>
            <w:tcW w:w="3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北京市密云区教工中心</w:t>
            </w:r>
          </w:p>
        </w:tc>
      </w:tr>
      <w:tr>
        <w:tblPrEx>
          <w:tblCellMar>
            <w:top w:w="0" w:type="dxa"/>
            <w:left w:w="108" w:type="dxa"/>
            <w:bottom w:w="0" w:type="dxa"/>
            <w:right w:w="108" w:type="dxa"/>
          </w:tblCellMar>
        </w:tblPrEx>
        <w:trPr>
          <w:trHeight w:val="435" w:hRule="atLeast"/>
        </w:trPr>
        <w:tc>
          <w:tcPr>
            <w:tcW w:w="18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项目资金</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（万元）</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年初预算数</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全年执行数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分值</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执行率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得分</w:t>
            </w:r>
          </w:p>
        </w:tc>
      </w:tr>
      <w:tr>
        <w:tblPrEx>
          <w:tblCellMar>
            <w:top w:w="0" w:type="dxa"/>
            <w:left w:w="108" w:type="dxa"/>
            <w:bottom w:w="0" w:type="dxa"/>
            <w:right w:w="108" w:type="dxa"/>
          </w:tblCellMar>
        </w:tblPrEx>
        <w:trPr>
          <w:trHeight w:val="383" w:hRule="atLeast"/>
        </w:trPr>
        <w:tc>
          <w:tcPr>
            <w:tcW w:w="1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年度资金总额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r>
      <w:tr>
        <w:tblPrEx>
          <w:tblCellMar>
            <w:top w:w="0" w:type="dxa"/>
            <w:left w:w="108" w:type="dxa"/>
            <w:bottom w:w="0" w:type="dxa"/>
            <w:right w:w="108" w:type="dxa"/>
          </w:tblCellMar>
        </w:tblPrEx>
        <w:trPr>
          <w:trHeight w:val="638" w:hRule="atLeast"/>
        </w:trPr>
        <w:tc>
          <w:tcPr>
            <w:tcW w:w="1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其中：当年财政拨款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r>
      <w:tr>
        <w:tblPrEx>
          <w:tblCellMar>
            <w:top w:w="0" w:type="dxa"/>
            <w:left w:w="108" w:type="dxa"/>
            <w:bottom w:w="0" w:type="dxa"/>
            <w:right w:w="108" w:type="dxa"/>
          </w:tblCellMar>
        </w:tblPrEx>
        <w:trPr>
          <w:trHeight w:val="578" w:hRule="atLeast"/>
        </w:trPr>
        <w:tc>
          <w:tcPr>
            <w:tcW w:w="1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上年结转资金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r>
      <w:tr>
        <w:tblPrEx>
          <w:tblCellMar>
            <w:top w:w="0" w:type="dxa"/>
            <w:left w:w="108" w:type="dxa"/>
            <w:bottom w:w="0" w:type="dxa"/>
            <w:right w:w="108" w:type="dxa"/>
          </w:tblCellMar>
        </w:tblPrEx>
        <w:trPr>
          <w:trHeight w:val="435" w:hRule="atLeast"/>
        </w:trPr>
        <w:tc>
          <w:tcPr>
            <w:tcW w:w="1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w:t>
            </w:r>
          </w:p>
        </w:tc>
      </w:tr>
      <w:tr>
        <w:tblPrEx>
          <w:tblCellMar>
            <w:top w:w="0" w:type="dxa"/>
            <w:left w:w="108" w:type="dxa"/>
            <w:bottom w:w="0" w:type="dxa"/>
            <w:right w:w="108" w:type="dxa"/>
          </w:tblCellMar>
        </w:tblPrEx>
        <w:trPr>
          <w:trHeight w:val="43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年度总体目标</w:t>
            </w:r>
          </w:p>
        </w:tc>
        <w:tc>
          <w:tcPr>
            <w:tcW w:w="61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预期目标</w:t>
            </w:r>
          </w:p>
        </w:tc>
        <w:tc>
          <w:tcPr>
            <w:tcW w:w="55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实际完成情况</w:t>
            </w:r>
          </w:p>
        </w:tc>
      </w:tr>
      <w:tr>
        <w:tblPrEx>
          <w:tblCellMar>
            <w:top w:w="0" w:type="dxa"/>
            <w:left w:w="108" w:type="dxa"/>
            <w:bottom w:w="0" w:type="dxa"/>
            <w:right w:w="108" w:type="dxa"/>
          </w:tblCellMar>
        </w:tblPrEx>
        <w:trPr>
          <w:trHeight w:val="156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61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目标1：学生在提高阅读、写作、演讲能力的基础上，树立和践行社会主义核心</w:t>
            </w:r>
            <w:r>
              <w:rPr>
                <w:rFonts w:hint="eastAsia" w:ascii="仿宋_GB2312" w:hAnsi="宋体" w:eastAsia="仿宋_GB2312" w:cs="仿宋_GB2312"/>
                <w:color w:val="000000"/>
                <w:kern w:val="0"/>
                <w:sz w:val="24"/>
                <w:lang w:eastAsia="zh-CN" w:bidi="ar"/>
              </w:rPr>
              <w:t>价值</w:t>
            </w:r>
            <w:r>
              <w:rPr>
                <w:rFonts w:hint="eastAsia" w:ascii="仿宋_GB2312" w:hAnsi="宋体" w:eastAsia="仿宋_GB2312" w:cs="仿宋_GB2312"/>
                <w:color w:val="000000"/>
                <w:kern w:val="0"/>
                <w:sz w:val="24"/>
                <w:lang w:bidi="ar"/>
              </w:rPr>
              <w:t>观。</w:t>
            </w:r>
            <w:bookmarkStart w:id="0" w:name="_GoBack"/>
            <w:bookmarkEnd w:id="0"/>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目标2：通过爱国主义、传统文化、法制安全、生态文明、心理健康、家庭等主题教育宣讲，促进学生健康成长，培养新时代合格少年。</w:t>
            </w:r>
          </w:p>
        </w:tc>
        <w:tc>
          <w:tcPr>
            <w:tcW w:w="55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完成2024年走进  所学校，读书活动   次；完成2024年走进  所学校宣讲活动   次。</w:t>
            </w:r>
          </w:p>
        </w:tc>
      </w:tr>
      <w:tr>
        <w:tblPrEx>
          <w:tblCellMar>
            <w:top w:w="0" w:type="dxa"/>
            <w:left w:w="108" w:type="dxa"/>
            <w:bottom w:w="0" w:type="dxa"/>
            <w:right w:w="108" w:type="dxa"/>
          </w:tblCellMar>
        </w:tblPrEx>
        <w:trPr>
          <w:trHeight w:val="1538" w:hRule="atLeast"/>
        </w:trPr>
        <w:tc>
          <w:tcPr>
            <w:tcW w:w="105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绩效指标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二级指标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三级指标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实际完成值</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分值</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得分</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偏差原因分析及改进措施</w:t>
            </w:r>
          </w:p>
        </w:tc>
      </w:tr>
      <w:tr>
        <w:tblPrEx>
          <w:tblCellMar>
            <w:top w:w="0" w:type="dxa"/>
            <w:left w:w="108" w:type="dxa"/>
            <w:bottom w:w="0" w:type="dxa"/>
            <w:right w:w="108" w:type="dxa"/>
          </w:tblCellMar>
        </w:tblPrEx>
        <w:trPr>
          <w:trHeight w:val="435"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产出指标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数量指标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指标1：服务学生数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28000</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435"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质量指标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指标1：读书活动参与度</w:t>
            </w:r>
          </w:p>
        </w:tc>
        <w:tc>
          <w:tcPr>
            <w:tcW w:w="109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114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435"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指标2：宣讲活动参与度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0%</w:t>
            </w:r>
          </w:p>
        </w:tc>
        <w:tc>
          <w:tcPr>
            <w:tcW w:w="114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940"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时效指标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指标1：执行进度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与时间进度相匹配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保障学生活动顺利进行</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40"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成本指标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指标1：人员成本</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60元/人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60元/人</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435"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指标1：用车成本</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195元/人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195元/人</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效益指标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社会效益</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指标1：社会满意度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是否满意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满意</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83"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可持续影响指标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指标1：社会关注度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是否提升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稳步提升</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满意度指标</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服务对象满意度指标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指标1：学校满意度</w:t>
            </w:r>
          </w:p>
        </w:tc>
        <w:tc>
          <w:tcPr>
            <w:tcW w:w="0" w:type="auto"/>
            <w:tcBorders>
              <w:top w:val="nil"/>
              <w:left w:val="nil"/>
              <w:bottom w:val="single" w:color="auto" w:sz="4" w:space="0"/>
              <w:right w:val="single" w:color="auto" w:sz="4" w:space="0"/>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0" w:type="auto"/>
            <w:tcBorders>
              <w:top w:val="nil"/>
              <w:left w:val="single" w:color="auto" w:sz="4" w:space="0"/>
              <w:bottom w:val="single" w:color="auto" w:sz="4" w:space="0"/>
              <w:right w:val="nil"/>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53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78" w:hRule="atLeast"/>
        </w:trPr>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指标2：学生和家长满意度</w:t>
            </w:r>
          </w:p>
        </w:tc>
        <w:tc>
          <w:tcPr>
            <w:tcW w:w="0" w:type="auto"/>
            <w:tcBorders>
              <w:top w:val="single" w:color="auto" w:sz="4" w:space="0"/>
              <w:left w:val="nil"/>
              <w:bottom w:val="nil"/>
              <w:right w:val="single" w:color="auto" w:sz="4" w:space="0"/>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0" w:type="auto"/>
            <w:tcBorders>
              <w:top w:val="single" w:color="auto" w:sz="4" w:space="0"/>
              <w:left w:val="single" w:color="auto" w:sz="4" w:space="0"/>
              <w:bottom w:val="nil"/>
              <w:right w:val="nil"/>
            </w:tcBorders>
            <w:shd w:val="clear" w:color="auto" w:fill="auto"/>
            <w:noWrap/>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53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503" w:hRule="atLeast"/>
        </w:trPr>
        <w:tc>
          <w:tcPr>
            <w:tcW w:w="83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总分</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100</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bl>
    <w:p>
      <w:pPr>
        <w:pStyle w:val="2"/>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25</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F3F35"/>
    <w:multiLevelType w:val="singleLevel"/>
    <w:tmpl w:val="8E8F3F35"/>
    <w:lvl w:ilvl="0" w:tentative="0">
      <w:start w:val="2"/>
      <w:numFmt w:val="chineseCounting"/>
      <w:suff w:val="nothing"/>
      <w:lvlText w:val="（%1）"/>
      <w:lvlJc w:val="left"/>
      <w:rPr>
        <w:rFonts w:hint="eastAsia"/>
      </w:rPr>
    </w:lvl>
  </w:abstractNum>
  <w:abstractNum w:abstractNumId="1">
    <w:nsid w:val="34464E3A"/>
    <w:multiLevelType w:val="singleLevel"/>
    <w:tmpl w:val="34464E3A"/>
    <w:lvl w:ilvl="0" w:tentative="0">
      <w:start w:val="4"/>
      <w:numFmt w:val="chineseCounting"/>
      <w:suff w:val="space"/>
      <w:lvlText w:val="第%1部分"/>
      <w:lvlJc w:val="left"/>
      <w:pPr>
        <w:ind w:left="46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0446F"/>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A5EF2"/>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040A6"/>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99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6921"/>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0854"/>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E6EA6"/>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074"/>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148D9"/>
    <w:rsid w:val="00C21A6C"/>
    <w:rsid w:val="00C24A10"/>
    <w:rsid w:val="00C27003"/>
    <w:rsid w:val="00C27597"/>
    <w:rsid w:val="00C32BD4"/>
    <w:rsid w:val="00C33E48"/>
    <w:rsid w:val="00C3618B"/>
    <w:rsid w:val="00C403FB"/>
    <w:rsid w:val="00C4316E"/>
    <w:rsid w:val="00C441A2"/>
    <w:rsid w:val="00C502AA"/>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3EC2"/>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43669B"/>
    <w:rsid w:val="0BA148CA"/>
    <w:rsid w:val="0C1165C4"/>
    <w:rsid w:val="0D6D544B"/>
    <w:rsid w:val="0DD136FE"/>
    <w:rsid w:val="0E952CC8"/>
    <w:rsid w:val="0F8E2C57"/>
    <w:rsid w:val="0FDF3BF3"/>
    <w:rsid w:val="1059665E"/>
    <w:rsid w:val="10AC13BA"/>
    <w:rsid w:val="116206E1"/>
    <w:rsid w:val="11867E5D"/>
    <w:rsid w:val="13065B54"/>
    <w:rsid w:val="145A6C1B"/>
    <w:rsid w:val="14B73493"/>
    <w:rsid w:val="167A2FF9"/>
    <w:rsid w:val="18581C69"/>
    <w:rsid w:val="19B733C3"/>
    <w:rsid w:val="1AEC0734"/>
    <w:rsid w:val="1DEF20B0"/>
    <w:rsid w:val="1EC82318"/>
    <w:rsid w:val="214243FA"/>
    <w:rsid w:val="21AD613C"/>
    <w:rsid w:val="22467189"/>
    <w:rsid w:val="257A14F5"/>
    <w:rsid w:val="27196C26"/>
    <w:rsid w:val="29EF086F"/>
    <w:rsid w:val="2EFFE297"/>
    <w:rsid w:val="301437CA"/>
    <w:rsid w:val="349D1F0A"/>
    <w:rsid w:val="34DD0473"/>
    <w:rsid w:val="38B75C04"/>
    <w:rsid w:val="3C684897"/>
    <w:rsid w:val="3CD041D2"/>
    <w:rsid w:val="401D66CB"/>
    <w:rsid w:val="42517664"/>
    <w:rsid w:val="433E495C"/>
    <w:rsid w:val="489F2FD7"/>
    <w:rsid w:val="4AC27CB3"/>
    <w:rsid w:val="4BF72BEF"/>
    <w:rsid w:val="4FA90297"/>
    <w:rsid w:val="4FC41A43"/>
    <w:rsid w:val="50866492"/>
    <w:rsid w:val="51DB3C59"/>
    <w:rsid w:val="53383A9E"/>
    <w:rsid w:val="54131409"/>
    <w:rsid w:val="550C0952"/>
    <w:rsid w:val="55762E42"/>
    <w:rsid w:val="57A7B272"/>
    <w:rsid w:val="58470068"/>
    <w:rsid w:val="58747CAC"/>
    <w:rsid w:val="5A1720F9"/>
    <w:rsid w:val="5B9C37C2"/>
    <w:rsid w:val="5BA7C654"/>
    <w:rsid w:val="60A54109"/>
    <w:rsid w:val="61D01CDF"/>
    <w:rsid w:val="63E56E5D"/>
    <w:rsid w:val="64C0607C"/>
    <w:rsid w:val="65756C86"/>
    <w:rsid w:val="661A5C54"/>
    <w:rsid w:val="674D385B"/>
    <w:rsid w:val="676F09E1"/>
    <w:rsid w:val="7357290B"/>
    <w:rsid w:val="75FD6F9F"/>
    <w:rsid w:val="798524E4"/>
    <w:rsid w:val="7A7F1C49"/>
    <w:rsid w:val="7B5B7AE6"/>
    <w:rsid w:val="7B7B6628"/>
    <w:rsid w:val="7BA7071E"/>
    <w:rsid w:val="7BDF6DA8"/>
    <w:rsid w:val="7C7EDC1A"/>
    <w:rsid w:val="7CCED98D"/>
    <w:rsid w:val="7D08410F"/>
    <w:rsid w:val="7DB96DED"/>
    <w:rsid w:val="7DD3AD81"/>
    <w:rsid w:val="7EFF99E7"/>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字符"/>
    <w:link w:val="7"/>
    <w:qFormat/>
    <w:uiPriority w:val="0"/>
    <w:rPr>
      <w:rFonts w:eastAsia="宋体"/>
      <w:kern w:val="2"/>
      <w:sz w:val="18"/>
      <w:szCs w:val="18"/>
      <w:lang w:val="en-US" w:eastAsia="zh-CN" w:bidi="ar-SA"/>
    </w:rPr>
  </w:style>
  <w:style w:type="character" w:customStyle="1" w:styleId="15">
    <w:name w:val="页眉 字符"/>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393.91</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385.91</c:v>
                </c:pt>
                <c:pt idx="1">
                  <c:v>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628</Words>
  <Characters>3585</Characters>
  <Lines>29</Lines>
  <Paragraphs>8</Paragraphs>
  <TotalTime>12</TotalTime>
  <ScaleCrop>false</ScaleCrop>
  <LinksUpToDate>false</LinksUpToDate>
  <CharactersWithSpaces>4205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2017-07-11T23:16:00Z</dcterms:created>
  <dc:creator>常程</dc:creator>
  <cp:lastModifiedBy>my</cp:lastModifiedBy>
  <cp:lastPrinted>2020-08-07T19:39:00Z</cp:lastPrinted>
  <dcterms:modified xsi:type="dcterms:W3CDTF">2026-03-05T01:36:57Z</dcterms:modified>
  <dc:title>北京市财政局关于做好向市人大常委会报送2015年度市级部门决算（草案）</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