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913E">
      <w:pPr>
        <w:pStyle w:val="7"/>
        <w:widowControl w:val="0"/>
        <w:wordWrap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溪翁庄镇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政府</w:t>
      </w:r>
    </w:p>
    <w:p w14:paraId="7F4B26D6">
      <w:pPr>
        <w:pStyle w:val="7"/>
        <w:widowControl w:val="0"/>
        <w:wordWrap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关于2024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决算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（草案）</w:t>
      </w:r>
    </w:p>
    <w:p w14:paraId="7D0D184B">
      <w:pPr>
        <w:widowControl w:val="0"/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  <w:t>——2025年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  <w:t>日在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  <w:lang w:val="en-US" w:eastAsia="zh-CN"/>
        </w:rPr>
        <w:t>溪翁庄镇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  <w:lang w:val="en-US" w:eastAsia="zh-CN"/>
        </w:rPr>
        <w:t>X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  <w:t xml:space="preserve">届人民代表大会 </w:t>
      </w:r>
    </w:p>
    <w:p w14:paraId="76B43D07">
      <w:pPr>
        <w:widowControl w:val="0"/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  <w:lang w:val="en-US" w:eastAsia="zh-CN"/>
        </w:rPr>
        <w:t>X</w:t>
      </w:r>
      <w:r>
        <w:rPr>
          <w:rFonts w:hint="eastAsia" w:ascii="楷体_GB2312" w:hAnsi="楷体_GB2312" w:eastAsia="楷体_GB2312" w:cs="楷体_GB2312"/>
          <w:i w:val="0"/>
          <w:caps w:val="0"/>
          <w:color w:val="232930"/>
          <w:spacing w:val="0"/>
          <w:sz w:val="32"/>
          <w:szCs w:val="32"/>
          <w:shd w:val="clear" w:color="auto" w:fill="FFFFFF"/>
        </w:rPr>
        <w:t>次会议上</w:t>
      </w:r>
    </w:p>
    <w:p w14:paraId="364BD00B">
      <w:pPr>
        <w:widowControl w:val="0"/>
        <w:wordWrap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溪翁庄镇人民政府副镇长 孙树春</w:t>
      </w:r>
    </w:p>
    <w:p w14:paraId="598F637D">
      <w:pPr>
        <w:pStyle w:val="6"/>
        <w:widowControl w:val="0"/>
        <w:wordWrap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54A5948">
      <w:pPr>
        <w:pStyle w:val="6"/>
        <w:widowControl w:val="0"/>
        <w:wordWrap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各位代表：</w:t>
      </w:r>
    </w:p>
    <w:p w14:paraId="30845517">
      <w:pPr>
        <w:widowControl w:val="0"/>
        <w:suppressAutoHyphens/>
        <w:wordWrap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2024年溪翁庄镇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草案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已汇编完成，受镇政府委托，向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大提请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溪翁庄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年财政决算的报告，请予审议。</w:t>
      </w:r>
    </w:p>
    <w:p w14:paraId="19BD8A7E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一、202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年决算情况</w:t>
      </w:r>
    </w:p>
    <w:p w14:paraId="0D11CCA4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坚持以习近平新时代中国特色社会主义思想为指导，全面贯彻党的二十大和二十届二中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、三中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全会、中央经济工作会议、全国及全市财政工作会议精神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镇党委、镇政府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坚强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领导下，在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人大的监督支持下，坚持稳中求进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、以进促稳的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工作总基调，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落实更加积极的财政政策，为全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经济社会稳定发展提供了坚实的财力保障。</w:t>
      </w:r>
    </w:p>
    <w:p w14:paraId="33A7571D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在年初人大会议上，我们已经报告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各项收支预算的预计执行情况，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统计口径变更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最终决算情况与预计执行情况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存在一些差异，但整体趋势一致。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具体决算情况如下：</w:t>
      </w:r>
    </w:p>
    <w:p w14:paraId="17B4792C"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-5" w:leftChars="0" w:firstLine="425" w:firstLine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一般公共预算收支决算情况</w:t>
      </w:r>
    </w:p>
    <w:p w14:paraId="53A53777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18850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162.20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%；加上上年结转使用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万元，收入总计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19494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 w14:paraId="0EC17C2C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19494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万元，完成调整预算的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174.54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%；支出总计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19494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 w14:paraId="28988110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一般公共预算收支平衡。</w:t>
      </w:r>
    </w:p>
    <w:p w14:paraId="594A0F3B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镇本级主要支出科目决算情况</w:t>
      </w:r>
    </w:p>
    <w:p w14:paraId="791B4E8F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1.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一般公共服务支出5999.85万元，完成年初预算的84.53%。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用于各类人员工资、机关运维以及代扣代缴匹配部分等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。</w:t>
      </w:r>
    </w:p>
    <w:p w14:paraId="320B80B8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2.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公共安全支出19.44万元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均为专项追加资金。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用于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发放违规电动三四轮车淘汰处置奖励资金。</w:t>
      </w:r>
    </w:p>
    <w:p w14:paraId="5FCF55E0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3.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文化旅游体育与传媒支出508.19万元，完成年初预算的3136.97%。主要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是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为丰富群众文化生活，后期追加建设、修缮村级文化大院和文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体活动中心项目资金，提升旅游公共设施服务。</w:t>
      </w:r>
    </w:p>
    <w:p w14:paraId="6D98F0B2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4.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社会保障和就业支出908.53万元，完成年初预算的163.41%。主要用于落实城乡居民最低生活保障，追加发放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“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三支一扶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”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人员工资经费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等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。</w:t>
      </w:r>
    </w:p>
    <w:p w14:paraId="23CDBB4B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5.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卫生健康支出322.96万元，完成年初预算的78.83%。主要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用于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发放计划生育奖励补贴，比年初预计人数有所减少。</w:t>
      </w:r>
    </w:p>
    <w:p w14:paraId="030373A8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6.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节能环保支出480.73万元。主要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用于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镇域内生态环境治理，追加相关项目资金，改善我镇大气、水、土壤环境质量。</w:t>
      </w:r>
    </w:p>
    <w:p w14:paraId="57F776D1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7.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城乡社区支出2079.92万元，完成年初预算的181.37%。主要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用于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垃圾分类、供水及污水前端系统及配套基础设施建设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项目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 xml:space="preserve">。  </w:t>
      </w:r>
    </w:p>
    <w:p w14:paraId="5316FDED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8.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农林水支出8983.98万元，完成年初预算的563.09%。主要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用于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深入推进美丽乡村建设及管护，支持农业农村绿色产业发展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扎实推进“百千工程”，助力乡村振兴。</w:t>
      </w:r>
    </w:p>
    <w:p w14:paraId="19F3E577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9.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资源勘探工业信息等支出179.29万元，完成年初预算的22.41%。主要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用于扶持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企业发展。</w:t>
      </w:r>
    </w:p>
    <w:p w14:paraId="1BB577F8">
      <w:pPr>
        <w:pStyle w:val="6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10.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灾害防治及应急管理支出10.8万元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均为专项追加资金。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用于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提升安全生产和抗灾救灾能力，进一步提高群众安全感。</w:t>
      </w:r>
    </w:p>
    <w:p w14:paraId="4F9C984C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）政府性基金预算收支决算情况</w:t>
      </w:r>
    </w:p>
    <w:p w14:paraId="5D681BEE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2024年度政府性基金预算财政拨款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加上年初结转使用1.63万元，总计3772.68万元。</w:t>
      </w:r>
    </w:p>
    <w:p w14:paraId="59B43F94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2024年度政府性基金预算财政拨款支出3772.68万元，主要用于：城乡社区支出3000.09万元，占政府性基金拨款支出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79.53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；农林水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支出772.59万元，占政府性基金拨款支出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 w14:paraId="7F4D06CB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政府性基金预算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收支平衡。</w:t>
      </w:r>
    </w:p>
    <w:p w14:paraId="7C19C6D5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其他与镇本级决算情况相关的说明</w:t>
      </w:r>
    </w:p>
    <w:p w14:paraId="2B92E3DA">
      <w:pPr>
        <w:widowControl w:val="0"/>
        <w:numPr>
          <w:ilvl w:val="0"/>
          <w:numId w:val="2"/>
        </w:numPr>
        <w:wordWrap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结余结转资金的使用情况</w:t>
      </w:r>
    </w:p>
    <w:p w14:paraId="76EB0ED6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上年结转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645.27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万元。其中，一般公共预算上年结转使用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643.64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农村环境建设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、耕地保护空间复耕、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石马峪基础设施建设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等支出；政府性基金预算结转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城乡道路占地补偿支出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13F542E">
      <w:pPr>
        <w:widowControl w:val="0"/>
        <w:numPr>
          <w:ilvl w:val="0"/>
          <w:numId w:val="2"/>
        </w:numPr>
        <w:wordWrap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转移支付情况</w:t>
      </w:r>
    </w:p>
    <w:p w14:paraId="286B600F">
      <w:pPr>
        <w:pStyle w:val="2"/>
        <w:wordWrap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镇接收上级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一般性转移支付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资金3352.80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万元，主要用于兜牢基层“三保”支出，提高基本公共服务水平等</w:t>
      </w:r>
      <w:r>
        <w:rPr>
          <w:rFonts w:hint="eastAsia" w:cs="仿宋_GB2312"/>
          <w:color w:val="auto"/>
          <w:sz w:val="32"/>
          <w:szCs w:val="32"/>
          <w:lang w:eastAsia="zh-CN"/>
        </w:rPr>
        <w:t>。</w:t>
      </w:r>
    </w:p>
    <w:p w14:paraId="06E95517">
      <w:pPr>
        <w:widowControl w:val="0"/>
        <w:numPr>
          <w:ilvl w:val="0"/>
          <w:numId w:val="2"/>
        </w:numPr>
        <w:wordWrap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“三公”经费支出情况</w:t>
      </w:r>
    </w:p>
    <w:p w14:paraId="1DBD98F4">
      <w:pPr>
        <w:wordWrap/>
        <w:spacing w:line="560" w:lineRule="exact"/>
        <w:ind w:firstLine="6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年度“三公”经费财政拨款12.52万元，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公务运行维护费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严格落实过紧日子要求，强化厉行节约，加强公务用车日常使用管理，相关费用进一步压缩。</w:t>
      </w:r>
    </w:p>
    <w:p w14:paraId="7500A321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、202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年重点财政工作情况</w:t>
      </w:r>
    </w:p>
    <w:p w14:paraId="37C8B9EE">
      <w:pPr>
        <w:widowControl w:val="0"/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积极应对外部压力加大、内部困难增长的复杂严峻形势，坚持稳中求进、以进促稳的工作总基调，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着力提升财政政策效能，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促进经济社会发展。</w:t>
      </w:r>
    </w:p>
    <w:p w14:paraId="2B53F280">
      <w:pPr>
        <w:widowControl w:val="0"/>
        <w:numPr>
          <w:ilvl w:val="0"/>
          <w:numId w:val="3"/>
        </w:numPr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圆满完成全年收入目标</w:t>
      </w:r>
    </w:p>
    <w:p w14:paraId="4AE5BAFE">
      <w:pPr>
        <w:widowControl w:val="0"/>
        <w:numPr>
          <w:ilvl w:val="0"/>
          <w:numId w:val="0"/>
        </w:numPr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2024年，在镇领导的高位调度指挥下，我镇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认真落实落细各项组收措施。全镇财政收入完成7816万元，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超额完成财政收入任务，</w:t>
      </w:r>
      <w:r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highlight w:val="none"/>
          <w:lang w:val="en-US" w:eastAsia="zh-CN"/>
        </w:rPr>
        <w:t>财收总量和增量均排名全区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highlight w:val="none"/>
          <w:lang w:val="en-US" w:eastAsia="zh-CN"/>
        </w:rPr>
        <w:t>镇街第一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2A091E3A">
      <w:pPr>
        <w:widowControl w:val="0"/>
        <w:numPr>
          <w:ilvl w:val="0"/>
          <w:numId w:val="3"/>
        </w:numPr>
        <w:wordWrap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争取资金再创新高</w:t>
      </w:r>
    </w:p>
    <w:p w14:paraId="7E3D00C9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积极争取各类资金。在镇领导高位统筹调度下，积极向上级争取资金13884万元，比2023年增加5767.07万元，增长71.05%，争取资金总量和增幅均创新高。</w:t>
      </w:r>
    </w:p>
    <w:p w14:paraId="679FD8F1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）财源建设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持续发力</w:t>
      </w:r>
    </w:p>
    <w:p w14:paraId="5813AA11">
      <w:pPr>
        <w:widowControl w:val="0"/>
        <w:numPr>
          <w:ilvl w:val="0"/>
          <w:numId w:val="0"/>
        </w:numP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狠抓财政收入管理。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利用大数据系统加强对企业的动态监测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落实落细各项组收措施；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和税务部门的协同联动，推动有效信息共享互通，准确研判收支形势，形成工作合力。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强化企业帮扶力度。</w:t>
      </w:r>
      <w:bookmarkStart w:id="0" w:name="OLE_LINK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2024年全镇新增企业303户，引进京外企业4户，引进1家头部财源企业，完成全年招商任务。</w:t>
      </w:r>
      <w:bookmarkEnd w:id="0"/>
    </w:p>
    <w:p w14:paraId="5D112BC1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、预算执行管理中需要关注的问题及下一步工作</w:t>
      </w:r>
    </w:p>
    <w:p w14:paraId="1D5538C0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年决算情况整体较好，但财政运行和预算管理中还存在一些需要关注的问题。主要有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一是财政收入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增长基础不够牢固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我镇财源基础和产业基础较为薄弱，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新增企业数量虽呈增长态势，但部分重点税源不确定性依然较大，财源转化率还需加快提速。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二是收支矛盾进一步加剧。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城乡医疗、养老保险等支出，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造成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刚性支出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需求不断攀升，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财政收支紧平衡矛盾持续加深。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三是资金使用效益有待提升。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经分析我镇部分项目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支出进度有待进一步加快，资金管理还需更加规范。针对以上问题，我们将采取有效措施，努力加以解决。</w:t>
      </w:r>
    </w:p>
    <w:p w14:paraId="34D5DA67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（一）广开财源，助力财政收入提质增量</w:t>
      </w:r>
    </w:p>
    <w:p w14:paraId="521BA2FE">
      <w:pPr>
        <w:widowControl w:val="0"/>
        <w:wordWrap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稳存量、防外迁。自上而下多方位开展企业走访服务工作，积极帮助企业解决“难点、堵点、痛点”问题，用好财政收入和财源大数据系统，加大财源风险监测服务力度。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强招商、促增量。立足我镇发展情况，强化招商引资工作。</w:t>
      </w:r>
    </w:p>
    <w:p w14:paraId="23ADFC82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（二）压减节流，助力财政成本只减不增</w:t>
      </w:r>
    </w:p>
    <w:p w14:paraId="0CE96494">
      <w:pPr>
        <w:widowControl w:val="0"/>
        <w:wordWrap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严格落实过紧日子要求。牢固树立艰苦奋斗、勤俭节约思想，将党政机关要习惯过紧日子作为财政工作长期指导方针，严格控制一般性支出，压减“三公”经费。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严格审核把关资金支出。规范预算执行，硬化执行刚性约束，从政府采购方面强化项目管理，努力降低行政成本，规避不合理支出。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用好政府购买服务和委托外包，力争做到事由最少的人干，钱用最合适的标准保。</w:t>
      </w:r>
    </w:p>
    <w:p w14:paraId="2CCC1069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（三）改革创新，助力财政管理精准高效</w:t>
      </w:r>
    </w:p>
    <w:p w14:paraId="65E3C737">
      <w:pPr>
        <w:widowControl w:val="0"/>
        <w:numPr>
          <w:ilvl w:val="0"/>
          <w:numId w:val="0"/>
        </w:numP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坚持“三保”支出的优先顺序，筑牢兜实“三保”支出底线。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建立重点资金支出台账。利用一体化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动态监控系统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做好预算项目与支出政策的衔接，充分运用绩效评价结果、审计整改建议、财政监督意见等，加快预算支出执行进度。三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依托信息化手段，做好政府预、决算信息公开，自觉接受人大以及群众的审查监督。</w:t>
      </w:r>
    </w:p>
    <w:p w14:paraId="76CDD316">
      <w:pPr>
        <w:widowControl w:val="0"/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2098" w:right="1474" w:bottom="1984" w:left="1587" w:header="851" w:footer="1531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以上报告，提请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人大审议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AF756D5">
      <w:pPr>
        <w:widowControl w:val="0"/>
        <w:wordWrap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相关名词解释</w:t>
      </w:r>
    </w:p>
    <w:p w14:paraId="73542405">
      <w:pPr>
        <w:widowControl w:val="0"/>
        <w:wordWrap/>
        <w:adjustRightInd/>
        <w:snapToGrid/>
        <w:spacing w:line="560" w:lineRule="exact"/>
        <w:ind w:firstLine="0" w:firstLineChars="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</w:p>
    <w:p w14:paraId="10EF39FB">
      <w:pPr>
        <w:widowControl w:val="0"/>
        <w:wordWrap/>
        <w:adjustRightInd w:val="0"/>
        <w:snapToGrid w:val="0"/>
        <w:spacing w:line="560" w:lineRule="exact"/>
        <w:ind w:firstLine="643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“三公”经费：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是指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因</w:t>
      </w:r>
      <w:r>
        <w:rPr>
          <w:rFonts w:hint="eastAsia" w:ascii="仿宋_GB2312" w:eastAsia="仿宋_GB2312"/>
          <w:sz w:val="32"/>
          <w:szCs w:val="32"/>
          <w:highlight w:val="none"/>
        </w:rPr>
        <w:t>公出国（境）费、公务用车购置及运行维护费和公务接待费。其中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因公出国（境）费反映单位公务出国（境）的国际旅费、国外城市间交通费、住宿费、伙食费、培训费、公杂费等支出；公务用车购置及运行维护费反映单位公务用车购置费及燃料费、维修费、过路过桥费、保险费、安全奖励费用等支出；公务接待费反映单位按规定开支的各类公务接待（含外宾接待）费用。</w:t>
      </w:r>
    </w:p>
    <w:p w14:paraId="0AA110C9">
      <w:pPr>
        <w:widowControl w:val="0"/>
        <w:wordWrap/>
        <w:adjustRightInd w:val="0"/>
        <w:snapToGrid w:val="0"/>
        <w:spacing w:line="560" w:lineRule="exact"/>
        <w:ind w:firstLine="643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“三保”：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即“保基本民生”“保工资”“保运转”。按照财政部门关于“三保”清单要求，其中“保基本民生”，主要包括对教育、文化、社会保障、医疗卫生等领域中，与民众基本生存和生活状态、基本的发展机会和发展能力、基本权益保护相关的政策；“保工资”，主要包括保障在职人员的基本工资、奖金和绩效工资、津贴补贴、养老保险等项目，离休人员离休费等；“保运转”，主要是机关事业单位开门办公经费保障，使机关事业单位能够正常运转。</w:t>
      </w:r>
    </w:p>
    <w:p w14:paraId="636FFD01">
      <w:pPr>
        <w:widowControl w:val="0"/>
        <w:wordWrap/>
        <w:adjustRightInd w:val="0"/>
        <w:snapToGrid w:val="0"/>
        <w:spacing w:line="560" w:lineRule="exact"/>
        <w:ind w:firstLine="643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绩效评价：</w:t>
      </w:r>
      <w:r>
        <w:rPr>
          <w:rFonts w:hint="eastAsia" w:ascii="仿宋_GB2312" w:eastAsia="仿宋_GB2312"/>
          <w:sz w:val="32"/>
          <w:szCs w:val="32"/>
          <w:highlight w:val="none"/>
        </w:rPr>
        <w:t>财政部门和预算部门（单位）根据设定的绩效目标，运用科学、合理的绩效评价指标、评价标准和评价方法，对财政支出的经济性、效率性和效益性进行客观、公正的评价。其中，绩效目标的设立是开展绩效评价的前提和基础，绩效评价指标是绩效评价的工具和手段，财政支出的经济性、效率性和效益性是绩效评价的主要内容。</w:t>
      </w:r>
    </w:p>
    <w:p w14:paraId="5B6AC5A0">
      <w:pPr>
        <w:widowControl w:val="0"/>
        <w:wordWrap/>
        <w:adjustRightInd w:val="0"/>
        <w:snapToGrid w:val="0"/>
        <w:spacing w:line="560" w:lineRule="exact"/>
        <w:ind w:firstLine="643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政府采购：</w:t>
      </w:r>
      <w:r>
        <w:rPr>
          <w:rFonts w:hint="eastAsia" w:ascii="仿宋_GB2312" w:eastAsia="仿宋_GB2312"/>
          <w:sz w:val="32"/>
          <w:szCs w:val="32"/>
          <w:highlight w:val="none"/>
        </w:rPr>
        <w:t>各级国家机关、事业单位和团体组织，使用财政性资金采购依法制定的集中采购目录以内的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或者采购限额标准以上的货物、工程和服务的行为，是规范财政支出管理和强化预算约束的有效措施。</w:t>
      </w:r>
    </w:p>
    <w:p w14:paraId="5DD5C6D6">
      <w:pPr>
        <w:widowControl w:val="0"/>
        <w:wordWrap/>
        <w:adjustRightInd w:val="0"/>
        <w:snapToGrid w:val="0"/>
        <w:spacing w:line="560" w:lineRule="exact"/>
        <w:ind w:firstLine="643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政府购买服务：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各级国家机关将属于自身职责范围且适合通过市场化方式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提供的服务事项，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按照政府采购方式和程序，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交由符合条件的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服务供应商承担，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并根据服务数量和质量等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因素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向其支付费用的行为。</w:t>
      </w:r>
    </w:p>
    <w:p w14:paraId="16DBD897">
      <w:pPr>
        <w:widowControl w:val="0"/>
        <w:wordWrap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预算管理一体化系统：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以统一预算管理规则为核心，将统一的管理规则嵌入信息系统，提高项目储备、预算编审、预算调整和调剂、资金支付、会计核算、决算和报告等工作的标准化、自动化水平，实现对预算管理全流程的动态反映和有效控制，保证各级预算管理规范高效。</w:t>
      </w:r>
    </w:p>
    <w:p w14:paraId="5A1AE488">
      <w:pPr>
        <w:widowControl w:val="0"/>
        <w:wordWrap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财政监督：</w:t>
      </w:r>
      <w:r>
        <w:rPr>
          <w:rFonts w:hint="eastAsia" w:ascii="仿宋_GB2312" w:eastAsia="仿宋_GB2312"/>
          <w:sz w:val="32"/>
          <w:szCs w:val="32"/>
          <w:highlight w:val="none"/>
        </w:rPr>
        <w:t>财政部门在财政分配过程中，对国家机关、企事业单位、社会团体和其他组织或个人涉及财政收支、财务收支、国有权益以及其他有关财政管理事项进行监督，对其合法性进行监控、检查、稽核、督促和反映。</w:t>
      </w:r>
    </w:p>
    <w:p w14:paraId="617DC460">
      <w:pPr>
        <w:pStyle w:val="6"/>
        <w:rPr>
          <w:rFonts w:hint="eastAsia"/>
          <w:lang w:val="en-US" w:eastAsia="zh-CN"/>
        </w:rPr>
      </w:pPr>
    </w:p>
    <w:p w14:paraId="555094BC">
      <w:pPr>
        <w:widowControl w:val="0"/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948F5E">
      <w:pPr>
        <w:pStyle w:val="4"/>
        <w:rPr>
          <w:rFonts w:hint="eastAsia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72D3">
    <w:pPr>
      <w:pStyle w:val="5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2E986F5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CE7F2"/>
    <w:multiLevelType w:val="singleLevel"/>
    <w:tmpl w:val="A8ECE7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D5C6E6"/>
    <w:multiLevelType w:val="singleLevel"/>
    <w:tmpl w:val="C6D5C6E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967E1EB"/>
    <w:multiLevelType w:val="singleLevel"/>
    <w:tmpl w:val="2967E1EB"/>
    <w:lvl w:ilvl="0" w:tentative="0">
      <w:start w:val="1"/>
      <w:numFmt w:val="chineseCounting"/>
      <w:suff w:val="nothing"/>
      <w:lvlText w:val="（%1）"/>
      <w:lvlJc w:val="left"/>
      <w:pPr>
        <w:ind w:left="-5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943F89"/>
    <w:rsid w:val="016D2848"/>
    <w:rsid w:val="03A30E39"/>
    <w:rsid w:val="0BF34F33"/>
    <w:rsid w:val="117271EC"/>
    <w:rsid w:val="13275B39"/>
    <w:rsid w:val="13587A96"/>
    <w:rsid w:val="13C93905"/>
    <w:rsid w:val="14E61FE3"/>
    <w:rsid w:val="1EA859D0"/>
    <w:rsid w:val="2B876231"/>
    <w:rsid w:val="31E944CD"/>
    <w:rsid w:val="320E5928"/>
    <w:rsid w:val="337A2AFB"/>
    <w:rsid w:val="35177B0B"/>
    <w:rsid w:val="3F672BFF"/>
    <w:rsid w:val="44A947F0"/>
    <w:rsid w:val="44E05989"/>
    <w:rsid w:val="450955E1"/>
    <w:rsid w:val="48CC0EF0"/>
    <w:rsid w:val="4D636A15"/>
    <w:rsid w:val="4DAD0EF8"/>
    <w:rsid w:val="51B90A34"/>
    <w:rsid w:val="57922BFB"/>
    <w:rsid w:val="5CA22381"/>
    <w:rsid w:val="6CCB32E0"/>
    <w:rsid w:val="6EE10D22"/>
    <w:rsid w:val="710112F7"/>
    <w:rsid w:val="74943F89"/>
    <w:rsid w:val="7D1E463C"/>
    <w:rsid w:val="7F580BBA"/>
    <w:rsid w:val="7FA84B74"/>
    <w:rsid w:val="E9CFF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Cambria" w:hAnsi="Cambria" w:eastAsia="黑体"/>
      <w:b/>
      <w:bCs/>
      <w:kern w:val="0"/>
      <w:sz w:val="36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unhideWhenUsed/>
    <w:qFormat/>
    <w:uiPriority w:val="99"/>
    <w:pPr>
      <w:ind w:firstLine="0" w:firstLineChars="0"/>
      <w:jc w:val="left"/>
    </w:p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2025-08-27T11:08:00Z</dcterms:created>
  <dc:creator>我只是个farmer</dc:creator>
  <cp:lastModifiedBy>雨中</cp:lastModifiedBy>
  <cp:lastPrinted>2025-08-27T16:05:00Z</cp:lastPrinted>
  <dcterms:modified xsi:type="dcterms:W3CDTF">2025-09-16T15:37:35Z</dcterms:modified>
  <dc:title>溪翁庄镇人民政府关于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251DAF4EDDE44B86BF13C9684DF56BAC_42</vt:lpwstr>
  </property>
</Properties>
</file>