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北京市密云区新城子镇人民政府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关于2024年镇级决算草案的报告</w:t>
      </w:r>
    </w:p>
    <w:p>
      <w:pPr>
        <w:widowControl w:val="0"/>
        <w:wordWrap/>
        <w:snapToGrid/>
        <w:spacing w:beforeAutospacing="0" w:afterAutospacing="0" w:line="520" w:lineRule="exact"/>
        <w:ind w:left="0" w:leftChars="0" w:right="0"/>
        <w:jc w:val="center"/>
        <w:textAlignment w:val="baseline"/>
        <w:outlineLvl w:val="9"/>
        <w:rPr>
          <w:rFonts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</w:pPr>
      <w:r>
        <w:rPr>
          <w:rFonts w:ascii="楷体_GB2312" w:hAnsi="华文中宋" w:eastAsia="楷体_GB2312" w:cs="楷体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--202</w:t>
      </w:r>
      <w:r>
        <w:rPr>
          <w:rFonts w:hint="eastAsia" w:ascii="楷体_GB2312" w:hAnsi="华文中宋" w:eastAsia="楷体_GB2312" w:cs="楷体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楷体_GB2312" w:hAnsi="华文中宋" w:eastAsia="楷体_GB2312" w:cs="楷体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年</w:t>
      </w:r>
      <w:r>
        <w:rPr>
          <w:rFonts w:hint="eastAsia" w:ascii="楷体_GB2312" w:hAnsi="华文中宋" w:eastAsia="楷体_GB2312" w:cs="楷体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9月1</w:t>
      </w:r>
      <w:r>
        <w:rPr>
          <w:rFonts w:hint="eastAsia" w:ascii="楷体_GB2312" w:hAnsi="华文中宋" w:eastAsia="楷体_GB2312" w:cs="楷体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日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在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eastAsia="zh-CN"/>
        </w:rPr>
        <w:t>密云区新城子镇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第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届人民代表大会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第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eastAsia="zh-CN"/>
        </w:rPr>
        <w:t>九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次会议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u w:val="none" w:color="auto"/>
        </w:rPr>
        <w:t>上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u w:val="none" w:color="auto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各位代表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北京市密云区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新城子镇部门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决算草案已汇编完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成，按照《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预算法》《预算法实施条例》《北京市密云区预算审查监督办法》等法律法规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人大工作安排，我受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新城子镇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人民政府委托，向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各位代表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报告北京市密云区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新城子镇人民政府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决算情况，请予审议。</w:t>
      </w:r>
    </w:p>
    <w:p>
      <w:pPr>
        <w:widowControl w:val="0"/>
        <w:wordWrap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一、202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镇级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决算情况</w:t>
      </w:r>
    </w:p>
    <w:p>
      <w:pPr>
        <w:widowControl w:val="0"/>
        <w:wordWrap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，全镇上下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坚持以习近平新时代中国特色社会主义思想为指导，全面贯彻党的二十大和二十届二中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、三中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全会、中央经济工作会议、全国及全市财政工作会议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</w:rPr>
        <w:t>区委、区政府各项决策部署和工作要求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镇党委、镇政府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坚强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领导下，在区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人大的监督支持下，坚持稳中求进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、以进促稳的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工作总基调，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落实更加积极的财政政策，为保持镇域经济社会稳定发展提供了坚实的财力保障。</w:t>
      </w:r>
    </w:p>
    <w:p>
      <w:pPr>
        <w:pStyle w:val="5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在2025年1月17日新城子镇第二届人民代表大会第七次会议上，我们已经报告了2024年镇级各项收支预算的执行情况，最终决算情况与预算执行情况一致。具体决算情况如下：</w:t>
      </w:r>
    </w:p>
    <w:p>
      <w:pPr>
        <w:widowControl w:val="0"/>
        <w:wordWrap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（一）202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年一般公共预算收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入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决算情况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按照现行财政体制算账，2024年全镇一般公共预算收入2817.59万元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（其中税收收入2096.04万元，非税收入721.55万元），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财政体制补助及转移支付资金2306.23万元；区下达专项补助5709.56万元，收入总计10833.38万元。</w:t>
      </w:r>
    </w:p>
    <w:p>
      <w:pPr>
        <w:widowControl w:val="0"/>
        <w:wordWrap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（二）202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年一般公共预算支出决算情况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在202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lang w:val="en-US" w:eastAsia="zh-CN"/>
        </w:rPr>
        <w:t>年的财政工作中，我们全面贯彻执行“量入为出、收支平衡、适度从紧”的财政政策，推进财政工作有序进行。202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我镇公共财政预算支出10833.38万元，</w:t>
      </w:r>
      <w:r>
        <w:rPr>
          <w:rFonts w:hint="default" w:ascii="仿宋_GB2312" w:hAnsi="仿宋_GB2312" w:eastAsia="仿宋_GB2312" w:cs="仿宋_GB2312"/>
          <w:sz w:val="32"/>
          <w:lang w:val="en-US" w:eastAsia="zh-CN"/>
        </w:rPr>
        <w:t>重点支持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了治违工作</w:t>
      </w:r>
      <w:r>
        <w:rPr>
          <w:rFonts w:hint="default" w:ascii="仿宋_GB2312" w:hAnsi="仿宋_GB2312" w:eastAsia="仿宋_GB2312" w:cs="仿宋_GB2312"/>
          <w:sz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美丽乡村建设、</w:t>
      </w:r>
      <w:r>
        <w:rPr>
          <w:rFonts w:hint="default" w:ascii="仿宋_GB2312" w:hAnsi="仿宋_GB2312" w:eastAsia="仿宋_GB2312" w:cs="仿宋_GB2312"/>
          <w:sz w:val="32"/>
          <w:lang w:val="en-US" w:eastAsia="zh-CN"/>
        </w:rPr>
        <w:t>垃圾分类、疏整促专项提升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、文化大院改造、</w:t>
      </w:r>
      <w:r>
        <w:rPr>
          <w:rFonts w:hint="default" w:ascii="仿宋_GB2312" w:hAnsi="仿宋_GB2312" w:eastAsia="仿宋_GB2312" w:cs="仿宋_GB2312"/>
          <w:sz w:val="32"/>
          <w:lang w:val="en-US" w:eastAsia="zh-CN"/>
        </w:rPr>
        <w:t>基本民生保障、基层文化建设、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基层</w:t>
      </w:r>
      <w:r>
        <w:rPr>
          <w:rFonts w:hint="default" w:ascii="仿宋_GB2312" w:hAnsi="仿宋_GB2312" w:eastAsia="仿宋_GB2312" w:cs="仿宋_GB2312"/>
          <w:sz w:val="32"/>
          <w:lang w:val="en-US" w:eastAsia="zh-CN"/>
        </w:rPr>
        <w:t>政权建设等方面的工作。紧紧围绕重点工作保证支出，促进全镇环境大幅改善、功能更加完善、经济良性发展、社会有序稳定。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主要用于以下几方面：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1.一般公共服务支出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3272.13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万元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2.公共安全支出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0.22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万元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3.文化旅游体育与传媒支出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524.76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万元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4.社会保障和就业支出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371.86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万元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5.卫生健康支出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68.93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万元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6.节能环保支出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59.41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</w:p>
    <w:p>
      <w:pPr>
        <w:pStyle w:val="5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7.城乡社区支出424.96万元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8.农林水事务支出4628.47万元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9.灾害防治及应急管理支出99.07万元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10.上解支出260万元（其中：河道跨界断面上解1.67万元；农村低保镇街负担30%部分上解258.33万元）</w:t>
      </w:r>
    </w:p>
    <w:p>
      <w:pPr>
        <w:pStyle w:val="5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11.债券还本支出1113.57万元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12.结转下年使用10万元</w:t>
      </w:r>
    </w:p>
    <w:p>
      <w:pPr>
        <w:widowControl w:val="0"/>
        <w:wordWrap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（三）2024年政府性基金预算收入决算情况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我镇2024年政府性基金预算收入2718.37万元。</w:t>
      </w:r>
    </w:p>
    <w:p>
      <w:pPr>
        <w:widowControl w:val="0"/>
        <w:wordWrap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（四）2024年政府性基金预算支出决算情况</w:t>
      </w:r>
    </w:p>
    <w:p>
      <w:pPr>
        <w:widowControl w:val="0"/>
        <w:wordWrap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2024年政府性基金预算支出2718.37万元，主要用于以下几方面：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社会保障和就业支出699.19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城乡社区支出1948.71万元</w:t>
      </w:r>
    </w:p>
    <w:p>
      <w:pPr>
        <w:widowControl w:val="0"/>
        <w:wordWrap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农林水支出68.09万元</w:t>
      </w:r>
    </w:p>
    <w:p>
      <w:pPr>
        <w:widowControl w:val="0"/>
        <w:wordWrap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彩票事务支出2.38万</w:t>
      </w:r>
    </w:p>
    <w:p>
      <w:pPr>
        <w:widowControl w:val="0"/>
        <w:wordWrap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（五）其他与部门决算情况相关的说明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“三公”经费支出情况。2024年“三公”经费财政拨款决算数22.47万元，全部为公务用车运行维护费，主要是我镇深入贯彻中央八项规定精神，落实过“紧日子”要求，从严控制公务接待规模和接待标准。决算中列支的代管账户相关支出资金，共计18.12万元，其中社会保障和就业支出8.12万元，城乡社区支出10万元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年主要财税政策落实和重点财政工作情况</w:t>
      </w:r>
    </w:p>
    <w:p>
      <w:pPr>
        <w:widowControl w:val="0"/>
        <w:wordWrap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镇上下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积极应对外部压力加大、内部困难增长的复杂严峻形势，坚持稳中求进、以进促稳的工作总基调，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着力提升财政政策效能，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促进经济社会发展。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（一）加强财政资金统筹，有力保障重点支出需求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积极争取上级资金，抢抓政策机遇，精准申报项目，全年争取项目资金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5709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万元，大力推进美丽乡村工程建设，严格履行保水保生态政治责任，高标准贯彻落实河长制，加大河道治理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力度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，完善人居环境长效管护机制，推动实现农村人居环境建设常态化，强化土壤环境监测，全面推进耕地保护空间复耕工作。</w:t>
      </w:r>
    </w:p>
    <w:p>
      <w:pPr>
        <w:widowControl w:val="0"/>
        <w:wordWrap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（二）筑牢“三保”底线，提升财政管理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效能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不断优化支出结构。牢固树立过“紧日子”思想，坚持“三保”支出在财政支出中的优先顺序，切实兜牢“三保”底线，持续增进民生福祉，支持全镇各项事业发展，做到尽力而为、量力而行。二是积极争取上级资金。认真研究上级资金扶持方向，找准发展结合点，不断提升资金使用效益。三是加强财政监督管理。主动接受人大、审计监督，严格执行镇人大审查批准的预算；加强对“三保”支出的动态监测，提前进行风险预警；严肃财经纪律，全面规范收支行为，保障财政资金安全规范。</w:t>
      </w:r>
    </w:p>
    <w:p>
      <w:pPr>
        <w:widowControl w:val="0"/>
        <w:wordWrap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）加强财政改革创新，提高财政资金使用效益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全面落实政府过“紧日子”要求。从严编制预算，大幅压减非急需非刚性支出，严把支出关口，按照从严从紧、能压则压的原则，把更多宝贵财政资源腾出来，用于改善基本民生和支持市场主体发展。二是全面实施预算绩效管理，完善成本管控的措施，降低成本节约财政资金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三、预算执行管理中需要关注的问题及下一步工作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年决算情况整体较好，但财政运行和预算管理中还存在一些需要关注的问题。主要有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一是财政收入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增长基础不够牢固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我镇财源基础和产业基础较为薄弱，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新增企业数量虽呈增长态势，但部分潜力企业对财政收入的贡献作用释放依然较慢，重点税源不确定性依然较大，财源转化率还需加快提速。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二是收支矛盾进一步加剧。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城乡医疗、养老保险等支出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，造成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刚性支出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需求不断攀升，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财政收支紧平衡矛盾持续加深。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三是资金使用效益有待提升。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各科室支出进度有待进一步加快，资金管理还需更加规范。针对以上问题，我们将采取有效措施，努力加以解决。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adjustRightInd w:val="0"/>
        <w:snapToGrid w:val="0"/>
        <w:spacing w:line="560" w:lineRule="exact"/>
        <w:ind w:firstLine="642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（一）广开财源，助力财政收入提质增量</w:t>
      </w:r>
    </w:p>
    <w:p>
      <w:pPr>
        <w:widowControl w:val="0"/>
        <w:wordWrap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存量、防外迁。自上而下多方位开展企业走访服务工作，积极帮助企业解决“难点、堵点、痛点”问题，用好财政收入和财源大数据系统，加大财源风险监测服务力度，筛选存在流失风险的企业，向前一步开展服务，稳定企业在镇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强招商、促增量。立足我镇发展情况，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强化招商引资工作的政策保障，以建设“古树名镇”为契机，争取引进更多优质企业落地我镇，为增收注入更多新鲜血液。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服务、提质量。进一步加强财源建设与“服务包”和“经济发展专班”工作机制协调联动，形成合力，强化跟踪服务、重视企业成长，形成全流程培育链条，促进“新增未纳税”企业在我镇展业增收，切实提高新增企业财源转化能力，提高税收收入占比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adjustRightInd w:val="0"/>
        <w:snapToGrid w:val="0"/>
        <w:spacing w:line="560" w:lineRule="exact"/>
        <w:ind w:firstLine="642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（二）压减节流，助力财政成本只减不增</w:t>
      </w:r>
    </w:p>
    <w:p>
      <w:pPr>
        <w:widowControl w:val="0"/>
        <w:wordWrap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严格落实过紧日子要求。牢固树立艰苦奋斗、勤俭节约思想，将党政机关要习惯过紧日子作为财政工作长期指导方针，严格控制一般性支出，压减“三公”经费。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严格审核把关资金支出。规范预算执行，硬化执行刚性约束，规避不合理支出，审减低效资金，护航财政资金安全运行。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严控编外用工降低人工成本。原则上编外用工数量只减不增，用好政府购买服务和委托外包，力争做到事由最少的人干，钱用最合适的标准保。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合理保障严控运行成本。对标全区平均水平，细化分析我镇运行成本结构，强化项目成本管控，不断降低运行成本。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adjustRightInd w:val="0"/>
        <w:snapToGrid w:val="0"/>
        <w:spacing w:line="560" w:lineRule="exact"/>
        <w:ind w:firstLine="642" w:firstLineChars="200"/>
        <w:jc w:val="both"/>
        <w:textAlignment w:val="auto"/>
        <w:outlineLvl w:val="0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（三）多措并举，助力资金统筹有保有压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adjustRightInd w:val="0"/>
        <w:snapToGrid w:val="0"/>
        <w:spacing w:line="560" w:lineRule="exact"/>
        <w:ind w:firstLine="642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统筹利用各类财政资金。加强一般公共预算的管理，加强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中央、市级转移支付、区级预算、债券、结余资金等财力来源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的统筹，加强以前年度结转结余资金与当年财力的整合，提高财政资金综合配置效率。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增强重点财力支出保障。将区委重点决策部署作为预算安排的首要任务，全力保障“三保”支出、百千工程等重点项目、重要民生实事等。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adjustRightInd w:val="0"/>
        <w:snapToGrid w:val="0"/>
        <w:spacing w:line="560" w:lineRule="exact"/>
        <w:ind w:firstLine="642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（四）改革创新，助力财政管理精准高效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预算管理和绩效管理一体化推进。深入推进预算绩效管理改革，将绩效理念和方法深度融入预算管理全过程，推动增强花钱问效、无效问责的意识，压实预算绩效管理主体责任，全面开展绩效自评。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建立重点资金支出台账。利用一体化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动态监控系统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做好预算项目与支出政策的衔接，充分运用绩效评价结果、审计整改建议、财政监督意见等，加快预算支出执行进度。</w:t>
      </w:r>
    </w:p>
    <w:p>
      <w:pPr>
        <w:widowControl w:val="0"/>
        <w:pBdr>
          <w:bottom w:val="single" w:color="FFFFFF" w:sz="4" w:space="31"/>
        </w:pBdr>
        <w:wordWrap/>
        <w:adjustRightInd w:val="0"/>
        <w:snapToGrid/>
        <w:spacing w:line="560" w:lineRule="exact"/>
        <w:ind w:firstLine="64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以上报告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，提请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镇人民代表大会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审议。</w:t>
      </w:r>
    </w:p>
    <w:p>
      <w:pPr>
        <w:pStyle w:val="5"/>
        <w:rPr>
          <w:rFonts w:hint="eastAsia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5" o:spid="_x0000_s4097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6" o:spid="_x0000_s4098" o:spt="1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FD773A9D"/>
    <w:rsid w:val="030C6E64"/>
    <w:rsid w:val="0BF588D7"/>
    <w:rsid w:val="0D48E4DA"/>
    <w:rsid w:val="0DFF17A9"/>
    <w:rsid w:val="0FEF7F6D"/>
    <w:rsid w:val="11555F6D"/>
    <w:rsid w:val="12E33A19"/>
    <w:rsid w:val="18AB9ED9"/>
    <w:rsid w:val="1C34C233"/>
    <w:rsid w:val="1DFB6C8E"/>
    <w:rsid w:val="1EFF5FAF"/>
    <w:rsid w:val="20951412"/>
    <w:rsid w:val="237F9C0E"/>
    <w:rsid w:val="2A776E03"/>
    <w:rsid w:val="2B406666"/>
    <w:rsid w:val="2BEF0672"/>
    <w:rsid w:val="2BFFFFA9"/>
    <w:rsid w:val="2F5B0302"/>
    <w:rsid w:val="2FC7B4E7"/>
    <w:rsid w:val="30BFFB9F"/>
    <w:rsid w:val="3275ED4A"/>
    <w:rsid w:val="34352EBE"/>
    <w:rsid w:val="35BEE11A"/>
    <w:rsid w:val="35BFC2A1"/>
    <w:rsid w:val="372A9911"/>
    <w:rsid w:val="374B94B9"/>
    <w:rsid w:val="37D68B44"/>
    <w:rsid w:val="37FADC81"/>
    <w:rsid w:val="39F57362"/>
    <w:rsid w:val="3AAB0969"/>
    <w:rsid w:val="3ADD230F"/>
    <w:rsid w:val="3BCA5E18"/>
    <w:rsid w:val="3BEFAEA9"/>
    <w:rsid w:val="3BF7DE78"/>
    <w:rsid w:val="3DDB3C76"/>
    <w:rsid w:val="3DDFD966"/>
    <w:rsid w:val="3E7E57C9"/>
    <w:rsid w:val="3E7F20AF"/>
    <w:rsid w:val="3EFE9F10"/>
    <w:rsid w:val="3F32B4BE"/>
    <w:rsid w:val="3FB352E2"/>
    <w:rsid w:val="3FB7BA6D"/>
    <w:rsid w:val="3FBFDB0A"/>
    <w:rsid w:val="3FE87F9D"/>
    <w:rsid w:val="3FEF6F4B"/>
    <w:rsid w:val="3FEFF311"/>
    <w:rsid w:val="3FFD1EA7"/>
    <w:rsid w:val="3FFEC933"/>
    <w:rsid w:val="3FFF3B7A"/>
    <w:rsid w:val="3FFFEA98"/>
    <w:rsid w:val="45A51590"/>
    <w:rsid w:val="471FF32D"/>
    <w:rsid w:val="4ADF8BBE"/>
    <w:rsid w:val="4BEFE55B"/>
    <w:rsid w:val="4CFFD2AD"/>
    <w:rsid w:val="4DFDD6D5"/>
    <w:rsid w:val="4DFF2FA6"/>
    <w:rsid w:val="4DFF5772"/>
    <w:rsid w:val="4F2EB43D"/>
    <w:rsid w:val="4F7FE9EA"/>
    <w:rsid w:val="4FF53E0B"/>
    <w:rsid w:val="4FFF0A8E"/>
    <w:rsid w:val="50E7D2E8"/>
    <w:rsid w:val="51EF2D32"/>
    <w:rsid w:val="52EBB551"/>
    <w:rsid w:val="53C720F5"/>
    <w:rsid w:val="53CF3F73"/>
    <w:rsid w:val="55DC2AE8"/>
    <w:rsid w:val="56EFE4BE"/>
    <w:rsid w:val="57FFF548"/>
    <w:rsid w:val="583521FB"/>
    <w:rsid w:val="58F72096"/>
    <w:rsid w:val="5BEE8F4F"/>
    <w:rsid w:val="5D7E32BF"/>
    <w:rsid w:val="5DAF2EBE"/>
    <w:rsid w:val="5EA78665"/>
    <w:rsid w:val="5F772289"/>
    <w:rsid w:val="5FBB3A3E"/>
    <w:rsid w:val="5FBC8A4D"/>
    <w:rsid w:val="5FDE0D98"/>
    <w:rsid w:val="5FDF0A62"/>
    <w:rsid w:val="5FDF1302"/>
    <w:rsid w:val="5FEAC64B"/>
    <w:rsid w:val="5FF3500C"/>
    <w:rsid w:val="5FFC45B7"/>
    <w:rsid w:val="5FFE0448"/>
    <w:rsid w:val="5FFE8D0E"/>
    <w:rsid w:val="5FFF4511"/>
    <w:rsid w:val="63DBB725"/>
    <w:rsid w:val="65671AE2"/>
    <w:rsid w:val="65F70F2E"/>
    <w:rsid w:val="66FF6DE7"/>
    <w:rsid w:val="675EC59E"/>
    <w:rsid w:val="67673A90"/>
    <w:rsid w:val="6777581C"/>
    <w:rsid w:val="67BC1BFB"/>
    <w:rsid w:val="67F7796E"/>
    <w:rsid w:val="67FF4437"/>
    <w:rsid w:val="6A5FA88E"/>
    <w:rsid w:val="6B599178"/>
    <w:rsid w:val="6BFFD2CB"/>
    <w:rsid w:val="6D2F4773"/>
    <w:rsid w:val="6D33D9D6"/>
    <w:rsid w:val="6DAD1A7F"/>
    <w:rsid w:val="6DD63CE8"/>
    <w:rsid w:val="6DFF3992"/>
    <w:rsid w:val="6EFF25CF"/>
    <w:rsid w:val="6FBF94E1"/>
    <w:rsid w:val="6FDEF0BF"/>
    <w:rsid w:val="6FED2B8D"/>
    <w:rsid w:val="6FF39CC0"/>
    <w:rsid w:val="6FF5B184"/>
    <w:rsid w:val="6FF73C98"/>
    <w:rsid w:val="6FFE4017"/>
    <w:rsid w:val="71FB7D08"/>
    <w:rsid w:val="727F07DD"/>
    <w:rsid w:val="72BFC008"/>
    <w:rsid w:val="739AD955"/>
    <w:rsid w:val="74EAC93D"/>
    <w:rsid w:val="74FB8A2E"/>
    <w:rsid w:val="74FD976E"/>
    <w:rsid w:val="759D5637"/>
    <w:rsid w:val="75BE8A4D"/>
    <w:rsid w:val="75FFF96E"/>
    <w:rsid w:val="767BAA8B"/>
    <w:rsid w:val="76EE320C"/>
    <w:rsid w:val="77B97865"/>
    <w:rsid w:val="77B9DEDE"/>
    <w:rsid w:val="77E39D3F"/>
    <w:rsid w:val="77E9A562"/>
    <w:rsid w:val="77F4C991"/>
    <w:rsid w:val="77FD3A6D"/>
    <w:rsid w:val="77FF42FD"/>
    <w:rsid w:val="799C0017"/>
    <w:rsid w:val="79BCD60C"/>
    <w:rsid w:val="79FDA787"/>
    <w:rsid w:val="7AF702DB"/>
    <w:rsid w:val="7B145D8E"/>
    <w:rsid w:val="7B5DE623"/>
    <w:rsid w:val="7B6BDC5C"/>
    <w:rsid w:val="7BB42A75"/>
    <w:rsid w:val="7BBD536D"/>
    <w:rsid w:val="7BC9CD99"/>
    <w:rsid w:val="7BEA05EE"/>
    <w:rsid w:val="7BEE169F"/>
    <w:rsid w:val="7BF15115"/>
    <w:rsid w:val="7BFCE588"/>
    <w:rsid w:val="7BFD1FA5"/>
    <w:rsid w:val="7BFEBB57"/>
    <w:rsid w:val="7C7BB1DE"/>
    <w:rsid w:val="7CF6F08A"/>
    <w:rsid w:val="7CFFA72D"/>
    <w:rsid w:val="7D6DFD43"/>
    <w:rsid w:val="7D7597B7"/>
    <w:rsid w:val="7D75C033"/>
    <w:rsid w:val="7DBF53AA"/>
    <w:rsid w:val="7DBF618B"/>
    <w:rsid w:val="7DBF8871"/>
    <w:rsid w:val="7DDE92B7"/>
    <w:rsid w:val="7DE7CADF"/>
    <w:rsid w:val="7DFB04A5"/>
    <w:rsid w:val="7DFD292E"/>
    <w:rsid w:val="7DFE0687"/>
    <w:rsid w:val="7DFE76BD"/>
    <w:rsid w:val="7E2E9402"/>
    <w:rsid w:val="7EDF72AC"/>
    <w:rsid w:val="7EF0DF80"/>
    <w:rsid w:val="7EFB94F5"/>
    <w:rsid w:val="7EFBE90E"/>
    <w:rsid w:val="7EFC5E36"/>
    <w:rsid w:val="7F1BE9AF"/>
    <w:rsid w:val="7F39AC68"/>
    <w:rsid w:val="7F3F4987"/>
    <w:rsid w:val="7F576B47"/>
    <w:rsid w:val="7F64EC8C"/>
    <w:rsid w:val="7F6AF91E"/>
    <w:rsid w:val="7F6DD598"/>
    <w:rsid w:val="7F6E368D"/>
    <w:rsid w:val="7F71BF6B"/>
    <w:rsid w:val="7F77C6AC"/>
    <w:rsid w:val="7F7F399E"/>
    <w:rsid w:val="7F92BAB6"/>
    <w:rsid w:val="7F92E43B"/>
    <w:rsid w:val="7F97D85C"/>
    <w:rsid w:val="7FADD66A"/>
    <w:rsid w:val="7FBDAAF6"/>
    <w:rsid w:val="7FBE665A"/>
    <w:rsid w:val="7FC7322B"/>
    <w:rsid w:val="7FCF4227"/>
    <w:rsid w:val="7FCFCE95"/>
    <w:rsid w:val="7FD8487E"/>
    <w:rsid w:val="7FD9D502"/>
    <w:rsid w:val="7FDD1EA2"/>
    <w:rsid w:val="7FDEFEFA"/>
    <w:rsid w:val="7FDF78F3"/>
    <w:rsid w:val="7FDF89AF"/>
    <w:rsid w:val="7FDFAD93"/>
    <w:rsid w:val="7FE26274"/>
    <w:rsid w:val="7FE7167D"/>
    <w:rsid w:val="7FE7C6E4"/>
    <w:rsid w:val="7FED746D"/>
    <w:rsid w:val="7FEE6500"/>
    <w:rsid w:val="7FF6D99F"/>
    <w:rsid w:val="7FF9240A"/>
    <w:rsid w:val="7FFB3760"/>
    <w:rsid w:val="7FFB6E03"/>
    <w:rsid w:val="7FFBD094"/>
    <w:rsid w:val="7FFDCF4D"/>
    <w:rsid w:val="7FFE26C0"/>
    <w:rsid w:val="7FFF658D"/>
    <w:rsid w:val="7FFFA9D4"/>
    <w:rsid w:val="7FFFC832"/>
    <w:rsid w:val="879F17EC"/>
    <w:rsid w:val="87EEEE3C"/>
    <w:rsid w:val="8ABF5ECB"/>
    <w:rsid w:val="8EECC2A4"/>
    <w:rsid w:val="92FF21BE"/>
    <w:rsid w:val="96F69F14"/>
    <w:rsid w:val="9775097E"/>
    <w:rsid w:val="9A3FC272"/>
    <w:rsid w:val="9BEBAC36"/>
    <w:rsid w:val="9DBFFA34"/>
    <w:rsid w:val="9EBF2D74"/>
    <w:rsid w:val="9EDFB257"/>
    <w:rsid w:val="9F7E6FC0"/>
    <w:rsid w:val="9FFE8EF7"/>
    <w:rsid w:val="A3BF5E09"/>
    <w:rsid w:val="A5BD4C96"/>
    <w:rsid w:val="A5DE6F96"/>
    <w:rsid w:val="A63447D8"/>
    <w:rsid w:val="A67A4E1E"/>
    <w:rsid w:val="A7FD4332"/>
    <w:rsid w:val="ABCDC38A"/>
    <w:rsid w:val="ABF550BC"/>
    <w:rsid w:val="AE56359B"/>
    <w:rsid w:val="AEEB7DA4"/>
    <w:rsid w:val="AF7DAA18"/>
    <w:rsid w:val="AFB7E4C8"/>
    <w:rsid w:val="AFEF6387"/>
    <w:rsid w:val="AFFE2FE3"/>
    <w:rsid w:val="B5B73A00"/>
    <w:rsid w:val="B63F2D9C"/>
    <w:rsid w:val="B72F3E10"/>
    <w:rsid w:val="B7FBE28B"/>
    <w:rsid w:val="B7FBFF40"/>
    <w:rsid w:val="B7FF8B42"/>
    <w:rsid w:val="B9FF6D6C"/>
    <w:rsid w:val="BB031AFA"/>
    <w:rsid w:val="BBF56572"/>
    <w:rsid w:val="BBFF7147"/>
    <w:rsid w:val="BC9B2000"/>
    <w:rsid w:val="BCFDEC27"/>
    <w:rsid w:val="BD9F4C5C"/>
    <w:rsid w:val="BDA5EA0E"/>
    <w:rsid w:val="BEDFF1DC"/>
    <w:rsid w:val="BEF13085"/>
    <w:rsid w:val="BEFDDBC2"/>
    <w:rsid w:val="BEFED4F6"/>
    <w:rsid w:val="BF5C3E68"/>
    <w:rsid w:val="BF7C01BD"/>
    <w:rsid w:val="BF7FDF95"/>
    <w:rsid w:val="BF87FE00"/>
    <w:rsid w:val="BFFF8C0C"/>
    <w:rsid w:val="BFFFE854"/>
    <w:rsid w:val="C1DFF19C"/>
    <w:rsid w:val="C1E3C6CE"/>
    <w:rsid w:val="CAFF043E"/>
    <w:rsid w:val="CB6B624F"/>
    <w:rsid w:val="CBDA90F1"/>
    <w:rsid w:val="CBFF0A4F"/>
    <w:rsid w:val="CD5FE9FB"/>
    <w:rsid w:val="CDF79185"/>
    <w:rsid w:val="CF6F5FDC"/>
    <w:rsid w:val="CF770719"/>
    <w:rsid w:val="CF7C2E5A"/>
    <w:rsid w:val="CFB4CAB5"/>
    <w:rsid w:val="D1FF3571"/>
    <w:rsid w:val="D295D4AB"/>
    <w:rsid w:val="D3CDE65B"/>
    <w:rsid w:val="D5E73DF2"/>
    <w:rsid w:val="D6D7869B"/>
    <w:rsid w:val="D7291C11"/>
    <w:rsid w:val="D72B562B"/>
    <w:rsid w:val="D7EC9AA5"/>
    <w:rsid w:val="D7F7C511"/>
    <w:rsid w:val="D7FC828C"/>
    <w:rsid w:val="D7FCA591"/>
    <w:rsid w:val="DADEAC66"/>
    <w:rsid w:val="DB9340EE"/>
    <w:rsid w:val="DBDF0D91"/>
    <w:rsid w:val="DBFAF450"/>
    <w:rsid w:val="DCC9960E"/>
    <w:rsid w:val="DCE787F5"/>
    <w:rsid w:val="DD9E7FE2"/>
    <w:rsid w:val="DDCB5E47"/>
    <w:rsid w:val="DEDC201B"/>
    <w:rsid w:val="DEF51F00"/>
    <w:rsid w:val="DF194920"/>
    <w:rsid w:val="DF2BE3C1"/>
    <w:rsid w:val="DF678230"/>
    <w:rsid w:val="DF7E8DBE"/>
    <w:rsid w:val="DF7F2CD2"/>
    <w:rsid w:val="DF7FCDF6"/>
    <w:rsid w:val="DFA7D2FC"/>
    <w:rsid w:val="DFCF2257"/>
    <w:rsid w:val="DFDFF3EE"/>
    <w:rsid w:val="DFE6C063"/>
    <w:rsid w:val="E17FF26F"/>
    <w:rsid w:val="E5DFE744"/>
    <w:rsid w:val="E67E00F4"/>
    <w:rsid w:val="E7BFC368"/>
    <w:rsid w:val="E7D1B3F9"/>
    <w:rsid w:val="EA7D4223"/>
    <w:rsid w:val="EB1BFA23"/>
    <w:rsid w:val="EB67B2EA"/>
    <w:rsid w:val="ED1F85A1"/>
    <w:rsid w:val="ED7BDAD5"/>
    <w:rsid w:val="EDB6B6BC"/>
    <w:rsid w:val="EDF46710"/>
    <w:rsid w:val="EDFFE489"/>
    <w:rsid w:val="EE3DE105"/>
    <w:rsid w:val="EE9FBA9E"/>
    <w:rsid w:val="EEEF4470"/>
    <w:rsid w:val="EF7BACE4"/>
    <w:rsid w:val="EF7E87FD"/>
    <w:rsid w:val="EFAFA752"/>
    <w:rsid w:val="EFDC0B24"/>
    <w:rsid w:val="EFEE8EF1"/>
    <w:rsid w:val="EFF9800B"/>
    <w:rsid w:val="EFFBDAEB"/>
    <w:rsid w:val="EFFFC061"/>
    <w:rsid w:val="F3D6F5B2"/>
    <w:rsid w:val="F3EE27FF"/>
    <w:rsid w:val="F3FE51A7"/>
    <w:rsid w:val="F43B3256"/>
    <w:rsid w:val="F55E265E"/>
    <w:rsid w:val="F5BD1DE6"/>
    <w:rsid w:val="F5DE6FBE"/>
    <w:rsid w:val="F5E79D08"/>
    <w:rsid w:val="F5F576B9"/>
    <w:rsid w:val="F5F5A0BC"/>
    <w:rsid w:val="F5FFDA88"/>
    <w:rsid w:val="F67F4B81"/>
    <w:rsid w:val="F6B9FB48"/>
    <w:rsid w:val="F73D643C"/>
    <w:rsid w:val="F77F2E8B"/>
    <w:rsid w:val="F78E9FE8"/>
    <w:rsid w:val="F7A94470"/>
    <w:rsid w:val="F7B8878F"/>
    <w:rsid w:val="F7CCAF57"/>
    <w:rsid w:val="F7DE549D"/>
    <w:rsid w:val="F7EFC151"/>
    <w:rsid w:val="F7EFDAE9"/>
    <w:rsid w:val="F7EFE338"/>
    <w:rsid w:val="F7F773CB"/>
    <w:rsid w:val="F7FFC67A"/>
    <w:rsid w:val="F91F2BED"/>
    <w:rsid w:val="F954961F"/>
    <w:rsid w:val="F979AD93"/>
    <w:rsid w:val="F97BBDF5"/>
    <w:rsid w:val="F9FD3A0A"/>
    <w:rsid w:val="FA6F7F54"/>
    <w:rsid w:val="FA7CFA46"/>
    <w:rsid w:val="FAD39778"/>
    <w:rsid w:val="FB358921"/>
    <w:rsid w:val="FBAF85C5"/>
    <w:rsid w:val="FBAFC79A"/>
    <w:rsid w:val="FBB4C9D8"/>
    <w:rsid w:val="FBDD3DC2"/>
    <w:rsid w:val="FBEF1FEF"/>
    <w:rsid w:val="FBF3C721"/>
    <w:rsid w:val="FBF9444D"/>
    <w:rsid w:val="FBFF77D4"/>
    <w:rsid w:val="FC7A65DB"/>
    <w:rsid w:val="FC7F04E8"/>
    <w:rsid w:val="FD773A9D"/>
    <w:rsid w:val="FD7E1B27"/>
    <w:rsid w:val="FD7FD357"/>
    <w:rsid w:val="FD9C09A3"/>
    <w:rsid w:val="FDAF100B"/>
    <w:rsid w:val="FDB65693"/>
    <w:rsid w:val="FDBFF93E"/>
    <w:rsid w:val="FDF58529"/>
    <w:rsid w:val="FDF9617D"/>
    <w:rsid w:val="FDFB9E24"/>
    <w:rsid w:val="FDFE14CD"/>
    <w:rsid w:val="FDFE7DA0"/>
    <w:rsid w:val="FDFED741"/>
    <w:rsid w:val="FE3D6EFA"/>
    <w:rsid w:val="FE5F1FB8"/>
    <w:rsid w:val="FE72BCAF"/>
    <w:rsid w:val="FEB70FB6"/>
    <w:rsid w:val="FEBF2B31"/>
    <w:rsid w:val="FEDB5BAF"/>
    <w:rsid w:val="FEDD4DEA"/>
    <w:rsid w:val="FEE7C164"/>
    <w:rsid w:val="FEE9AC4A"/>
    <w:rsid w:val="FEF92BC5"/>
    <w:rsid w:val="FEFC2179"/>
    <w:rsid w:val="FEFD5000"/>
    <w:rsid w:val="FEFDC570"/>
    <w:rsid w:val="FEFE738A"/>
    <w:rsid w:val="FEFFC975"/>
    <w:rsid w:val="FF3B3019"/>
    <w:rsid w:val="FF5BE54C"/>
    <w:rsid w:val="FF5F1EFC"/>
    <w:rsid w:val="FF7B78F8"/>
    <w:rsid w:val="FFAF940E"/>
    <w:rsid w:val="FFBFB40F"/>
    <w:rsid w:val="FFBFE5E3"/>
    <w:rsid w:val="FFC68A7D"/>
    <w:rsid w:val="FFC9B87C"/>
    <w:rsid w:val="FFCB348E"/>
    <w:rsid w:val="FFD310B4"/>
    <w:rsid w:val="FFDADB47"/>
    <w:rsid w:val="FFEADBC2"/>
    <w:rsid w:val="FFEB4CD5"/>
    <w:rsid w:val="FFEF8609"/>
    <w:rsid w:val="FFEFE044"/>
    <w:rsid w:val="FFF4222E"/>
    <w:rsid w:val="FFF46189"/>
    <w:rsid w:val="FFF7C577"/>
    <w:rsid w:val="FFFB45C6"/>
    <w:rsid w:val="FFFC312E"/>
    <w:rsid w:val="FFFD9E2A"/>
    <w:rsid w:val="FFFDBF9F"/>
    <w:rsid w:val="FFFF19D2"/>
    <w:rsid w:val="FFFFD95F"/>
    <w:rsid w:val="FFFFF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9"/>
    <w:basedOn w:val="1"/>
    <w:next w:val="1"/>
    <w:unhideWhenUsed/>
    <w:qFormat/>
    <w:uiPriority w:val="99"/>
    <w:pPr>
      <w:ind w:firstLine="0" w:firstLineChars="0"/>
      <w:jc w:val="left"/>
    </w:pPr>
  </w:style>
  <w:style w:type="character" w:styleId="8">
    <w:name w:val="page number"/>
    <w:basedOn w:val="7"/>
    <w:qFormat/>
    <w:uiPriority w:val="0"/>
  </w:style>
  <w:style w:type="paragraph" w:customStyle="1" w:styleId="9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0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1">
    <w:name w:val="reader-word-layer reader-word-s3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2024-07-11T15:25:00Z</dcterms:created>
  <dc:creator>caiwu</dc:creator>
  <cp:lastModifiedBy>uos</cp:lastModifiedBy>
  <dcterms:modified xsi:type="dcterms:W3CDTF">2025-09-02T14:44:14Z</dcterms:modified>
  <dc:title>北京市密云区新城子镇人民政府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AD7470371843490001C8986625CB05D5</vt:lpwstr>
  </property>
</Properties>
</file>