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sz w:val="32"/>
          <w:szCs w:val="32"/>
        </w:rPr>
      </w:pPr>
    </w:p>
    <w:p>
      <w:pPr>
        <w:jc w:val="center"/>
        <w:rPr>
          <w:rFonts w:ascii="黑体" w:eastAsia="黑体"/>
          <w:sz w:val="72"/>
          <w:szCs w:val="72"/>
        </w:rPr>
      </w:pPr>
    </w:p>
    <w:p>
      <w:pPr>
        <w:jc w:val="both"/>
        <w:rPr>
          <w:rFonts w:ascii="黑体" w:eastAsia="黑体"/>
          <w:sz w:val="72"/>
          <w:szCs w:val="72"/>
        </w:rPr>
      </w:pPr>
    </w:p>
    <w:p>
      <w:pPr>
        <w:jc w:val="center"/>
        <w:rPr>
          <w:rFonts w:ascii="黑体" w:eastAsia="黑体"/>
          <w:sz w:val="72"/>
          <w:szCs w:val="72"/>
        </w:rPr>
      </w:pPr>
    </w:p>
    <w:p>
      <w:pPr>
        <w:jc w:val="center"/>
        <w:rPr>
          <w:rFonts w:ascii="黑体" w:eastAsia="黑体"/>
          <w:sz w:val="72"/>
          <w:szCs w:val="72"/>
        </w:rPr>
      </w:pPr>
      <w:r>
        <w:rPr>
          <w:rFonts w:hint="eastAsia" w:ascii="黑体" w:eastAsia="黑体"/>
          <w:sz w:val="72"/>
          <w:szCs w:val="72"/>
        </w:rPr>
        <w:t>北京市密云区东邵渠镇人民政府</w:t>
      </w:r>
    </w:p>
    <w:p>
      <w:pPr>
        <w:jc w:val="center"/>
        <w:rPr>
          <w:rFonts w:ascii="黑体" w:eastAsia="黑体"/>
          <w:sz w:val="72"/>
          <w:szCs w:val="72"/>
        </w:rPr>
      </w:pPr>
      <w:r>
        <w:rPr>
          <w:rFonts w:hint="eastAsia" w:ascii="黑体" w:eastAsia="黑体"/>
          <w:sz w:val="72"/>
          <w:szCs w:val="72"/>
        </w:rPr>
        <w:t>2024年度部门决算草案</w:t>
      </w:r>
    </w:p>
    <w:p>
      <w:pPr>
        <w:jc w:val="center"/>
        <w:rPr>
          <w:rFonts w:ascii="黑体" w:eastAsia="黑体"/>
          <w:sz w:val="52"/>
          <w:szCs w:val="52"/>
        </w:rPr>
      </w:pPr>
    </w:p>
    <w:p>
      <w:pPr>
        <w:jc w:val="center"/>
        <w:rPr>
          <w:rFonts w:ascii="黑体" w:eastAsia="黑体"/>
          <w:sz w:val="52"/>
          <w:szCs w:val="52"/>
        </w:rPr>
      </w:pPr>
    </w:p>
    <w:p>
      <w:pPr>
        <w:jc w:val="center"/>
        <w:rPr>
          <w:rFonts w:ascii="黑体" w:eastAsia="黑体"/>
          <w:sz w:val="32"/>
          <w:szCs w:val="32"/>
        </w:rPr>
      </w:pPr>
    </w:p>
    <w:p>
      <w:pPr>
        <w:spacing w:line="500" w:lineRule="exact"/>
        <w:ind w:firstLine="645"/>
        <w:jc w:val="center"/>
        <w:rPr>
          <w:rFonts w:ascii="宋体" w:hAnsi="宋体" w:cs="宋体"/>
          <w:b/>
          <w:bCs/>
          <w:kern w:val="0"/>
          <w:sz w:val="44"/>
          <w:szCs w:val="36"/>
        </w:rPr>
      </w:pPr>
      <w:r>
        <w:rPr>
          <w:rFonts w:hint="eastAsia" w:ascii="宋体" w:hAnsi="宋体" w:cs="宋体"/>
          <w:b/>
          <w:bCs/>
          <w:kern w:val="0"/>
          <w:sz w:val="44"/>
          <w:szCs w:val="36"/>
        </w:rPr>
        <w:t>目    录</w:t>
      </w:r>
    </w:p>
    <w:p>
      <w:pPr>
        <w:spacing w:line="500" w:lineRule="exact"/>
        <w:ind w:firstLine="645"/>
        <w:jc w:val="center"/>
        <w:rPr>
          <w:rFonts w:ascii="宋体" w:hAnsi="宋体" w:cs="宋体"/>
          <w:b/>
          <w:bCs/>
          <w:kern w:val="0"/>
          <w:sz w:val="36"/>
          <w:szCs w:val="36"/>
        </w:rPr>
      </w:pPr>
    </w:p>
    <w:p>
      <w:pPr>
        <w:tabs>
          <w:tab w:val="center" w:pos="6979"/>
        </w:tabs>
        <w:spacing w:line="500" w:lineRule="exact"/>
        <w:ind w:firstLine="1600" w:firstLineChars="400"/>
        <w:jc w:val="left"/>
        <w:rPr>
          <w:rFonts w:ascii="宋体" w:hAnsi="宋体" w:cs="宋体"/>
          <w:bCs/>
          <w:spacing w:val="40"/>
          <w:kern w:val="0"/>
          <w:sz w:val="32"/>
          <w:szCs w:val="32"/>
        </w:rPr>
      </w:pPr>
      <w:r>
        <w:rPr>
          <w:rFonts w:hint="eastAsia" w:ascii="宋体" w:hAnsi="宋体" w:cs="宋体"/>
          <w:bCs/>
          <w:spacing w:val="40"/>
          <w:kern w:val="0"/>
          <w:sz w:val="32"/>
          <w:szCs w:val="32"/>
        </w:rPr>
        <w:t>第一部分 2024年度部门决算报表</w:t>
      </w:r>
    </w:p>
    <w:p>
      <w:pPr>
        <w:tabs>
          <w:tab w:val="center" w:pos="6979"/>
        </w:tabs>
        <w:spacing w:line="500" w:lineRule="exact"/>
        <w:ind w:firstLine="2400" w:firstLineChars="600"/>
        <w:jc w:val="left"/>
        <w:rPr>
          <w:rFonts w:ascii="仿宋_GB2312" w:hAnsi="仿宋" w:eastAsia="仿宋_GB2312"/>
          <w:spacing w:val="40"/>
          <w:sz w:val="32"/>
          <w:szCs w:val="32"/>
        </w:rPr>
      </w:pPr>
      <w:r>
        <w:rPr>
          <w:rFonts w:hint="eastAsia" w:ascii="仿宋_GB2312" w:hAnsi="仿宋" w:eastAsia="仿宋_GB2312" w:cs="宋体"/>
          <w:bCs/>
          <w:spacing w:val="40"/>
          <w:kern w:val="0"/>
          <w:sz w:val="32"/>
          <w:szCs w:val="32"/>
        </w:rPr>
        <w:t>一、收入支出决算总表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二、收入决算表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三、支出决算表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四、财政拨款收入支出决算总表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五、一般公共预算财政拨款收入支出决算表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六、一般公共预算财政拨款支出决算表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七、一般公共预算财政拨款</w:t>
      </w:r>
      <w:r>
        <w:rPr>
          <w:rFonts w:ascii="仿宋_GB2312" w:hAnsi="仿宋" w:eastAsia="仿宋_GB2312" w:cs="宋体"/>
          <w:bCs/>
          <w:spacing w:val="40"/>
          <w:kern w:val="0"/>
          <w:sz w:val="32"/>
          <w:szCs w:val="32"/>
        </w:rPr>
        <w:t>基本支出决算表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八</w:t>
      </w:r>
      <w:r>
        <w:rPr>
          <w:rFonts w:ascii="仿宋_GB2312" w:hAnsi="仿宋" w:eastAsia="仿宋_GB2312" w:cs="宋体"/>
          <w:bCs/>
          <w:spacing w:val="40"/>
          <w:kern w:val="0"/>
          <w:sz w:val="32"/>
          <w:szCs w:val="32"/>
        </w:rPr>
        <w:t>、</w:t>
      </w:r>
      <w:r>
        <w:rPr>
          <w:rFonts w:hint="eastAsia" w:ascii="仿宋_GB2312" w:hAnsi="仿宋" w:eastAsia="仿宋_GB2312" w:cs="宋体"/>
          <w:bCs/>
          <w:spacing w:val="40"/>
          <w:kern w:val="0"/>
          <w:sz w:val="32"/>
          <w:szCs w:val="32"/>
        </w:rPr>
        <w:t>政府性基金预算财政拨款收入支出决算表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九、</w:t>
      </w:r>
      <w:r>
        <w:rPr>
          <w:rFonts w:ascii="仿宋_GB2312" w:hAnsi="仿宋" w:eastAsia="仿宋_GB2312" w:cs="宋体"/>
          <w:bCs/>
          <w:spacing w:val="40"/>
          <w:kern w:val="0"/>
          <w:sz w:val="32"/>
          <w:szCs w:val="32"/>
        </w:rPr>
        <w:t>政府性基金</w:t>
      </w:r>
      <w:r>
        <w:rPr>
          <w:rFonts w:hint="eastAsia" w:ascii="仿宋_GB2312" w:hAnsi="仿宋" w:eastAsia="仿宋_GB2312" w:cs="宋体"/>
          <w:bCs/>
          <w:spacing w:val="40"/>
          <w:kern w:val="0"/>
          <w:sz w:val="32"/>
          <w:szCs w:val="32"/>
        </w:rPr>
        <w:t>预算</w:t>
      </w:r>
      <w:r>
        <w:rPr>
          <w:rFonts w:ascii="仿宋_GB2312" w:hAnsi="仿宋" w:eastAsia="仿宋_GB2312" w:cs="宋体"/>
          <w:bCs/>
          <w:spacing w:val="40"/>
          <w:kern w:val="0"/>
          <w:sz w:val="32"/>
          <w:szCs w:val="32"/>
        </w:rPr>
        <w:t>财政拨款基本支出决算表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十、国有资本经营预算财政拨款支出决算表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十一、财政拨款“三公”经费支出决算表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十二、政府采购情况表</w:t>
      </w:r>
    </w:p>
    <w:p>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十三、政府购买服务决算公开情况表</w:t>
      </w:r>
    </w:p>
    <w:p>
      <w:pPr>
        <w:tabs>
          <w:tab w:val="center" w:pos="6979"/>
        </w:tabs>
        <w:spacing w:line="500" w:lineRule="exact"/>
        <w:ind w:firstLine="1600" w:firstLineChars="400"/>
        <w:jc w:val="left"/>
        <w:rPr>
          <w:rFonts w:ascii="宋体" w:hAnsi="宋体" w:cs="宋体"/>
          <w:bCs/>
          <w:spacing w:val="40"/>
          <w:kern w:val="0"/>
          <w:sz w:val="32"/>
          <w:szCs w:val="32"/>
        </w:rPr>
      </w:pPr>
      <w:r>
        <w:rPr>
          <w:rFonts w:hint="eastAsia" w:ascii="宋体" w:hAnsi="宋体" w:cs="宋体"/>
          <w:bCs/>
          <w:spacing w:val="40"/>
          <w:kern w:val="0"/>
          <w:sz w:val="32"/>
          <w:szCs w:val="32"/>
        </w:rPr>
        <w:t xml:space="preserve">第二部分 </w:t>
      </w:r>
      <w:r>
        <w:rPr>
          <w:rFonts w:hint="eastAsia" w:ascii="宋体" w:hAnsi="宋体"/>
          <w:spacing w:val="40"/>
          <w:sz w:val="32"/>
          <w:szCs w:val="32"/>
        </w:rPr>
        <w:t>2024年度部门决算说明</w:t>
      </w:r>
    </w:p>
    <w:p>
      <w:pPr>
        <w:tabs>
          <w:tab w:val="center" w:pos="6979"/>
        </w:tabs>
        <w:spacing w:line="500" w:lineRule="exact"/>
        <w:ind w:firstLine="1600" w:firstLineChars="400"/>
        <w:jc w:val="left"/>
        <w:rPr>
          <w:rFonts w:ascii="宋体" w:hAnsi="宋体" w:cs="宋体"/>
          <w:spacing w:val="40"/>
          <w:kern w:val="0"/>
          <w:sz w:val="32"/>
          <w:szCs w:val="32"/>
        </w:rPr>
      </w:pPr>
      <w:r>
        <w:rPr>
          <w:rFonts w:hint="eastAsia" w:ascii="宋体" w:hAnsi="宋体" w:cs="宋体"/>
          <w:bCs/>
          <w:spacing w:val="40"/>
          <w:kern w:val="0"/>
          <w:sz w:val="32"/>
          <w:szCs w:val="32"/>
        </w:rPr>
        <w:t xml:space="preserve">第三部分 </w:t>
      </w:r>
      <w:r>
        <w:rPr>
          <w:rFonts w:hint="eastAsia" w:ascii="宋体" w:hAnsi="宋体"/>
          <w:spacing w:val="40"/>
          <w:sz w:val="32"/>
          <w:szCs w:val="32"/>
        </w:rPr>
        <w:t>2024年度</w:t>
      </w:r>
      <w:r>
        <w:rPr>
          <w:rFonts w:hint="eastAsia" w:ascii="宋体" w:hAnsi="宋体" w:cs="宋体"/>
          <w:spacing w:val="40"/>
          <w:kern w:val="0"/>
          <w:sz w:val="32"/>
          <w:szCs w:val="32"/>
        </w:rPr>
        <w:t>其他重要事项的情况说明</w:t>
      </w:r>
    </w:p>
    <w:p>
      <w:pPr>
        <w:tabs>
          <w:tab w:val="center" w:pos="6979"/>
        </w:tabs>
        <w:spacing w:line="500" w:lineRule="exact"/>
        <w:ind w:firstLine="1600" w:firstLineChars="400"/>
        <w:jc w:val="left"/>
        <w:rPr>
          <w:rFonts w:hint="eastAsia" w:ascii="宋体" w:hAnsi="宋体" w:eastAsia="宋体" w:cs="宋体"/>
          <w:b/>
          <w:bCs/>
          <w:spacing w:val="40"/>
          <w:kern w:val="0"/>
          <w:sz w:val="44"/>
          <w:szCs w:val="44"/>
        </w:rPr>
      </w:pPr>
      <w:r>
        <w:rPr>
          <w:rFonts w:hint="eastAsia" w:ascii="宋体" w:hAnsi="宋体" w:cs="宋体"/>
          <w:spacing w:val="40"/>
          <w:kern w:val="0"/>
          <w:sz w:val="32"/>
          <w:szCs w:val="32"/>
        </w:rPr>
        <w:t>第四部分 2024年度部门绩效评价情况</w:t>
      </w:r>
    </w:p>
    <w:p>
      <w:pPr>
        <w:tabs>
          <w:tab w:val="center" w:pos="6979"/>
        </w:tabs>
        <w:spacing w:beforeLines="50" w:afterLines="50"/>
        <w:jc w:val="center"/>
        <w:rPr>
          <w:rFonts w:hint="eastAsia" w:ascii="宋体" w:hAnsi="宋体" w:eastAsia="宋体" w:cs="宋体"/>
          <w:b/>
          <w:bCs/>
          <w:spacing w:val="40"/>
          <w:kern w:val="0"/>
          <w:sz w:val="44"/>
          <w:szCs w:val="44"/>
        </w:rPr>
      </w:pPr>
      <w:r>
        <w:drawing>
          <wp:anchor distT="0" distB="0" distL="0" distR="0" simplePos="0" relativeHeight="251659264" behindDoc="0" locked="0" layoutInCell="1" allowOverlap="1">
            <wp:simplePos x="0" y="0"/>
            <wp:positionH relativeFrom="column">
              <wp:posOffset>245745</wp:posOffset>
            </wp:positionH>
            <wp:positionV relativeFrom="paragraph">
              <wp:posOffset>716280</wp:posOffset>
            </wp:positionV>
            <wp:extent cx="8907780" cy="5102860"/>
            <wp:effectExtent l="0" t="0" r="7620" b="254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8907780" cy="5102860"/>
                    </a:xfrm>
                    <a:prstGeom prst="rect">
                      <a:avLst/>
                    </a:prstGeom>
                    <a:noFill/>
                    <a:ln w="9525">
                      <a:noFill/>
                    </a:ln>
                  </pic:spPr>
                </pic:pic>
              </a:graphicData>
            </a:graphic>
          </wp:anchor>
        </w:drawing>
      </w:r>
      <w:r>
        <w:rPr>
          <w:rFonts w:hint="eastAsia" w:ascii="宋体" w:hAnsi="宋体" w:eastAsia="宋体" w:cs="宋体"/>
          <w:b/>
          <w:bCs/>
          <w:spacing w:val="40"/>
          <w:kern w:val="0"/>
          <w:sz w:val="44"/>
          <w:szCs w:val="44"/>
        </w:rPr>
        <w:t>第一部分 2024年度部门决算报表</w:t>
      </w:r>
    </w:p>
    <w:p>
      <w:pPr>
        <w:pStyle w:val="3"/>
        <w:spacing w:before="156" w:after="156"/>
        <w:sectPr>
          <w:footerReference r:id="rId3" w:type="default"/>
          <w:pgSz w:w="16838" w:h="11906" w:orient="landscape"/>
          <w:pgMar w:top="1134" w:right="1134" w:bottom="1134" w:left="1134" w:header="851" w:footer="992" w:gutter="0"/>
          <w:cols w:space="720" w:num="1"/>
          <w:docGrid w:type="linesAndChars" w:linePitch="312" w:charSpace="0"/>
        </w:sectPr>
      </w:pPr>
    </w:p>
    <w:p>
      <w:pPr>
        <w:tabs>
          <w:tab w:val="center" w:pos="6979"/>
        </w:tabs>
        <w:spacing w:beforeLines="50" w:afterLines="50"/>
        <w:jc w:val="center"/>
        <w:rPr>
          <w:rFonts w:hint="eastAsia" w:ascii="宋体" w:hAnsi="宋体" w:cs="宋体"/>
          <w:b/>
          <w:bCs/>
          <w:spacing w:val="40"/>
          <w:kern w:val="0"/>
          <w:sz w:val="32"/>
          <w:szCs w:val="32"/>
        </w:rPr>
        <w:sectPr>
          <w:footerReference r:id="rId4" w:type="default"/>
          <w:footerReference r:id="rId5" w:type="even"/>
          <w:pgSz w:w="16838" w:h="11906" w:orient="landscape"/>
          <w:pgMar w:top="1134" w:right="1134" w:bottom="1134" w:left="1134" w:header="851" w:footer="992" w:gutter="0"/>
          <w:cols w:space="720" w:num="1"/>
          <w:docGrid w:type="linesAndChars" w:linePitch="312" w:charSpace="0"/>
        </w:sectPr>
      </w:pPr>
      <w:r>
        <w:drawing>
          <wp:inline distT="0" distB="0" distL="114300" distR="114300">
            <wp:extent cx="9085580" cy="6739255"/>
            <wp:effectExtent l="0" t="0" r="7620" b="444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9085580" cy="6739255"/>
                    </a:xfrm>
                    <a:prstGeom prst="rect">
                      <a:avLst/>
                    </a:prstGeom>
                    <a:noFill/>
                    <a:ln>
                      <a:noFill/>
                    </a:ln>
                  </pic:spPr>
                </pic:pic>
              </a:graphicData>
            </a:graphic>
          </wp:inline>
        </w:drawing>
      </w:r>
    </w:p>
    <w:p>
      <w:pPr>
        <w:tabs>
          <w:tab w:val="center" w:pos="6979"/>
        </w:tabs>
        <w:spacing w:beforeLines="50" w:afterLines="50"/>
        <w:jc w:val="center"/>
        <w:rPr>
          <w:rFonts w:hint="eastAsia" w:ascii="宋体" w:hAnsi="宋体" w:cs="宋体"/>
          <w:b/>
          <w:bCs/>
          <w:spacing w:val="40"/>
          <w:kern w:val="0"/>
          <w:sz w:val="32"/>
          <w:szCs w:val="32"/>
        </w:rPr>
        <w:sectPr>
          <w:pgSz w:w="16838" w:h="11906" w:orient="landscape"/>
          <w:pgMar w:top="1134" w:right="1134" w:bottom="1134" w:left="1134" w:header="851" w:footer="992" w:gutter="0"/>
          <w:cols w:space="720" w:num="1"/>
          <w:docGrid w:type="linesAndChars" w:linePitch="312" w:charSpace="0"/>
        </w:sectPr>
      </w:pPr>
      <w:r>
        <w:drawing>
          <wp:inline distT="0" distB="0" distL="114300" distR="114300">
            <wp:extent cx="9244330" cy="5112385"/>
            <wp:effectExtent l="0" t="0" r="1270" b="571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9"/>
                    <a:stretch>
                      <a:fillRect/>
                    </a:stretch>
                  </pic:blipFill>
                  <pic:spPr>
                    <a:xfrm>
                      <a:off x="0" y="0"/>
                      <a:ext cx="9244330" cy="5112385"/>
                    </a:xfrm>
                    <a:prstGeom prst="rect">
                      <a:avLst/>
                    </a:prstGeom>
                    <a:noFill/>
                    <a:ln>
                      <a:noFill/>
                    </a:ln>
                  </pic:spPr>
                </pic:pic>
              </a:graphicData>
            </a:graphic>
          </wp:inline>
        </w:drawing>
      </w:r>
    </w:p>
    <w:p>
      <w:pPr>
        <w:tabs>
          <w:tab w:val="center" w:pos="6979"/>
        </w:tabs>
        <w:spacing w:beforeLines="50" w:afterLines="50"/>
        <w:jc w:val="center"/>
        <w:rPr>
          <w:rFonts w:hint="eastAsia" w:ascii="宋体" w:hAnsi="宋体" w:cs="宋体"/>
          <w:b/>
          <w:bCs/>
          <w:spacing w:val="40"/>
          <w:kern w:val="0"/>
          <w:sz w:val="32"/>
          <w:szCs w:val="32"/>
        </w:rPr>
        <w:sectPr>
          <w:pgSz w:w="16838" w:h="11906" w:orient="landscape"/>
          <w:pgMar w:top="1134" w:right="1134" w:bottom="1134" w:left="1134" w:header="851" w:footer="992" w:gutter="0"/>
          <w:cols w:space="720" w:num="1"/>
          <w:docGrid w:type="linesAndChars" w:linePitch="312" w:charSpace="0"/>
        </w:sectPr>
      </w:pPr>
      <w:r>
        <w:drawing>
          <wp:inline distT="0" distB="0" distL="114300" distR="114300">
            <wp:extent cx="9001125" cy="6667500"/>
            <wp:effectExtent l="0" t="0" r="3175"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0"/>
                    <a:stretch>
                      <a:fillRect/>
                    </a:stretch>
                  </pic:blipFill>
                  <pic:spPr>
                    <a:xfrm>
                      <a:off x="0" y="0"/>
                      <a:ext cx="9001125" cy="6667500"/>
                    </a:xfrm>
                    <a:prstGeom prst="rect">
                      <a:avLst/>
                    </a:prstGeom>
                    <a:noFill/>
                    <a:ln>
                      <a:noFill/>
                    </a:ln>
                  </pic:spPr>
                </pic:pic>
              </a:graphicData>
            </a:graphic>
          </wp:inline>
        </w:drawing>
      </w:r>
    </w:p>
    <w:p>
      <w:pPr>
        <w:tabs>
          <w:tab w:val="center" w:pos="6979"/>
        </w:tabs>
        <w:spacing w:beforeLines="50" w:afterLines="50"/>
        <w:jc w:val="center"/>
        <w:rPr>
          <w:rFonts w:hint="eastAsia" w:ascii="宋体" w:hAnsi="宋体" w:cs="宋体"/>
          <w:b/>
          <w:bCs/>
          <w:spacing w:val="40"/>
          <w:kern w:val="0"/>
          <w:sz w:val="32"/>
          <w:szCs w:val="32"/>
        </w:rPr>
        <w:sectPr>
          <w:pgSz w:w="16838" w:h="11906" w:orient="landscape"/>
          <w:pgMar w:top="1134" w:right="1134" w:bottom="1134" w:left="1134" w:header="851" w:footer="992" w:gutter="0"/>
          <w:cols w:space="720" w:num="1"/>
          <w:docGrid w:type="linesAndChars" w:linePitch="312" w:charSpace="0"/>
        </w:sectPr>
      </w:pPr>
      <w:r>
        <w:drawing>
          <wp:inline distT="0" distB="0" distL="114300" distR="114300">
            <wp:extent cx="9242425" cy="5353050"/>
            <wp:effectExtent l="0" t="0" r="3175" b="635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1"/>
                    <a:stretch>
                      <a:fillRect/>
                    </a:stretch>
                  </pic:blipFill>
                  <pic:spPr>
                    <a:xfrm>
                      <a:off x="0" y="0"/>
                      <a:ext cx="9242425" cy="5353050"/>
                    </a:xfrm>
                    <a:prstGeom prst="rect">
                      <a:avLst/>
                    </a:prstGeom>
                    <a:noFill/>
                    <a:ln>
                      <a:noFill/>
                    </a:ln>
                  </pic:spPr>
                </pic:pic>
              </a:graphicData>
            </a:graphic>
          </wp:inline>
        </w:drawing>
      </w:r>
    </w:p>
    <w:p>
      <w:pPr>
        <w:tabs>
          <w:tab w:val="center" w:pos="6979"/>
        </w:tabs>
        <w:spacing w:beforeLines="50" w:afterLines="50"/>
        <w:jc w:val="center"/>
        <w:rPr>
          <w:rFonts w:hint="eastAsia" w:ascii="宋体" w:hAnsi="宋体" w:cs="宋体"/>
          <w:b/>
          <w:bCs/>
          <w:spacing w:val="40"/>
          <w:kern w:val="0"/>
          <w:sz w:val="32"/>
          <w:szCs w:val="32"/>
        </w:rPr>
        <w:sectPr>
          <w:pgSz w:w="16838" w:h="11906" w:orient="landscape"/>
          <w:pgMar w:top="1134" w:right="1134" w:bottom="1134" w:left="1134" w:header="851" w:footer="992" w:gutter="0"/>
          <w:cols w:space="720" w:num="1"/>
          <w:docGrid w:type="linesAndChars" w:linePitch="312" w:charSpace="0"/>
        </w:sectPr>
      </w:pPr>
      <w:r>
        <w:drawing>
          <wp:inline distT="0" distB="0" distL="114300" distR="114300">
            <wp:extent cx="9240520" cy="4862830"/>
            <wp:effectExtent l="0" t="0" r="5080" b="127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2"/>
                    <a:stretch>
                      <a:fillRect/>
                    </a:stretch>
                  </pic:blipFill>
                  <pic:spPr>
                    <a:xfrm>
                      <a:off x="0" y="0"/>
                      <a:ext cx="9240520" cy="4862830"/>
                    </a:xfrm>
                    <a:prstGeom prst="rect">
                      <a:avLst/>
                    </a:prstGeom>
                    <a:noFill/>
                    <a:ln>
                      <a:noFill/>
                    </a:ln>
                  </pic:spPr>
                </pic:pic>
              </a:graphicData>
            </a:graphic>
          </wp:inline>
        </w:drawing>
      </w:r>
    </w:p>
    <w:p>
      <w:pPr>
        <w:tabs>
          <w:tab w:val="center" w:pos="6979"/>
        </w:tabs>
        <w:spacing w:beforeLines="50" w:afterLines="50"/>
        <w:jc w:val="center"/>
        <w:rPr>
          <w:rFonts w:hint="eastAsia" w:ascii="宋体" w:hAnsi="宋体" w:cs="宋体"/>
          <w:b/>
          <w:bCs/>
          <w:spacing w:val="40"/>
          <w:kern w:val="0"/>
          <w:sz w:val="32"/>
          <w:szCs w:val="32"/>
        </w:rPr>
        <w:sectPr>
          <w:pgSz w:w="16838" w:h="11906" w:orient="landscape"/>
          <w:pgMar w:top="1134" w:right="1134" w:bottom="1134" w:left="1134" w:header="851" w:footer="992" w:gutter="0"/>
          <w:cols w:space="720" w:num="1"/>
          <w:docGrid w:type="linesAndChars" w:linePitch="312" w:charSpace="0"/>
        </w:sectPr>
      </w:pPr>
      <w:r>
        <w:drawing>
          <wp:inline distT="0" distB="0" distL="114300" distR="114300">
            <wp:extent cx="8843010" cy="6680835"/>
            <wp:effectExtent l="0" t="0" r="8890" b="1206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3"/>
                    <a:stretch>
                      <a:fillRect/>
                    </a:stretch>
                  </pic:blipFill>
                  <pic:spPr>
                    <a:xfrm>
                      <a:off x="0" y="0"/>
                      <a:ext cx="8843010" cy="6680835"/>
                    </a:xfrm>
                    <a:prstGeom prst="rect">
                      <a:avLst/>
                    </a:prstGeom>
                    <a:noFill/>
                    <a:ln>
                      <a:noFill/>
                    </a:ln>
                  </pic:spPr>
                </pic:pic>
              </a:graphicData>
            </a:graphic>
          </wp:inline>
        </w:drawing>
      </w:r>
    </w:p>
    <w:p>
      <w:pPr>
        <w:tabs>
          <w:tab w:val="center" w:pos="6979"/>
        </w:tabs>
        <w:spacing w:beforeLines="50" w:afterLines="50"/>
        <w:jc w:val="center"/>
        <w:rPr>
          <w:rFonts w:hint="eastAsia" w:ascii="宋体" w:hAnsi="宋体" w:cs="宋体"/>
          <w:b/>
          <w:bCs/>
          <w:spacing w:val="40"/>
          <w:kern w:val="0"/>
          <w:sz w:val="32"/>
          <w:szCs w:val="32"/>
        </w:rPr>
        <w:sectPr>
          <w:pgSz w:w="16838" w:h="11906" w:orient="landscape"/>
          <w:pgMar w:top="1134" w:right="1134" w:bottom="1134" w:left="1134" w:header="851" w:footer="992" w:gutter="0"/>
          <w:cols w:space="720" w:num="1"/>
          <w:docGrid w:type="linesAndChars" w:linePitch="312" w:charSpace="0"/>
        </w:sectPr>
      </w:pPr>
      <w:r>
        <w:drawing>
          <wp:inline distT="0" distB="0" distL="114300" distR="114300">
            <wp:extent cx="9251315" cy="3312795"/>
            <wp:effectExtent l="0" t="0" r="6985" b="190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4"/>
                    <a:stretch>
                      <a:fillRect/>
                    </a:stretch>
                  </pic:blipFill>
                  <pic:spPr>
                    <a:xfrm>
                      <a:off x="0" y="0"/>
                      <a:ext cx="9251315" cy="3312795"/>
                    </a:xfrm>
                    <a:prstGeom prst="rect">
                      <a:avLst/>
                    </a:prstGeom>
                    <a:noFill/>
                    <a:ln>
                      <a:noFill/>
                    </a:ln>
                  </pic:spPr>
                </pic:pic>
              </a:graphicData>
            </a:graphic>
          </wp:inline>
        </w:drawing>
      </w:r>
    </w:p>
    <w:p>
      <w:pPr>
        <w:tabs>
          <w:tab w:val="center" w:pos="6979"/>
        </w:tabs>
        <w:spacing w:beforeLines="50" w:afterLines="50"/>
        <w:jc w:val="center"/>
        <w:rPr>
          <w:rFonts w:hint="eastAsia" w:ascii="宋体" w:hAnsi="宋体" w:cs="宋体"/>
          <w:b/>
          <w:bCs/>
          <w:spacing w:val="40"/>
          <w:kern w:val="0"/>
          <w:sz w:val="32"/>
          <w:szCs w:val="32"/>
        </w:rPr>
        <w:sectPr>
          <w:pgSz w:w="16838" w:h="11906" w:orient="landscape"/>
          <w:pgMar w:top="1134" w:right="1134" w:bottom="1134" w:left="1134" w:header="851" w:footer="992" w:gutter="0"/>
          <w:cols w:space="720" w:num="1"/>
          <w:docGrid w:type="linesAndChars" w:linePitch="312" w:charSpace="0"/>
        </w:sectPr>
      </w:pPr>
      <w:r>
        <w:drawing>
          <wp:inline distT="0" distB="0" distL="114300" distR="114300">
            <wp:extent cx="9249410" cy="5469255"/>
            <wp:effectExtent l="0" t="0" r="8890" b="4445"/>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15"/>
                    <a:stretch>
                      <a:fillRect/>
                    </a:stretch>
                  </pic:blipFill>
                  <pic:spPr>
                    <a:xfrm>
                      <a:off x="0" y="0"/>
                      <a:ext cx="9249410" cy="5469255"/>
                    </a:xfrm>
                    <a:prstGeom prst="rect">
                      <a:avLst/>
                    </a:prstGeom>
                    <a:noFill/>
                    <a:ln>
                      <a:noFill/>
                    </a:ln>
                  </pic:spPr>
                </pic:pic>
              </a:graphicData>
            </a:graphic>
          </wp:inline>
        </w:drawing>
      </w:r>
    </w:p>
    <w:p>
      <w:pPr>
        <w:tabs>
          <w:tab w:val="center" w:pos="6979"/>
        </w:tabs>
        <w:spacing w:beforeLines="50" w:afterLines="50"/>
        <w:jc w:val="center"/>
        <w:rPr>
          <w:rFonts w:hint="eastAsia" w:ascii="宋体" w:hAnsi="宋体" w:cs="宋体"/>
          <w:b/>
          <w:bCs/>
          <w:spacing w:val="40"/>
          <w:kern w:val="0"/>
          <w:sz w:val="32"/>
          <w:szCs w:val="32"/>
        </w:rPr>
        <w:sectPr>
          <w:pgSz w:w="16838" w:h="11906" w:orient="landscape"/>
          <w:pgMar w:top="1134" w:right="1134" w:bottom="1134" w:left="1134" w:header="851" w:footer="992" w:gutter="0"/>
          <w:cols w:space="720" w:num="1"/>
          <w:docGrid w:type="linesAndChars" w:linePitch="312" w:charSpace="0"/>
        </w:sectPr>
      </w:pPr>
      <w:r>
        <w:drawing>
          <wp:inline distT="0" distB="0" distL="114300" distR="114300">
            <wp:extent cx="9249410" cy="5344795"/>
            <wp:effectExtent l="0" t="0" r="8890" b="190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16"/>
                    <a:stretch>
                      <a:fillRect/>
                    </a:stretch>
                  </pic:blipFill>
                  <pic:spPr>
                    <a:xfrm>
                      <a:off x="0" y="0"/>
                      <a:ext cx="9249410" cy="5344795"/>
                    </a:xfrm>
                    <a:prstGeom prst="rect">
                      <a:avLst/>
                    </a:prstGeom>
                    <a:noFill/>
                    <a:ln>
                      <a:noFill/>
                    </a:ln>
                  </pic:spPr>
                </pic:pic>
              </a:graphicData>
            </a:graphic>
          </wp:inline>
        </w:drawing>
      </w:r>
    </w:p>
    <w:p>
      <w:pPr>
        <w:tabs>
          <w:tab w:val="center" w:pos="6979"/>
        </w:tabs>
        <w:spacing w:beforeLines="50" w:afterLines="50"/>
        <w:jc w:val="center"/>
        <w:rPr>
          <w:rFonts w:hint="eastAsia" w:ascii="宋体" w:hAnsi="宋体" w:cs="宋体"/>
          <w:b/>
          <w:bCs/>
          <w:spacing w:val="40"/>
          <w:kern w:val="0"/>
          <w:sz w:val="32"/>
          <w:szCs w:val="32"/>
        </w:rPr>
        <w:sectPr>
          <w:pgSz w:w="16838" w:h="11906" w:orient="landscape"/>
          <w:pgMar w:top="1134" w:right="1134" w:bottom="1134" w:left="1134" w:header="851" w:footer="992" w:gutter="0"/>
          <w:cols w:space="720" w:num="1"/>
          <w:docGrid w:type="linesAndChars" w:linePitch="312" w:charSpace="0"/>
        </w:sectPr>
      </w:pPr>
      <w:r>
        <w:drawing>
          <wp:inline distT="0" distB="0" distL="114300" distR="114300">
            <wp:extent cx="9246870" cy="4855845"/>
            <wp:effectExtent l="0" t="0" r="11430" b="8255"/>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17"/>
                    <a:stretch>
                      <a:fillRect/>
                    </a:stretch>
                  </pic:blipFill>
                  <pic:spPr>
                    <a:xfrm>
                      <a:off x="0" y="0"/>
                      <a:ext cx="9246870" cy="4855845"/>
                    </a:xfrm>
                    <a:prstGeom prst="rect">
                      <a:avLst/>
                    </a:prstGeom>
                    <a:noFill/>
                    <a:ln>
                      <a:noFill/>
                    </a:ln>
                  </pic:spPr>
                </pic:pic>
              </a:graphicData>
            </a:graphic>
          </wp:inline>
        </w:drawing>
      </w:r>
    </w:p>
    <w:p>
      <w:pPr>
        <w:tabs>
          <w:tab w:val="center" w:pos="6979"/>
        </w:tabs>
        <w:spacing w:beforeLines="50" w:afterLines="50"/>
        <w:jc w:val="center"/>
        <w:rPr>
          <w:rFonts w:hint="eastAsia" w:ascii="宋体" w:hAnsi="宋体" w:cs="宋体"/>
          <w:b/>
          <w:bCs/>
          <w:spacing w:val="40"/>
          <w:kern w:val="0"/>
          <w:sz w:val="32"/>
          <w:szCs w:val="32"/>
        </w:rPr>
        <w:sectPr>
          <w:pgSz w:w="16838" w:h="11906" w:orient="landscape"/>
          <w:pgMar w:top="1134" w:right="1134" w:bottom="1134" w:left="1134" w:header="851" w:footer="992" w:gutter="0"/>
          <w:cols w:space="720" w:num="1"/>
          <w:docGrid w:type="linesAndChars" w:linePitch="312" w:charSpace="0"/>
        </w:sectPr>
      </w:pPr>
      <w:r>
        <w:drawing>
          <wp:inline distT="0" distB="0" distL="114300" distR="114300">
            <wp:extent cx="9248140" cy="2324100"/>
            <wp:effectExtent l="0" t="0" r="10160" b="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18"/>
                    <a:stretch>
                      <a:fillRect/>
                    </a:stretch>
                  </pic:blipFill>
                  <pic:spPr>
                    <a:xfrm>
                      <a:off x="0" y="0"/>
                      <a:ext cx="9248140" cy="2324100"/>
                    </a:xfrm>
                    <a:prstGeom prst="rect">
                      <a:avLst/>
                    </a:prstGeom>
                    <a:noFill/>
                    <a:ln>
                      <a:noFill/>
                    </a:ln>
                  </pic:spPr>
                </pic:pic>
              </a:graphicData>
            </a:graphic>
          </wp:inline>
        </w:drawing>
      </w:r>
    </w:p>
    <w:p>
      <w:pPr>
        <w:tabs>
          <w:tab w:val="center" w:pos="6979"/>
        </w:tabs>
        <w:spacing w:beforeLines="50" w:afterLines="50"/>
        <w:jc w:val="center"/>
        <w:sectPr>
          <w:pgSz w:w="16838" w:h="11906" w:orient="landscape"/>
          <w:pgMar w:top="1134" w:right="1134" w:bottom="1134" w:left="1134" w:header="851" w:footer="992" w:gutter="0"/>
          <w:cols w:space="720" w:num="1"/>
          <w:docGrid w:type="linesAndChars" w:linePitch="312" w:charSpace="0"/>
        </w:sectPr>
      </w:pPr>
      <w:r>
        <w:drawing>
          <wp:inline distT="0" distB="0" distL="114300" distR="114300">
            <wp:extent cx="9246870" cy="4855845"/>
            <wp:effectExtent l="0" t="0" r="11430" b="8255"/>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19"/>
                    <a:stretch>
                      <a:fillRect/>
                    </a:stretch>
                  </pic:blipFill>
                  <pic:spPr>
                    <a:xfrm>
                      <a:off x="0" y="0"/>
                      <a:ext cx="9246870" cy="4855845"/>
                    </a:xfrm>
                    <a:prstGeom prst="rect">
                      <a:avLst/>
                    </a:prstGeom>
                    <a:noFill/>
                    <a:ln>
                      <a:noFill/>
                    </a:ln>
                  </pic:spPr>
                </pic:pic>
              </a:graphicData>
            </a:graphic>
          </wp:inline>
        </w:drawing>
      </w:r>
    </w:p>
    <w:p>
      <w:pPr>
        <w:tabs>
          <w:tab w:val="center" w:pos="6979"/>
        </w:tabs>
        <w:spacing w:beforeLines="50" w:afterLines="50"/>
        <w:jc w:val="center"/>
        <w:rPr>
          <w:rFonts w:hint="eastAsia"/>
        </w:rPr>
        <w:sectPr>
          <w:pgSz w:w="16838" w:h="11906" w:orient="landscape"/>
          <w:pgMar w:top="1134" w:right="1134" w:bottom="1134" w:left="1134" w:header="851" w:footer="992" w:gutter="0"/>
          <w:cols w:space="720" w:num="1"/>
          <w:docGrid w:type="linesAndChars" w:linePitch="312" w:charSpace="0"/>
        </w:sectPr>
      </w:pPr>
      <w:r>
        <w:drawing>
          <wp:inline distT="0" distB="0" distL="114300" distR="114300">
            <wp:extent cx="9250045" cy="1168400"/>
            <wp:effectExtent l="0" t="0" r="8255"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20"/>
                    <a:stretch>
                      <a:fillRect/>
                    </a:stretch>
                  </pic:blipFill>
                  <pic:spPr>
                    <a:xfrm>
                      <a:off x="0" y="0"/>
                      <a:ext cx="9250045" cy="1168400"/>
                    </a:xfrm>
                    <a:prstGeom prst="rect">
                      <a:avLst/>
                    </a:prstGeom>
                    <a:noFill/>
                    <a:ln>
                      <a:noFill/>
                    </a:ln>
                  </pic:spPr>
                </pic:pic>
              </a:graphicData>
            </a:graphic>
          </wp:inline>
        </w:drawing>
      </w:r>
    </w:p>
    <w:p>
      <w:pPr>
        <w:tabs>
          <w:tab w:val="center" w:pos="6979"/>
        </w:tabs>
        <w:spacing w:beforeLines="50" w:afterLines="50"/>
        <w:jc w:val="center"/>
        <w:rPr>
          <w:rFonts w:hint="eastAsia"/>
        </w:rPr>
        <w:sectPr>
          <w:pgSz w:w="16838" w:h="11906" w:orient="landscape"/>
          <w:pgMar w:top="1134" w:right="1134" w:bottom="1134" w:left="1134" w:header="851" w:footer="992" w:gutter="0"/>
          <w:cols w:space="720" w:num="1"/>
          <w:docGrid w:type="linesAndChars" w:linePitch="312" w:charSpace="0"/>
        </w:sectPr>
      </w:pPr>
      <w:r>
        <w:drawing>
          <wp:inline distT="0" distB="0" distL="114300" distR="114300">
            <wp:extent cx="9250680" cy="1264920"/>
            <wp:effectExtent l="0" t="0" r="7620" b="5080"/>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pic:cNvPicPr>
                  </pic:nvPicPr>
                  <pic:blipFill>
                    <a:blip r:embed="rId21"/>
                    <a:stretch>
                      <a:fillRect/>
                    </a:stretch>
                  </pic:blipFill>
                  <pic:spPr>
                    <a:xfrm>
                      <a:off x="0" y="0"/>
                      <a:ext cx="9250680" cy="1264920"/>
                    </a:xfrm>
                    <a:prstGeom prst="rect">
                      <a:avLst/>
                    </a:prstGeom>
                    <a:noFill/>
                    <a:ln>
                      <a:noFill/>
                    </a:ln>
                  </pic:spPr>
                </pic:pic>
              </a:graphicData>
            </a:graphic>
          </wp:inline>
        </w:drawing>
      </w:r>
    </w:p>
    <w:p>
      <w:pPr>
        <w:tabs>
          <w:tab w:val="center" w:pos="6979"/>
        </w:tabs>
        <w:spacing w:beforeLines="50" w:afterLines="50"/>
        <w:jc w:val="center"/>
        <w:rPr>
          <w:rFonts w:hint="eastAsia"/>
        </w:rPr>
        <w:sectPr>
          <w:pgSz w:w="16838" w:h="11906" w:orient="landscape"/>
          <w:pgMar w:top="1134" w:right="1134" w:bottom="1134" w:left="1134" w:header="851" w:footer="992" w:gutter="0"/>
          <w:cols w:space="720" w:num="1"/>
          <w:docGrid w:type="linesAndChars" w:linePitch="312" w:charSpace="0"/>
        </w:sectPr>
      </w:pPr>
      <w:r>
        <w:drawing>
          <wp:inline distT="0" distB="0" distL="114300" distR="114300">
            <wp:extent cx="9240520" cy="2628900"/>
            <wp:effectExtent l="0" t="0" r="5080" b="0"/>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pic:cNvPicPr>
                  </pic:nvPicPr>
                  <pic:blipFill>
                    <a:blip r:embed="rId22"/>
                    <a:stretch>
                      <a:fillRect/>
                    </a:stretch>
                  </pic:blipFill>
                  <pic:spPr>
                    <a:xfrm>
                      <a:off x="0" y="0"/>
                      <a:ext cx="9240520" cy="2628900"/>
                    </a:xfrm>
                    <a:prstGeom prst="rect">
                      <a:avLst/>
                    </a:prstGeom>
                    <a:noFill/>
                    <a:ln>
                      <a:noFill/>
                    </a:ln>
                  </pic:spPr>
                </pic:pic>
              </a:graphicData>
            </a:graphic>
          </wp:inline>
        </w:drawing>
      </w:r>
    </w:p>
    <w:p>
      <w:pPr>
        <w:tabs>
          <w:tab w:val="center" w:pos="6979"/>
        </w:tabs>
        <w:spacing w:beforeLines="50" w:afterLines="50"/>
        <w:jc w:val="center"/>
        <w:rPr>
          <w:rFonts w:hint="eastAsia"/>
        </w:rPr>
        <w:sectPr>
          <w:pgSz w:w="16838" w:h="11906" w:orient="landscape"/>
          <w:pgMar w:top="1134" w:right="1134" w:bottom="1134" w:left="1134" w:header="851" w:footer="992" w:gutter="0"/>
          <w:cols w:space="720" w:num="1"/>
          <w:docGrid w:type="linesAndChars" w:linePitch="312" w:charSpace="0"/>
        </w:sectPr>
      </w:pPr>
      <w:r>
        <w:drawing>
          <wp:inline distT="0" distB="0" distL="114300" distR="114300">
            <wp:extent cx="9241155" cy="4728210"/>
            <wp:effectExtent l="0" t="0" r="4445" b="889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3"/>
                    <a:stretch>
                      <a:fillRect/>
                    </a:stretch>
                  </pic:blipFill>
                  <pic:spPr>
                    <a:xfrm>
                      <a:off x="0" y="0"/>
                      <a:ext cx="9241155" cy="4728210"/>
                    </a:xfrm>
                    <a:prstGeom prst="rect">
                      <a:avLst/>
                    </a:prstGeom>
                    <a:noFill/>
                    <a:ln>
                      <a:noFill/>
                    </a:ln>
                  </pic:spPr>
                </pic:pic>
              </a:graphicData>
            </a:graphic>
          </wp:inline>
        </w:drawing>
      </w:r>
    </w:p>
    <w:p>
      <w:pPr>
        <w:tabs>
          <w:tab w:val="center" w:pos="6979"/>
        </w:tabs>
        <w:spacing w:beforeLines="50" w:afterLines="50"/>
        <w:jc w:val="center"/>
        <w:rPr>
          <w:rFonts w:ascii="宋体" w:hAnsi="宋体" w:cs="宋体"/>
          <w:b/>
          <w:bCs/>
          <w:spacing w:val="40"/>
          <w:kern w:val="0"/>
          <w:sz w:val="44"/>
          <w:szCs w:val="44"/>
        </w:rPr>
      </w:pPr>
      <w:r>
        <w:rPr>
          <w:rFonts w:hint="eastAsia" w:ascii="宋体" w:hAnsi="宋体" w:cs="宋体"/>
          <w:b/>
          <w:bCs/>
          <w:spacing w:val="40"/>
          <w:kern w:val="0"/>
          <w:sz w:val="44"/>
          <w:szCs w:val="44"/>
        </w:rPr>
        <w:t>第二部分 2024年度部门决算说明</w:t>
      </w:r>
    </w:p>
    <w:p>
      <w:pPr>
        <w:tabs>
          <w:tab w:val="center" w:pos="6979"/>
        </w:tabs>
        <w:spacing w:line="580" w:lineRule="exact"/>
        <w:ind w:firstLine="627" w:firstLineChars="196"/>
        <w:rPr>
          <w:rFonts w:ascii="黑体" w:eastAsia="黑体"/>
          <w:b/>
          <w:sz w:val="32"/>
          <w:szCs w:val="32"/>
        </w:rPr>
      </w:pPr>
      <w:r>
        <w:rPr>
          <w:rFonts w:hint="eastAsia" w:ascii="黑体" w:eastAsia="黑体"/>
          <w:b/>
          <w:sz w:val="32"/>
          <w:szCs w:val="32"/>
        </w:rPr>
        <w:t>一、单位基本情况</w:t>
      </w:r>
    </w:p>
    <w:p>
      <w:pPr>
        <w:tabs>
          <w:tab w:val="center" w:pos="6979"/>
        </w:tabs>
        <w:spacing w:line="580" w:lineRule="exact"/>
        <w:ind w:firstLine="480" w:firstLineChars="150"/>
        <w:rPr>
          <w:rFonts w:ascii="仿宋_GB2312" w:eastAsia="仿宋_GB2312"/>
          <w:sz w:val="32"/>
          <w:szCs w:val="32"/>
        </w:rPr>
      </w:pPr>
      <w:r>
        <w:rPr>
          <w:rFonts w:hint="eastAsia" w:ascii="仿宋_GB2312" w:eastAsia="仿宋_GB2312"/>
          <w:sz w:val="32"/>
          <w:szCs w:val="32"/>
        </w:rPr>
        <w:t>（一）机构</w:t>
      </w:r>
      <w:r>
        <w:rPr>
          <w:rFonts w:ascii="仿宋_GB2312" w:eastAsia="仿宋_GB2312"/>
          <w:sz w:val="32"/>
          <w:szCs w:val="32"/>
        </w:rPr>
        <w:t>设置、</w:t>
      </w:r>
      <w:r>
        <w:rPr>
          <w:rFonts w:hint="eastAsia" w:ascii="仿宋_GB2312" w:eastAsia="仿宋_GB2312"/>
          <w:sz w:val="32"/>
          <w:szCs w:val="32"/>
        </w:rPr>
        <w:t>职责</w:t>
      </w:r>
    </w:p>
    <w:p>
      <w:pPr>
        <w:snapToGrid w:val="0"/>
        <w:spacing w:line="520" w:lineRule="exact"/>
        <w:rPr>
          <w:rFonts w:ascii="仿宋_GB2312" w:hAnsi="仿宋" w:eastAsia="仿宋_GB2312"/>
          <w:sz w:val="32"/>
          <w:szCs w:val="32"/>
        </w:rPr>
      </w:pPr>
      <w:r>
        <w:rPr>
          <w:rFonts w:hint="eastAsia" w:ascii="仿宋_GB2312" w:hAnsi="仿宋" w:eastAsia="仿宋_GB2312"/>
          <w:sz w:val="32"/>
          <w:szCs w:val="32"/>
        </w:rPr>
        <w:t xml:space="preserve">     1.机构情况。</w:t>
      </w:r>
    </w:p>
    <w:p>
      <w:pPr>
        <w:snapToGrid w:val="0"/>
        <w:spacing w:line="520" w:lineRule="exact"/>
        <w:ind w:firstLine="640" w:firstLineChars="200"/>
        <w:rPr>
          <w:rFonts w:ascii="仿宋_GB2312" w:hAnsi="仿宋" w:eastAsia="仿宋_GB2312"/>
          <w:sz w:val="32"/>
          <w:szCs w:val="32"/>
        </w:rPr>
      </w:pPr>
      <w:r>
        <w:rPr>
          <w:rFonts w:hint="eastAsia" w:ascii="仿宋" w:hAnsi="仿宋" w:eastAsia="仿宋" w:cs="仿宋"/>
          <w:sz w:val="32"/>
          <w:szCs w:val="32"/>
        </w:rPr>
        <w:t>本单位为北京市密云区东邵渠镇人民政府，所属一级预算单位，单位性质为行政单位，决算报表类型为单户表，按照行政单位会计制度填报决算数据。</w:t>
      </w:r>
    </w:p>
    <w:p>
      <w:pPr>
        <w:snapToGrid w:val="0"/>
        <w:spacing w:line="520" w:lineRule="exact"/>
        <w:rPr>
          <w:rFonts w:ascii="仿宋_GB2312" w:hAnsi="仿宋" w:eastAsia="仿宋_GB2312"/>
          <w:sz w:val="32"/>
          <w:szCs w:val="32"/>
        </w:rPr>
      </w:pPr>
      <w:r>
        <w:rPr>
          <w:rFonts w:hint="eastAsia" w:ascii="仿宋_GB2312" w:hAnsi="仿宋" w:eastAsia="仿宋_GB2312"/>
          <w:sz w:val="32"/>
          <w:szCs w:val="32"/>
        </w:rPr>
        <w:t xml:space="preserve">     2.职责。</w:t>
      </w:r>
    </w:p>
    <w:p>
      <w:pPr>
        <w:snapToGrid w:val="0"/>
        <w:spacing w:line="520" w:lineRule="exact"/>
        <w:rPr>
          <w:rFonts w:ascii="仿宋" w:hAnsi="仿宋" w:eastAsia="仿宋" w:cs="仿宋"/>
          <w:sz w:val="32"/>
          <w:szCs w:val="32"/>
        </w:rPr>
      </w:pPr>
      <w:r>
        <w:rPr>
          <w:rFonts w:hint="eastAsia" w:ascii="仿宋" w:hAnsi="仿宋" w:eastAsia="仿宋" w:cs="仿宋"/>
          <w:sz w:val="32"/>
          <w:szCs w:val="32"/>
        </w:rPr>
        <w:t>宣传和贯彻执行党的路线方针政策和党中央、市委、区委及本镇党员代表大会的决议。贯彻执行法律、法规、规章和市、区政府的决定、命令，执行本级人民代表大会的决议，发布决定和命令。讨论和决定本镇经济建设、政治建设、文化建设、社会建设、生态文明建设和党的建设以及乡村振兴中的重大问题。需由镇政权机关或者集体经济组织决定的重要事项，经镇党委研究讨论后，由镇政权机关或者集体经济组织依照法律和有关规定作出决定。执行本行政区域内的经济和社会发展计划、预算，管理本行政区域内的经济、教育、科学、文化、卫生、体育事业和财政、民政、司法行政、计划生育等行政工作。领导镇政权机关、群团组织和其他各类组织，加强指导和规范，支持和保证这些机关和组织依照国家法律法规以及各自章程履行职责。加强镇党委自身建设和村党组织建设以及其他隶属镇党委的党组织建设，抓好发展党员工作，加强党员队伍建设。维护和执行党的纪律，监督党员干部和其他任何工作人员严格遵守国家法律法规。按照干部管理权限，负责对干部的教育、培训、选拔、考核和监督工作。协助管理市、区有关部门驻镇单位的干部。做好人才服务和引进工作。领导本镇的基层治理，加强社会主义民主法治建设和精神文明建设，加强社会治安综合治理，做好生态环保、美丽乡村建设、民生保障、民族宗教等工作。保护社会主义的全民所有的财产和劳动群众集体所有的财产，保护公民私人所有的合法财产，维护社会秩序，保障公民的人身权利、民主权利和其他权利。保护各种经济组织的合法权益。保障少数民族的权利和尊重少数民族的风俗习惯。保障宪法和法律赋予妇女的男女平等、同工同酬和婚姻自由等各项权利。承办区委交办的其他事项。</w:t>
      </w:r>
    </w:p>
    <w:p>
      <w:pPr>
        <w:tabs>
          <w:tab w:val="center" w:pos="6979"/>
        </w:tabs>
        <w:spacing w:line="580" w:lineRule="exact"/>
        <w:ind w:firstLine="480" w:firstLineChars="150"/>
        <w:rPr>
          <w:rFonts w:hint="eastAsia" w:ascii="仿宋_GB2312" w:eastAsia="仿宋_GB2312"/>
          <w:sz w:val="32"/>
          <w:szCs w:val="32"/>
        </w:rPr>
      </w:pPr>
      <w:r>
        <w:rPr>
          <w:rFonts w:hint="eastAsia" w:ascii="仿宋_GB2312" w:eastAsia="仿宋_GB2312"/>
          <w:sz w:val="32"/>
          <w:szCs w:val="32"/>
        </w:rPr>
        <w:t>（二）人员构成情况</w:t>
      </w:r>
    </w:p>
    <w:p>
      <w:pPr>
        <w:tabs>
          <w:tab w:val="center" w:pos="6979"/>
        </w:tabs>
        <w:spacing w:line="580" w:lineRule="exact"/>
        <w:ind w:firstLine="640" w:firstLineChars="200"/>
        <w:rPr>
          <w:rFonts w:ascii="仿宋_GB2312" w:eastAsia="仿宋_GB2312"/>
          <w:kern w:val="0"/>
          <w:sz w:val="28"/>
          <w:szCs w:val="28"/>
        </w:rPr>
      </w:pPr>
      <w:r>
        <w:rPr>
          <w:rFonts w:hint="eastAsia" w:ascii="仿宋" w:hAnsi="仿宋" w:eastAsia="仿宋" w:cs="仿宋"/>
          <w:sz w:val="32"/>
          <w:szCs w:val="32"/>
        </w:rPr>
        <w:t>行政编制39人，实有人数35人；事业编制44人，实有人数40人。</w:t>
      </w:r>
    </w:p>
    <w:p>
      <w:pPr>
        <w:tabs>
          <w:tab w:val="center" w:pos="6979"/>
        </w:tabs>
        <w:spacing w:line="580" w:lineRule="exact"/>
        <w:ind w:firstLine="627" w:firstLineChars="196"/>
        <w:rPr>
          <w:rFonts w:hint="eastAsia" w:ascii="黑体" w:eastAsia="黑体"/>
          <w:b/>
          <w:sz w:val="32"/>
          <w:szCs w:val="32"/>
        </w:rPr>
      </w:pPr>
      <w:r>
        <w:rPr>
          <w:rFonts w:hint="eastAsia" w:ascii="黑体" w:eastAsia="黑体"/>
          <w:b/>
          <w:sz w:val="32"/>
          <w:szCs w:val="32"/>
        </w:rPr>
        <w:t>二、收入支出决算总体情况说明</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2024年度收、支总计18444.39万元，比上年增加2354.30万元，增长14.63%。</w:t>
      </w:r>
    </w:p>
    <w:p>
      <w:pPr>
        <w:tabs>
          <w:tab w:val="center" w:pos="6979"/>
        </w:tabs>
        <w:spacing w:line="580" w:lineRule="exact"/>
        <w:ind w:firstLine="480" w:firstLineChars="150"/>
        <w:rPr>
          <w:rFonts w:hint="eastAsia" w:ascii="仿宋_GB2312" w:eastAsia="仿宋_GB2312"/>
          <w:sz w:val="32"/>
          <w:szCs w:val="32"/>
        </w:rPr>
      </w:pPr>
      <w:r>
        <w:rPr>
          <w:rFonts w:hint="eastAsia" w:ascii="仿宋_GB2312" w:eastAsia="仿宋_GB2312"/>
          <w:sz w:val="32"/>
          <w:szCs w:val="32"/>
        </w:rPr>
        <w:t>（一）收入决算说明</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2024年度本年收入合计18149.31万元，比上年增加3256.98万元，增长21.87%。</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财政拨款收入16866.02万元，占收入合计的92.93%。其中：一般公共预算财政拨款收入13735.24万元，占收入合计的75.68%；政府性基金预算财政拨款收入3130.78万元，占收入合计的17.25%；国有资本经营预算财政拨款收入0万元，占收入合计的0%；</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2.上级补助收入0万元，占收入合计的0%；</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3.事业收入0万元，占收入合计的0%；</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4.经营收入0万元，占收入合计的0%；</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5.附属单位上缴收入0万元，占收入合计的0%；</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6.其他收入1283.29万元，占收入合计的7.07%。</w:t>
      </w:r>
    </w:p>
    <w:p>
      <w:pPr>
        <w:pStyle w:val="3"/>
        <w:spacing w:before="156" w:after="156"/>
        <w:jc w:val="center"/>
      </w:pPr>
      <w:r>
        <w:rPr>
          <w:rFonts w:hint="eastAsia" w:ascii="仿宋_GB2312" w:eastAsia="仿宋_GB2312"/>
          <w:color w:val="000000"/>
          <w:sz w:val="32"/>
        </w:rPr>
        <w:t>图1：收入决算</w:t>
      </w:r>
    </w:p>
    <w:p>
      <w:pPr>
        <w:pStyle w:val="4"/>
        <w:ind w:firstLine="420"/>
        <w:jc w:val="center"/>
      </w:pPr>
      <w:r>
        <w:pict>
          <v:shape id="_x0000_i1025" o:spt="75" type="#_x0000_t75" style="height:182.5pt;width:318.15pt;" filled="f" o:preferrelative="t" stroked="f" coordsize="21600,21600">
            <v:path/>
            <v:fill on="f" focussize="0,0"/>
            <v:stroke on="f" joinstyle="miter"/>
            <v:imagedata r:id="rId24" o:title=""/>
            <o:lock v:ext="edit" aspectratio="t"/>
            <w10:wrap type="none"/>
            <w10:anchorlock/>
          </v:shape>
        </w:pict>
      </w:r>
    </w:p>
    <w:p>
      <w:pPr>
        <w:tabs>
          <w:tab w:val="center" w:pos="6979"/>
        </w:tabs>
        <w:spacing w:line="580" w:lineRule="exact"/>
        <w:ind w:firstLine="480" w:firstLineChars="150"/>
        <w:rPr>
          <w:rFonts w:hint="eastAsia" w:ascii="仿宋_GB2312" w:eastAsia="仿宋_GB2312"/>
          <w:sz w:val="32"/>
          <w:szCs w:val="32"/>
        </w:rPr>
      </w:pPr>
      <w:r>
        <w:rPr>
          <w:rFonts w:hint="eastAsia" w:ascii="仿宋_GB2312" w:eastAsia="仿宋_GB2312"/>
          <w:sz w:val="32"/>
          <w:szCs w:val="32"/>
        </w:rPr>
        <w:t>（二）支出决算说明</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2024年度本年支出合计18444.39万元，比上年增加2354.30万元，增长14.63%。，其中：基本支出2509.65万元，占支出合计的13.61%；项目支出15934.75万元，占支出合计的86.39%;上缴上级支出0万元，占支出合计的0%；经营支出0万元，占支出合计的0%；对附属单位补助支出0万元，占支出合计的0%。</w:t>
      </w:r>
    </w:p>
    <w:p>
      <w:pPr>
        <w:pStyle w:val="3"/>
        <w:spacing w:before="156" w:after="156"/>
        <w:ind w:firstLine="642"/>
        <w:jc w:val="center"/>
        <w:rPr>
          <w:rFonts w:ascii="仿宋_GB2312" w:eastAsia="仿宋_GB2312"/>
          <w:color w:val="000000"/>
          <w:sz w:val="32"/>
        </w:rPr>
      </w:pPr>
      <w:r>
        <w:rPr>
          <w:rFonts w:hint="eastAsia" w:ascii="仿宋_GB2312" w:eastAsia="仿宋_GB2312"/>
          <w:color w:val="000000"/>
          <w:sz w:val="32"/>
        </w:rPr>
        <w:t>图2：基本支出和项目支出情况</w:t>
      </w:r>
    </w:p>
    <w:p>
      <w:pPr>
        <w:jc w:val="center"/>
        <w:rPr>
          <w:rFonts w:ascii="黑体" w:eastAsia="黑体"/>
          <w:b/>
          <w:sz w:val="28"/>
          <w:szCs w:val="28"/>
        </w:rPr>
      </w:pPr>
      <w:r>
        <w:pict>
          <v:shape id="_x0000_i1026" o:spt="75" type="#_x0000_t75" style="height:216pt;width:360pt;" filled="f" o:preferrelative="t" stroked="f" coordsize="21600,21600">
            <v:path/>
            <v:fill on="f" focussize="0,0"/>
            <v:stroke on="f" joinstyle="miter"/>
            <v:imagedata r:id="rId25" o:title=""/>
            <o:lock v:ext="edit" aspectratio="t"/>
            <w10:wrap type="none"/>
            <w10:anchorlock/>
          </v:shape>
        </w:pict>
      </w:r>
    </w:p>
    <w:p>
      <w:pPr>
        <w:tabs>
          <w:tab w:val="center" w:pos="6979"/>
        </w:tabs>
        <w:spacing w:line="580" w:lineRule="exact"/>
        <w:ind w:firstLine="627" w:firstLineChars="196"/>
        <w:rPr>
          <w:rFonts w:ascii="黑体" w:eastAsia="黑体"/>
          <w:b/>
          <w:sz w:val="32"/>
          <w:szCs w:val="32"/>
        </w:rPr>
      </w:pPr>
      <w:r>
        <w:rPr>
          <w:rFonts w:hint="eastAsia" w:ascii="黑体" w:eastAsia="黑体"/>
          <w:b/>
          <w:sz w:val="32"/>
          <w:szCs w:val="32"/>
        </w:rPr>
        <w:t>三</w:t>
      </w:r>
      <w:r>
        <w:rPr>
          <w:rFonts w:ascii="黑体" w:eastAsia="黑体"/>
          <w:b/>
          <w:sz w:val="32"/>
          <w:szCs w:val="32"/>
        </w:rPr>
        <w:t>、财政拨款</w:t>
      </w:r>
      <w:r>
        <w:rPr>
          <w:rFonts w:hint="eastAsia" w:ascii="黑体" w:eastAsia="黑体"/>
          <w:b/>
          <w:sz w:val="32"/>
          <w:szCs w:val="32"/>
        </w:rPr>
        <w:t>收入支出决算</w:t>
      </w:r>
      <w:r>
        <w:rPr>
          <w:rFonts w:ascii="黑体" w:eastAsia="黑体"/>
          <w:b/>
          <w:sz w:val="32"/>
          <w:szCs w:val="32"/>
        </w:rPr>
        <w:t>总体情况说明</w:t>
      </w:r>
    </w:p>
    <w:p>
      <w:pPr>
        <w:tabs>
          <w:tab w:val="center" w:pos="6979"/>
        </w:tabs>
        <w:spacing w:line="580" w:lineRule="exact"/>
        <w:ind w:firstLine="570"/>
        <w:rPr>
          <w:rFonts w:ascii="仿宋_GB2312" w:eastAsia="仿宋_GB2312"/>
          <w:color w:val="FF0000"/>
          <w:sz w:val="28"/>
          <w:szCs w:val="28"/>
        </w:rPr>
      </w:pPr>
      <w:r>
        <w:rPr>
          <w:rFonts w:hint="eastAsia" w:ascii="仿宋" w:hAnsi="仿宋" w:eastAsia="仿宋" w:cs="仿宋"/>
          <w:sz w:val="32"/>
          <w:szCs w:val="32"/>
        </w:rPr>
        <w:t>2024年度财政拨款收、支总计17161.1万元，比上年增加1071.01万元，增长6.66%。主要原因：拨付了美丽乡村等重大工程项目。</w:t>
      </w:r>
    </w:p>
    <w:p>
      <w:pPr>
        <w:tabs>
          <w:tab w:val="center" w:pos="6979"/>
        </w:tabs>
        <w:spacing w:line="580" w:lineRule="exact"/>
        <w:ind w:firstLine="627" w:firstLineChars="196"/>
        <w:rPr>
          <w:rFonts w:hint="eastAsia" w:ascii="黑体" w:eastAsia="黑体"/>
          <w:b/>
          <w:sz w:val="32"/>
          <w:szCs w:val="32"/>
        </w:rPr>
      </w:pPr>
      <w:r>
        <w:rPr>
          <w:rFonts w:hint="eastAsia" w:ascii="黑体" w:eastAsia="黑体"/>
          <w:b/>
          <w:sz w:val="32"/>
          <w:szCs w:val="32"/>
        </w:rPr>
        <w:t>四、一般公共预算财政拨款支出决算情况说明</w:t>
      </w:r>
    </w:p>
    <w:p>
      <w:pPr>
        <w:autoSpaceDE w:val="0"/>
        <w:autoSpaceDN w:val="0"/>
        <w:adjustRightInd w:val="0"/>
        <w:spacing w:line="580" w:lineRule="exact"/>
        <w:ind w:firstLine="640" w:firstLineChars="200"/>
        <w:jc w:val="left"/>
        <w:rPr>
          <w:rFonts w:ascii="仿宋_GB2312" w:eastAsia="仿宋_GB2312"/>
          <w:sz w:val="28"/>
          <w:szCs w:val="28"/>
        </w:rPr>
      </w:pPr>
      <w:r>
        <w:rPr>
          <w:rFonts w:hint="eastAsia" w:ascii="仿宋_GB2312" w:eastAsia="仿宋_GB2312"/>
          <w:sz w:val="32"/>
          <w:szCs w:val="32"/>
        </w:rPr>
        <w:t>（一）一般公共预算财政拨款支出决算总体情况</w:t>
      </w:r>
    </w:p>
    <w:p>
      <w:pPr>
        <w:tabs>
          <w:tab w:val="center" w:pos="6979"/>
        </w:tabs>
        <w:spacing w:line="580" w:lineRule="exact"/>
        <w:ind w:firstLine="640" w:firstLineChars="200"/>
        <w:rPr>
          <w:rFonts w:ascii="仿宋_GB2312" w:eastAsia="仿宋_GB2312"/>
          <w:sz w:val="28"/>
          <w:szCs w:val="28"/>
        </w:rPr>
      </w:pPr>
      <w:r>
        <w:rPr>
          <w:rFonts w:hint="eastAsia" w:ascii="仿宋" w:hAnsi="仿宋" w:eastAsia="仿宋" w:cs="仿宋"/>
          <w:sz w:val="32"/>
          <w:szCs w:val="32"/>
        </w:rPr>
        <w:t>2024年度一般公共预算财政拨款支出13968.24万元，主要用于以下方面：一般公共服务支出5262.62万元，占本年财政拨款支出37.68%； 公共安全支出0.42万元，占本年财政拨款支出0.03%；文化旅游体育与传媒支出349.57万元，占本年财政拨款支出2.50%；社会保障和就业支出473.73万元，占本年财政拨款支出3.39%；卫生健康支出188.41万元，占本年财政拨款支出1.35%；节能环保支出641.23万元，占本年财政拨款支出4.59%；城乡社区支出1489.33万元，占本年财政拨款支出10.66%；农林水支出4790.2万元，占本年财政拨款支出34.29%；资源勘探工业信息等支出731.25万元，占本年财政拨款支出5.24%；灾害防治及应急管理支出41.48万元，占本年财政拨款支出3%。</w:t>
      </w:r>
    </w:p>
    <w:p>
      <w:pPr>
        <w:spacing w:line="580" w:lineRule="exact"/>
        <w:ind w:firstLine="640" w:firstLineChars="200"/>
        <w:rPr>
          <w:rFonts w:ascii="仿宋_GB2312" w:eastAsia="仿宋_GB2312"/>
          <w:sz w:val="28"/>
          <w:szCs w:val="28"/>
        </w:rPr>
      </w:pPr>
      <w:r>
        <w:rPr>
          <w:rFonts w:hint="eastAsia" w:ascii="仿宋_GB2312" w:eastAsia="仿宋_GB2312"/>
          <w:sz w:val="32"/>
          <w:szCs w:val="32"/>
        </w:rPr>
        <w:t>（二）一般公共预算财政拨款支出决算具体情况</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1、“一般公共服务支出”2024年度决算5262.62万元，比2024年度年初预算增加1173.84万元，增长28.71%。其中：</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“人大事务”2024年度决算0万元，比2024年度年初预算减少20万元，下降100%。主要原因：该项目资金并未支出。</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“政府办公厅及相关机构事务”2024年度决算5240.56万元，比2024年度年初预算增加1181.78万元，增长29.12%。主要原因：增加了中医药三成示范社区建设项目、大岭村基础设施提升改造项目</w:t>
      </w:r>
      <w:bookmarkStart w:id="0" w:name="_GoBack"/>
      <w:bookmarkEnd w:id="0"/>
      <w:r>
        <w:rPr>
          <w:rFonts w:hint="eastAsia" w:ascii="仿宋" w:hAnsi="仿宋" w:eastAsia="仿宋" w:cs="仿宋"/>
          <w:sz w:val="32"/>
          <w:szCs w:val="32"/>
        </w:rPr>
        <w:t>以及美丽乡村建设工程等项目。</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“统计信息事务”2024年度决算8.96万元，比2024年度年初预算增加8.96万元，增长100%。主要原因：增加了2024年人口抽样调查劳务费。</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“纪检监察事务”2024年度决算0万元，比2024年度年初预算减少10万元，下降100X%。主要原因：该项目资金并未支出。</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“其他共产党事务支出”2024年度决算0.2万元，比2024年度年初预算增加0.2万元，增长100%。主要原因：订购报刊</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“社会工作事务”2024年度决算12.89万元，比2024年度年初预算增加12.89万元，增长100%。主要原因：增加心飞扬社会工作事务所2024年社会工作服务平台建设项目。</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2、“公共安全支出”2024年度决算0.42万元，比2024年度年初预算增加0.42万元，增长100%。其中：</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“公安”2024年度决算0.42万元，比2024年度年初预算增加0.42万元，增长100%。主要原因：拨付个人淘汰违规电动三四轮车奖励。</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3、“文化旅游体育与传媒支出”2024年度决算349.57万元，比2024年度年初预算增加145.55万元，增长71.34%。其中：</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“文化和旅游”2024年度决算349.57万元，比2024年度年初预算增加145.55万元，增长71.34%。主要原因：增加西邵渠村民间文化艺术之乡培育建项目以及文化中心维修改造项目。</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4、“社会保障和就业支出”2024年度决算473.73万元，比2024年度年初预算增加86.52万元，增长22.34%。其中：</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“人力资源和社会保障管理事务”2024年度决算175.54万元，比2024年度年初预算增加175.54万元，增长100%。主要原因：增加“三支一扶”计划人员经费项目。</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“民政管理事务”2024年度决算17.93万元，比2024年度年初预算增加17.93万元，增长100%。主要原因拨付严重精神患者监护人看护补助。</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“行政事业单位养老支出”2024年度决算230.96万元，比2024年度年初预算减少156.25万元，下降40.35%。主要原因：拨付退休金。</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“残疾人事业”2024年度决算48.8万元，比2024年度年初预算增加48.8万元，增长100%。主要原因：拨付残疾人温馨家园运转经费。</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“其他生活救助”2024年度决算0.5万元，比2024年度年初预算增加0.5万元，增长100%。主要原因：增加界牌村郑瑞军丧葬补贴资金。</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5、“卫生健康支出”2024年度决算188.41万元，比2024年度年初预算减少29.35万元，下降13.48%。其中：</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“计划生育事务”2024年度决算6.01万元，比2024年度年初预算增加6.01万元，增长100%。主要原因：增加2024年村居专干补贴资金。</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“行政事业单位医疗”2024年度决算132.4万元，比2024年度年初预算减少85.36万元，下降39.2%。主要原因：上缴社会保障医疗保险等费用</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“中医药事务”2024年度决算50万元，比2024年度年初预算增加50万元，增长100%。主要原因：拨付中医药三成示范社区建设资金</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6、“节能环保支出”2024年度决算641.23万元，比2024年度年初预算增加641.23万元，增长100%。其中：</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“污染防治”2024年度决算641.23万元，比2024年度年初预算增加641.23万元，增长100%。主要原因：拨付东邵渠镇煤改清洁能源安装变压器工程款。</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7、“城乡社区支出”2024年度决算1489.33万元，比2024年度年初预算增加475.2万元，增长46.86%。其中：</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“城乡社区管理事务”2024年度决算39.1万元，比2024年度年初预算增加5.5万元，增16.37长%。主要原因：增加界牌、小岭接诉即办工作奖励项目。</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“城乡社区规划与管理”2024年度决算38万元，比2024年度年初预算增加38万元，增长100%。主要原因：拨付治违工作经费。</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“城乡社区公共设施”2024年度决算689.11万元，比2024年度年初预算增加689.11万元，增长100%。主要原因：增加美丽乡村供水及污水前端系统工程项目。</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“城乡社区环境卫生”2024年度决算723.12万元，比2024年度年初预算减少257.41万元，下降26.25%。主要原因：增加鸿渐腾飞生活垃圾分类项目。</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8、“农林水支出”2024年度决算4790.2万元，比2024年度年初预算增加3379.14万元，增长239.48%。其中：</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“农业农村”2024年度决算3999.01万元，比2024年度年初预算增加2587.95万元，增长183.40%。主要原因：增加2024甘薯产业秧苗项目以及农村卫生室标准化建设项目。</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“林业和草原”2024年度决算409.53万元，比2024年度年初预算增加409.53万元，增长100%。主要原因：增加防火护栏、防火带、灭火站维修等修建项目工程。</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“水利”2024年度决算47.51万元，比2024年度年初预算增加47.51万元，增长100%。主要原因：增加供水井房全面维修项目、水表入户安装项目以及供水设备运行维护项目。</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“巩固</w:t>
      </w:r>
      <w:r>
        <w:rPr>
          <w:rFonts w:hint="eastAsia" w:ascii="仿宋" w:hAnsi="仿宋" w:eastAsia="仿宋" w:cs="仿宋"/>
          <w:sz w:val="32"/>
          <w:szCs w:val="32"/>
          <w:lang w:val="en-US" w:eastAsia="zh-CN"/>
        </w:rPr>
        <w:t>拓展</w:t>
      </w:r>
      <w:r>
        <w:rPr>
          <w:rFonts w:hint="eastAsia" w:ascii="仿宋" w:hAnsi="仿宋" w:eastAsia="仿宋" w:cs="仿宋"/>
          <w:sz w:val="32"/>
          <w:szCs w:val="32"/>
        </w:rPr>
        <w:t>脱贫攻坚成果衔接乡村振兴”2024年度决算30万元，比2024年度年初预算增加30万元，增长100%。主要原因：拨付太保庄村冷链保鲜设备购置项目资金。</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“其他农林水支出”2024年度决算304.14万元，比2024年度年初预算增加304.14万元，增长100%。主要原因：增加积存建筑垃圾清理工程、道桥建设工程项目等。</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9、“资源勘探工业信息等支出”2024年度决算731.25万元，比2024年度年初预算减少68.75万元，下降8.59%。其中：</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“支持中小企业发展和管理支出”2024年度决算731.25万元，比2024年度年初预算减少68.75万元，下降8.59%。主要原因：拨付扶持企业奖励资金。</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10、“灾害防治及应急管理支出”2024年度决算41.48万元，比2024年度年初预算增加41.48万元，增长100%。其中：</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“应急管理事务”2024年度决算6.48万元，比2024年度年初预算增加6.48万元，增长100%。主要原因：拨付兼职安全生产巡查员岗位津贴。</w:t>
      </w:r>
    </w:p>
    <w:p>
      <w:pPr>
        <w:tabs>
          <w:tab w:val="center" w:pos="6979"/>
        </w:tabs>
        <w:spacing w:line="580" w:lineRule="exact"/>
        <w:ind w:firstLine="640" w:firstLineChars="200"/>
        <w:rPr>
          <w:rFonts w:ascii="仿宋_GB2312" w:eastAsia="仿宋_GB2312"/>
          <w:sz w:val="28"/>
          <w:szCs w:val="28"/>
        </w:rPr>
      </w:pPr>
      <w:r>
        <w:rPr>
          <w:rFonts w:hint="eastAsia" w:ascii="仿宋" w:hAnsi="仿宋" w:eastAsia="仿宋" w:cs="仿宋"/>
          <w:sz w:val="32"/>
          <w:szCs w:val="32"/>
        </w:rPr>
        <w:t>“自然灾害救灾及恢复重建支出”2024年度决算35万元，比2024年度年初预算增加35万元，增长100%。主要原因：拨付2022年地质灾害治理项目资金。</w:t>
      </w:r>
    </w:p>
    <w:p>
      <w:pPr>
        <w:spacing w:line="580" w:lineRule="exact"/>
        <w:ind w:firstLine="640" w:firstLineChars="200"/>
        <w:rPr>
          <w:rFonts w:ascii="仿宋_GB2312" w:eastAsia="仿宋_GB2312"/>
          <w:sz w:val="32"/>
          <w:szCs w:val="32"/>
        </w:rPr>
      </w:pPr>
      <w:r>
        <w:rPr>
          <w:rFonts w:hint="eastAsia" w:ascii="黑体" w:eastAsia="黑体"/>
          <w:b/>
          <w:sz w:val="32"/>
          <w:szCs w:val="32"/>
        </w:rPr>
        <w:t>五、政府性基金预算财政拨款支出决算情况说明</w:t>
      </w:r>
    </w:p>
    <w:p>
      <w:pPr>
        <w:autoSpaceDE w:val="0"/>
        <w:autoSpaceDN w:val="0"/>
        <w:adjustRightInd w:val="0"/>
        <w:spacing w:line="580" w:lineRule="exact"/>
        <w:ind w:firstLine="640" w:firstLineChars="200"/>
        <w:jc w:val="left"/>
        <w:rPr>
          <w:rFonts w:ascii="仿宋_GB2312" w:eastAsia="仿宋_GB2312"/>
          <w:sz w:val="28"/>
          <w:szCs w:val="28"/>
        </w:rPr>
      </w:pPr>
      <w:r>
        <w:rPr>
          <w:rFonts w:hint="eastAsia" w:ascii="仿宋_GB2312" w:eastAsia="仿宋_GB2312"/>
          <w:sz w:val="32"/>
          <w:szCs w:val="32"/>
        </w:rPr>
        <w:t>（一）政府性基金预算财政拨款支出决算总体情况</w:t>
      </w:r>
    </w:p>
    <w:p>
      <w:pPr>
        <w:tabs>
          <w:tab w:val="center" w:pos="6979"/>
        </w:tabs>
        <w:spacing w:line="580" w:lineRule="exact"/>
        <w:ind w:firstLine="640" w:firstLineChars="200"/>
        <w:rPr>
          <w:rFonts w:ascii="仿宋_GB2312" w:eastAsia="仿宋_GB2312"/>
          <w:sz w:val="28"/>
          <w:szCs w:val="28"/>
        </w:rPr>
      </w:pPr>
      <w:r>
        <w:rPr>
          <w:rFonts w:hint="eastAsia" w:ascii="仿宋" w:hAnsi="仿宋" w:eastAsia="仿宋" w:cs="仿宋"/>
          <w:sz w:val="32"/>
          <w:szCs w:val="32"/>
        </w:rPr>
        <w:t>2024年度政府性基金预算财政拨款支出3192.86万元，主要用于以下方面：城乡社区支出3014.89万元，占本年财政拨款支出94.43%；农林水支出161.84万元，占本年财政拨款支出5.07%；其他支出万16.13元，占本年财政拨款支出0.5%。</w:t>
      </w:r>
    </w:p>
    <w:p>
      <w:pPr>
        <w:autoSpaceDE w:val="0"/>
        <w:autoSpaceDN w:val="0"/>
        <w:adjustRightInd w:val="0"/>
        <w:spacing w:line="580" w:lineRule="exact"/>
        <w:ind w:firstLine="640" w:firstLineChars="200"/>
        <w:jc w:val="left"/>
        <w:rPr>
          <w:rFonts w:hint="eastAsia" w:ascii="仿宋_GB2312" w:eastAsia="仿宋_GB2312"/>
          <w:sz w:val="32"/>
          <w:szCs w:val="32"/>
        </w:rPr>
      </w:pPr>
      <w:r>
        <w:rPr>
          <w:rFonts w:hint="eastAsia" w:ascii="仿宋_GB2312" w:eastAsia="仿宋_GB2312"/>
          <w:sz w:val="32"/>
          <w:szCs w:val="32"/>
        </w:rPr>
        <w:t>（二）政府性基金预算财政拨款支出决算具体情况</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1、“城乡社区支出”2024年度决算3014.89元，比2024年度年初预算增加3014.89万元，增长100%。其中：</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国有土地使用权出让收入安排的支出”2024年度决算3014.89万元，比2024年度年初预算增加3014.89万元，增长100%。主要原因：增加污水配套管网基础设施建设工程、汛后水毁河道修复工程、土地流转复耕、高标准农田以及8个图斑工程项目。</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2、“农林水支出”2024年度决算161.84万元，比2024年度年初预算增加161.84万元，增长100%其中：</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“大中型水库移民后期扶持基金支出”2024年度决算161.84万元，比2024年度年初预算增加161.84万元，增长100%。主要原因：增加水库移民扶持项目、雨排水改造及蓄水池修复项目。</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3、“其他支出”2024年度决算16.13万元，比2024年度年初预算增加16.13万元，增长100%其中：</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“彩票公益金安排的支出”2024年度决算16.13万元，比2024年度年初预算增加16.13万元，增长100%。主要原因：增加试点探索农村邻里互助养老服务点项目。</w:t>
      </w:r>
    </w:p>
    <w:p>
      <w:pPr>
        <w:spacing w:line="580" w:lineRule="exact"/>
        <w:ind w:firstLine="640" w:firstLineChars="200"/>
        <w:rPr>
          <w:rFonts w:ascii="黑体" w:eastAsia="黑体"/>
          <w:b/>
          <w:sz w:val="32"/>
          <w:szCs w:val="32"/>
        </w:rPr>
      </w:pPr>
      <w:r>
        <w:rPr>
          <w:rFonts w:hint="eastAsia" w:ascii="黑体" w:eastAsia="黑体"/>
          <w:b/>
          <w:sz w:val="32"/>
          <w:szCs w:val="32"/>
        </w:rPr>
        <w:t>六、国有资本经营预算财</w:t>
      </w:r>
      <w:r>
        <w:rPr>
          <w:rFonts w:ascii="黑体" w:eastAsia="黑体"/>
          <w:b/>
          <w:sz w:val="32"/>
          <w:szCs w:val="32"/>
        </w:rPr>
        <w:t>政拨款</w:t>
      </w:r>
      <w:r>
        <w:rPr>
          <w:rFonts w:hint="eastAsia" w:ascii="黑体" w:eastAsia="黑体"/>
          <w:b/>
          <w:sz w:val="32"/>
          <w:szCs w:val="32"/>
        </w:rPr>
        <w:t>收支情况</w:t>
      </w:r>
    </w:p>
    <w:p>
      <w:pPr>
        <w:tabs>
          <w:tab w:val="center" w:pos="6979"/>
        </w:tabs>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本单位无此项经费</w:t>
      </w:r>
      <w:r>
        <w:rPr>
          <w:rFonts w:hint="eastAsia" w:ascii="仿宋" w:hAnsi="仿宋" w:eastAsia="仿宋" w:cs="仿宋"/>
          <w:sz w:val="32"/>
          <w:szCs w:val="32"/>
        </w:rPr>
        <w:t>。</w:t>
      </w:r>
    </w:p>
    <w:p>
      <w:pPr>
        <w:spacing w:line="580" w:lineRule="exact"/>
        <w:ind w:firstLine="627" w:firstLineChars="196"/>
        <w:rPr>
          <w:rFonts w:ascii="黑体" w:eastAsia="黑体"/>
          <w:sz w:val="32"/>
          <w:szCs w:val="32"/>
        </w:rPr>
      </w:pPr>
      <w:r>
        <w:rPr>
          <w:rFonts w:hint="eastAsia" w:ascii="黑体" w:eastAsia="黑体"/>
          <w:b/>
          <w:sz w:val="32"/>
          <w:szCs w:val="32"/>
        </w:rPr>
        <w:t>七、财政拨款基本支出决算情况说明</w:t>
      </w:r>
    </w:p>
    <w:p>
      <w:pPr>
        <w:tabs>
          <w:tab w:val="center" w:pos="6979"/>
        </w:tabs>
        <w:spacing w:line="580" w:lineRule="exact"/>
        <w:ind w:firstLine="627" w:firstLineChars="196"/>
        <w:rPr>
          <w:rFonts w:hint="eastAsia" w:ascii="仿宋" w:hAnsi="仿宋" w:eastAsia="仿宋" w:cs="仿宋"/>
          <w:sz w:val="32"/>
          <w:szCs w:val="32"/>
        </w:rPr>
      </w:pPr>
      <w:r>
        <w:rPr>
          <w:rFonts w:hint="eastAsia" w:ascii="仿宋" w:hAnsi="仿宋" w:eastAsia="仿宋" w:cs="仿宋"/>
          <w:sz w:val="32"/>
          <w:szCs w:val="32"/>
        </w:rPr>
        <w:t>2024年度使用一般公共预算财政拨款安排基本支出2509.65万元，使用政府性基金财政拨款安排基本支出0万元，其中：（1）工资福利支出包括基本工资、津贴补贴、奖金、伙食补助费、绩效工资、其他社会保障缴费、其他工资福利等支出；（2）商品和服务支出包括办公费、印刷费、咨询费、手续费、水费、电费、邮电费、取暖费、物业管理费、差旅费、因公出国（境）费、维修（护）费、租赁费、会议费、培训费、公务接待费、专用材料费、劳务费、委托业务费、工会经费、福利费、公务用车运行维护费、其他交通费、其他商品和服务等支出；（3）对个人和家庭补助支出包括离休费、退休费、抚恤金、生活补助、救济费、医疗费补助、助学金、奖励金、其他对个人和家庭的补助等支出。（4）其他资本性支出包括办公设备购置、专用设备购置等。</w:t>
      </w:r>
    </w:p>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ascii="宋体" w:hAnsi="宋体" w:cs="宋体"/>
          <w:b/>
          <w:spacing w:val="40"/>
          <w:kern w:val="0"/>
          <w:sz w:val="32"/>
          <w:szCs w:val="32"/>
        </w:rPr>
      </w:pPr>
      <w:r>
        <w:rPr>
          <w:rFonts w:ascii="仿宋_GB2312" w:eastAsia="仿宋_GB2312"/>
          <w:sz w:val="28"/>
          <w:szCs w:val="28"/>
        </w:rPr>
        <w:br w:type="page"/>
      </w:r>
      <w:r>
        <w:rPr>
          <w:rFonts w:hint="eastAsia" w:ascii="宋体" w:hAnsi="宋体" w:cs="宋体"/>
          <w:b/>
          <w:bCs/>
          <w:spacing w:val="40"/>
          <w:w w:val="96"/>
          <w:kern w:val="0"/>
          <w:sz w:val="44"/>
          <w:szCs w:val="44"/>
        </w:rPr>
        <w:t>第三部分</w:t>
      </w:r>
      <w:r>
        <w:rPr>
          <w:rFonts w:hint="eastAsia" w:ascii="宋体" w:hAnsi="宋体"/>
          <w:b/>
          <w:spacing w:val="40"/>
          <w:w w:val="96"/>
          <w:sz w:val="44"/>
          <w:szCs w:val="44"/>
        </w:rPr>
        <w:t>2024年度</w:t>
      </w:r>
      <w:r>
        <w:rPr>
          <w:rFonts w:hint="eastAsia" w:ascii="宋体" w:hAnsi="宋体" w:cs="宋体"/>
          <w:b/>
          <w:spacing w:val="40"/>
          <w:w w:val="96"/>
          <w:kern w:val="0"/>
          <w:sz w:val="44"/>
          <w:szCs w:val="44"/>
        </w:rPr>
        <w:t>其他重要事项的情况说明</w:t>
      </w:r>
    </w:p>
    <w:p>
      <w:pPr>
        <w:spacing w:line="580" w:lineRule="exact"/>
        <w:ind w:firstLine="627" w:firstLineChars="196"/>
        <w:rPr>
          <w:rFonts w:hint="eastAsia" w:ascii="黑体" w:eastAsia="黑体"/>
          <w:b/>
          <w:sz w:val="32"/>
          <w:szCs w:val="32"/>
        </w:rPr>
      </w:pPr>
      <w:r>
        <w:rPr>
          <w:rFonts w:hint="eastAsia" w:ascii="黑体" w:eastAsia="黑体"/>
          <w:b/>
          <w:sz w:val="32"/>
          <w:szCs w:val="32"/>
        </w:rPr>
        <w:t>一、“三公”经费财政拨款决算情况</w:t>
      </w:r>
    </w:p>
    <w:p>
      <w:pPr>
        <w:tabs>
          <w:tab w:val="center" w:pos="6979"/>
        </w:tabs>
        <w:spacing w:line="580" w:lineRule="exact"/>
        <w:ind w:firstLine="627" w:firstLineChars="196"/>
        <w:rPr>
          <w:rFonts w:hint="eastAsia" w:ascii="仿宋" w:hAnsi="仿宋" w:eastAsia="仿宋" w:cs="仿宋"/>
          <w:sz w:val="32"/>
          <w:szCs w:val="32"/>
        </w:rPr>
      </w:pPr>
      <w:r>
        <w:rPr>
          <w:rFonts w:hint="eastAsia" w:ascii="仿宋" w:hAnsi="仿宋" w:eastAsia="仿宋" w:cs="仿宋"/>
          <w:sz w:val="32"/>
          <w:szCs w:val="32"/>
        </w:rPr>
        <w:t>“三公”经费包括本部门/单位所属1个行政单位、0个参照公务员法管理事业单位、0个事业单位。2024年度“三公”经费财政拨款决算数26.7万元，比2024年度“三公”经费财政拨款年初预算26.71万元减少0.01万元。其中：</w:t>
      </w:r>
    </w:p>
    <w:p>
      <w:pPr>
        <w:tabs>
          <w:tab w:val="center" w:pos="6979"/>
        </w:tabs>
        <w:spacing w:line="580" w:lineRule="exact"/>
        <w:ind w:firstLine="627" w:firstLineChars="196"/>
        <w:rPr>
          <w:rFonts w:hint="eastAsia" w:ascii="仿宋" w:hAnsi="仿宋" w:eastAsia="仿宋" w:cs="仿宋"/>
          <w:sz w:val="32"/>
          <w:szCs w:val="32"/>
        </w:rPr>
      </w:pPr>
      <w:r>
        <w:rPr>
          <w:rFonts w:hint="eastAsia" w:ascii="仿宋" w:hAnsi="仿宋" w:eastAsia="仿宋" w:cs="仿宋"/>
          <w:sz w:val="32"/>
          <w:szCs w:val="32"/>
        </w:rPr>
        <w:t>1.因公出国（境）费用。2024年度决算数0万元，比2024年度年初预算数0万元增加（减少）0万元。主要原因：无增减项目；2024年度因公出国（境）费用主要用于……等方面（需列示主要出国的会议、培训等事项），2024年度组织因公出国（境）团组0个、0人次，人均因公出国（境）费用0万元。</w:t>
      </w:r>
    </w:p>
    <w:p>
      <w:pPr>
        <w:tabs>
          <w:tab w:val="center" w:pos="6979"/>
        </w:tabs>
        <w:spacing w:line="580" w:lineRule="exact"/>
        <w:ind w:firstLine="627" w:firstLineChars="196"/>
        <w:rPr>
          <w:rFonts w:hint="eastAsia" w:ascii="仿宋" w:hAnsi="仿宋" w:eastAsia="仿宋" w:cs="仿宋"/>
          <w:sz w:val="32"/>
          <w:szCs w:val="32"/>
        </w:rPr>
      </w:pPr>
      <w:r>
        <w:rPr>
          <w:rFonts w:hint="eastAsia" w:ascii="仿宋" w:hAnsi="仿宋" w:eastAsia="仿宋" w:cs="仿宋"/>
          <w:sz w:val="32"/>
          <w:szCs w:val="32"/>
        </w:rPr>
        <w:t>2.公务接待费。2024年度决算数0万元，比2024年度年初预算数0万元增加（减少）0万元。主要原因：无增减项目。公务接待0批次，公务接待0人次。</w:t>
      </w:r>
    </w:p>
    <w:p>
      <w:pPr>
        <w:tabs>
          <w:tab w:val="center" w:pos="6979"/>
        </w:tabs>
        <w:spacing w:line="580" w:lineRule="exact"/>
        <w:ind w:firstLine="627" w:firstLineChars="196"/>
        <w:rPr>
          <w:rFonts w:hint="eastAsia" w:ascii="仿宋" w:hAnsi="仿宋" w:eastAsia="仿宋" w:cs="仿宋"/>
          <w:sz w:val="32"/>
          <w:szCs w:val="32"/>
        </w:rPr>
      </w:pPr>
      <w:r>
        <w:rPr>
          <w:rFonts w:hint="eastAsia" w:ascii="仿宋" w:hAnsi="仿宋" w:eastAsia="仿宋" w:cs="仿宋"/>
          <w:sz w:val="32"/>
          <w:szCs w:val="32"/>
        </w:rPr>
        <w:t>3.公务用车购置及运行维护费。2024年度决算数26.7万元，比2024年度年初预算数26.71万元减少0.01万元。</w:t>
      </w:r>
    </w:p>
    <w:p>
      <w:pPr>
        <w:tabs>
          <w:tab w:val="center" w:pos="6979"/>
        </w:tabs>
        <w:spacing w:line="580" w:lineRule="exact"/>
        <w:ind w:firstLine="627" w:firstLineChars="196"/>
        <w:rPr>
          <w:rFonts w:ascii="仿宋_GB2312" w:eastAsia="仿宋_GB2312"/>
          <w:sz w:val="28"/>
          <w:szCs w:val="28"/>
        </w:rPr>
      </w:pPr>
      <w:r>
        <w:rPr>
          <w:rFonts w:hint="eastAsia" w:ascii="仿宋" w:hAnsi="仿宋" w:eastAsia="仿宋" w:cs="仿宋"/>
          <w:sz w:val="32"/>
          <w:szCs w:val="32"/>
        </w:rPr>
        <w:t>其中，公务用车购置费2024年度决算数0万元，比2024年度年初预算数0万元增加（减少）0万元。主要原因：无增减项目，2024年度购置（更新）0辆，车均购置费0万元。公务用车运行维护费2024年度决算数26.7万元，比2024年度年初预算数26.71万元减少0.01万元，主要原因：该项目花费少于预算。2024年度公务用车运行维护费中，公务用车加油6万元，公务用车维修18.49万元，公务用车保险1.74万元，公务用车其他支出0.47万元。2024年度公务用车保有量14辆，车均运行维护费1.91万元。</w:t>
      </w:r>
    </w:p>
    <w:p>
      <w:pPr>
        <w:tabs>
          <w:tab w:val="center" w:pos="6979"/>
        </w:tabs>
        <w:ind w:firstLine="633" w:firstLineChars="198"/>
        <w:rPr>
          <w:rFonts w:ascii="黑体" w:eastAsia="黑体"/>
          <w:sz w:val="28"/>
          <w:szCs w:val="28"/>
        </w:rPr>
      </w:pPr>
      <w:r>
        <w:rPr>
          <w:rFonts w:hint="eastAsia" w:ascii="黑体" w:eastAsia="黑体"/>
          <w:b/>
          <w:sz w:val="32"/>
          <w:szCs w:val="32"/>
        </w:rPr>
        <w:t>二、机关运行经费支出情况</w:t>
      </w:r>
    </w:p>
    <w:p>
      <w:pPr>
        <w:tabs>
          <w:tab w:val="center" w:pos="6979"/>
        </w:tabs>
        <w:spacing w:line="580" w:lineRule="exact"/>
        <w:ind w:firstLine="627" w:firstLineChars="196"/>
        <w:rPr>
          <w:rFonts w:hint="eastAsia" w:ascii="仿宋" w:hAnsi="仿宋" w:eastAsia="仿宋" w:cs="仿宋"/>
          <w:sz w:val="32"/>
          <w:szCs w:val="32"/>
        </w:rPr>
      </w:pPr>
      <w:r>
        <w:rPr>
          <w:rFonts w:hint="eastAsia" w:ascii="仿宋" w:hAnsi="仿宋" w:eastAsia="仿宋" w:cs="仿宋"/>
          <w:sz w:val="32"/>
          <w:szCs w:val="32"/>
        </w:rPr>
        <w:t>2024年度使用财政拨款安排的基本支出中的日常公用经费支出，合计164.93万元，比上年减少40.77万元，减少19.82%原因：该年并未有太多日常支出。</w:t>
      </w:r>
    </w:p>
    <w:p>
      <w:pPr>
        <w:tabs>
          <w:tab w:val="center" w:pos="6979"/>
        </w:tabs>
        <w:ind w:firstLine="633" w:firstLineChars="198"/>
        <w:rPr>
          <w:rFonts w:hint="eastAsia" w:ascii="黑体" w:eastAsia="黑体"/>
          <w:b/>
          <w:sz w:val="32"/>
          <w:szCs w:val="32"/>
        </w:rPr>
      </w:pPr>
      <w:r>
        <w:rPr>
          <w:rFonts w:hint="eastAsia" w:ascii="黑体" w:eastAsia="黑体"/>
          <w:b/>
          <w:sz w:val="32"/>
          <w:szCs w:val="32"/>
        </w:rPr>
        <w:t>三、政府采购支出情况</w:t>
      </w:r>
    </w:p>
    <w:p>
      <w:pPr>
        <w:ind w:firstLine="640" w:firstLineChars="200"/>
        <w:rPr>
          <w:rFonts w:ascii="仿宋_GB2312" w:eastAsia="仿宋_GB2312"/>
          <w:sz w:val="28"/>
          <w:szCs w:val="28"/>
          <w:highlight w:val="yellow"/>
        </w:rPr>
      </w:pPr>
      <w:r>
        <w:rPr>
          <w:rFonts w:hint="eastAsia" w:ascii="仿宋" w:hAnsi="仿宋" w:eastAsia="仿宋" w:cs="仿宋"/>
          <w:sz w:val="32"/>
          <w:szCs w:val="32"/>
        </w:rPr>
        <w:t>2024年度政府采购支出总额1.8万元，其中：政府采购货物支出0万元，政府采购工程支出0万元，政府采购服务支出1.8万元。授予中小企业合同金额0万元，占政府采购支出总额的0%，其中：授予小微企业合同金额0万元，占政府采购支出总额的0%。</w:t>
      </w:r>
    </w:p>
    <w:p>
      <w:pPr>
        <w:ind w:firstLine="640" w:firstLineChars="200"/>
        <w:rPr>
          <w:rFonts w:ascii="黑体" w:eastAsia="黑体"/>
          <w:sz w:val="28"/>
          <w:szCs w:val="28"/>
          <w:highlight w:val="yellow"/>
        </w:rPr>
      </w:pPr>
      <w:r>
        <w:rPr>
          <w:rFonts w:hint="eastAsia" w:ascii="黑体" w:eastAsia="黑体"/>
          <w:b/>
          <w:sz w:val="32"/>
          <w:szCs w:val="32"/>
        </w:rPr>
        <w:t>四、国有资产占用情况</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2024年度新购置车辆0台，共计0万元；新购置单位价值100万元（含）以上的设备0台（套），共计0万元。截至12月31日，本部门共有车辆14台，共计342.89万元；单位价值100万元（含）以上的设备0台（套），共计0万元。</w:t>
      </w:r>
    </w:p>
    <w:p>
      <w:pPr>
        <w:ind w:firstLine="614" w:firstLineChars="192"/>
        <w:rPr>
          <w:rFonts w:hint="eastAsia" w:ascii="黑体" w:eastAsia="黑体"/>
          <w:b/>
          <w:sz w:val="32"/>
          <w:szCs w:val="32"/>
        </w:rPr>
      </w:pPr>
      <w:r>
        <w:rPr>
          <w:rFonts w:hint="eastAsia" w:ascii="黑体" w:eastAsia="黑体"/>
          <w:b/>
          <w:sz w:val="32"/>
          <w:szCs w:val="32"/>
        </w:rPr>
        <w:t>五、政府购买服务支出说明</w:t>
      </w:r>
    </w:p>
    <w:p>
      <w:pPr>
        <w:ind w:firstLine="614" w:firstLineChars="192"/>
        <w:rPr>
          <w:rFonts w:ascii="仿宋_GB2312" w:eastAsia="仿宋_GB2312"/>
          <w:sz w:val="28"/>
          <w:szCs w:val="28"/>
        </w:rPr>
      </w:pPr>
      <w:r>
        <w:rPr>
          <w:rFonts w:hint="eastAsia" w:ascii="仿宋" w:hAnsi="仿宋" w:eastAsia="仿宋" w:cs="仿宋"/>
          <w:sz w:val="32"/>
          <w:szCs w:val="32"/>
        </w:rPr>
        <w:t>2024年度政府购买服务决算28.48万元</w:t>
      </w:r>
      <w:r>
        <w:rPr>
          <w:rFonts w:hint="eastAsia" w:ascii="仿宋_GB2312" w:eastAsia="仿宋_GB2312"/>
          <w:sz w:val="28"/>
          <w:szCs w:val="28"/>
        </w:rPr>
        <w:t>。</w:t>
      </w:r>
    </w:p>
    <w:p>
      <w:pPr>
        <w:ind w:firstLine="640" w:firstLineChars="200"/>
        <w:jc w:val="left"/>
        <w:rPr>
          <w:rFonts w:ascii="仿宋_GB2312" w:eastAsia="仿宋_GB2312"/>
          <w:color w:val="000000"/>
          <w:sz w:val="32"/>
          <w:szCs w:val="32"/>
        </w:rPr>
      </w:pPr>
      <w:r>
        <w:rPr>
          <w:rFonts w:hint="eastAsia" w:ascii="黑体" w:eastAsia="黑体"/>
          <w:b/>
          <w:sz w:val="32"/>
          <w:szCs w:val="32"/>
        </w:rPr>
        <w:t>六、专业名词解释</w:t>
      </w:r>
    </w:p>
    <w:p>
      <w:pPr>
        <w:ind w:firstLine="614" w:firstLineChars="192"/>
        <w:rPr>
          <w:rFonts w:hint="eastAsia" w:ascii="仿宋" w:hAnsi="仿宋" w:eastAsia="仿宋" w:cs="仿宋"/>
          <w:sz w:val="32"/>
          <w:szCs w:val="32"/>
        </w:rPr>
      </w:pPr>
      <w:r>
        <w:rPr>
          <w:rFonts w:hint="eastAsia" w:ascii="仿宋" w:hAnsi="仿宋" w:eastAsia="仿宋" w:cs="仿宋"/>
          <w:sz w:val="32"/>
          <w:szCs w:val="32"/>
        </w:rPr>
        <w:t>1.基本支出：指为保障机构正常运转、完成日常工作任务而发生的人员支出和公用支出。</w:t>
      </w:r>
    </w:p>
    <w:p>
      <w:pPr>
        <w:ind w:firstLine="614" w:firstLineChars="192"/>
        <w:rPr>
          <w:rFonts w:hint="eastAsia" w:ascii="仿宋" w:hAnsi="仿宋" w:eastAsia="仿宋" w:cs="仿宋"/>
          <w:sz w:val="32"/>
          <w:szCs w:val="32"/>
        </w:rPr>
      </w:pPr>
      <w:r>
        <w:rPr>
          <w:rFonts w:hint="eastAsia" w:ascii="仿宋" w:hAnsi="仿宋" w:eastAsia="仿宋" w:cs="仿宋"/>
          <w:sz w:val="32"/>
          <w:szCs w:val="32"/>
        </w:rPr>
        <w:t>2.项目支出：指在基本支出之外为完成特定行政任务或事业发展目标所发生的支出。</w:t>
      </w:r>
    </w:p>
    <w:p>
      <w:pPr>
        <w:ind w:firstLine="614" w:firstLineChars="192"/>
        <w:rPr>
          <w:rFonts w:hint="eastAsia" w:ascii="仿宋" w:hAnsi="仿宋" w:eastAsia="仿宋" w:cs="仿宋"/>
          <w:sz w:val="32"/>
          <w:szCs w:val="32"/>
        </w:rPr>
      </w:pPr>
      <w:r>
        <w:rPr>
          <w:rFonts w:hint="eastAsia" w:ascii="仿宋" w:hAnsi="仿宋" w:eastAsia="仿宋" w:cs="仿宋"/>
          <w:sz w:val="32"/>
          <w:szCs w:val="32"/>
        </w:rPr>
        <w:t>3.“三公”经费：是指单位通过财政拨款资金安排的因公出国（境）费、公务用车购置及运行费和公务接待费。其中，因公出国（境）费指单位公务出国（境）的国际旅费、国外城市间交通费、住宿费、伙食费、培训费、公杂费等支出；公务用车购置及运行费指单位公务用车购置支出（含车辆购置税、牌照费）及单位按规定保留的公务用车燃料费、维修费、过路过桥费、保险费、安全奖励费等支出；公务接待费指单位按规定开支的各类公务接待（含外宾接待）支出。</w:t>
      </w:r>
    </w:p>
    <w:p>
      <w:pPr>
        <w:ind w:firstLine="614" w:firstLineChars="192"/>
        <w:rPr>
          <w:rFonts w:hint="eastAsia" w:ascii="仿宋" w:hAnsi="仿宋" w:eastAsia="仿宋" w:cs="仿宋"/>
          <w:sz w:val="32"/>
          <w:szCs w:val="32"/>
        </w:rPr>
      </w:pPr>
      <w:r>
        <w:rPr>
          <w:rFonts w:hint="eastAsia" w:ascii="仿宋" w:hAnsi="仿宋" w:eastAsia="仿宋" w:cs="仿宋"/>
          <w:sz w:val="32"/>
          <w:szCs w:val="32"/>
        </w:rPr>
        <w:t>4.机关运行经费：指为保障行政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ind w:firstLine="614" w:firstLineChars="192"/>
        <w:rPr>
          <w:rFonts w:hint="eastAsia" w:ascii="仿宋" w:hAnsi="仿宋" w:eastAsia="仿宋" w:cs="仿宋"/>
          <w:sz w:val="32"/>
          <w:szCs w:val="32"/>
        </w:rPr>
      </w:pPr>
      <w:r>
        <w:rPr>
          <w:rFonts w:hint="eastAsia" w:ascii="仿宋" w:hAnsi="仿宋" w:eastAsia="仿宋" w:cs="仿宋"/>
          <w:sz w:val="32"/>
          <w:szCs w:val="32"/>
        </w:rPr>
        <w:t>5.政府采购：指各级国家机关、事业单位和团体组织，使用财政性资金采购依法制定的集中目录以内的或者采购限额标准以上的货物、工程和服务的行为，是规范财政支出管理和强化预算约束的有效措施。</w:t>
      </w:r>
    </w:p>
    <w:p>
      <w:pPr>
        <w:ind w:firstLine="614" w:firstLineChars="192"/>
        <w:rPr>
          <w:rFonts w:hint="eastAsia" w:ascii="仿宋" w:hAnsi="仿宋" w:eastAsia="仿宋" w:cs="仿宋"/>
          <w:sz w:val="32"/>
          <w:szCs w:val="32"/>
        </w:rPr>
      </w:pPr>
      <w:r>
        <w:rPr>
          <w:rFonts w:hint="eastAsia" w:ascii="仿宋" w:hAnsi="仿宋" w:eastAsia="仿宋" w:cs="仿宋"/>
          <w:sz w:val="32"/>
          <w:szCs w:val="32"/>
        </w:rPr>
        <w:t>6.政府购买服务：是指各级国家机关将属于自身职责范围且适合通过市场化方式提供的服务事项，按照政府采购方式和程序，交由符合条件的服务供应商承担，并根据服务数量和质量等因素向其支付费用的行为。</w:t>
      </w:r>
    </w:p>
    <w:p>
      <w:pPr>
        <w:ind w:firstLine="614" w:firstLineChars="192"/>
        <w:rPr>
          <w:rFonts w:hint="eastAsia" w:ascii="仿宋" w:hAnsi="仿宋" w:eastAsia="仿宋" w:cs="仿宋"/>
          <w:sz w:val="32"/>
          <w:szCs w:val="32"/>
        </w:rPr>
      </w:pPr>
      <w:r>
        <w:rPr>
          <w:rFonts w:hint="default" w:ascii="仿宋" w:hAnsi="仿宋" w:eastAsia="仿宋" w:cs="仿宋"/>
          <w:sz w:val="32"/>
          <w:szCs w:val="32"/>
          <w:lang w:val="en-US"/>
        </w:rPr>
        <w:t>7.</w:t>
      </w:r>
      <w:r>
        <w:rPr>
          <w:rFonts w:hint="eastAsia" w:ascii="仿宋" w:hAnsi="仿宋" w:eastAsia="仿宋" w:cs="仿宋"/>
          <w:sz w:val="32"/>
          <w:szCs w:val="32"/>
        </w:rPr>
        <w:t>一般公共服务支出：是指政府财政支出的重要组成部分，指用于维持公共部门日常运转，提供基础性公共服务以及保障国家治理体系正常运行的财政资金。</w:t>
      </w:r>
    </w:p>
    <w:p>
      <w:pPr>
        <w:ind w:firstLine="614" w:firstLineChars="192"/>
        <w:rPr>
          <w:rFonts w:hint="eastAsia" w:ascii="仿宋" w:hAnsi="仿宋" w:eastAsia="仿宋" w:cs="仿宋"/>
          <w:sz w:val="32"/>
          <w:szCs w:val="32"/>
        </w:rPr>
      </w:pPr>
      <w:r>
        <w:rPr>
          <w:rFonts w:hint="default" w:ascii="仿宋" w:hAnsi="仿宋" w:eastAsia="仿宋" w:cs="仿宋"/>
          <w:sz w:val="32"/>
          <w:szCs w:val="32"/>
          <w:lang w:val="en-US"/>
        </w:rPr>
        <w:t>8.</w:t>
      </w:r>
      <w:r>
        <w:rPr>
          <w:rFonts w:hint="eastAsia" w:ascii="仿宋" w:hAnsi="仿宋" w:eastAsia="仿宋" w:cs="仿宋"/>
          <w:sz w:val="32"/>
          <w:szCs w:val="32"/>
        </w:rPr>
        <w:t>人大事务：是指国家权力机关依法行使职权、履行职责过程中涉及的行政、立法和监督活动，属于一般公共服务支出的重要组成部分。</w:t>
      </w:r>
    </w:p>
    <w:p>
      <w:pPr>
        <w:ind w:firstLine="614" w:firstLineChars="192"/>
        <w:rPr>
          <w:rFonts w:hint="eastAsia" w:ascii="仿宋" w:hAnsi="仿宋" w:eastAsia="仿宋" w:cs="仿宋"/>
          <w:sz w:val="32"/>
          <w:szCs w:val="32"/>
        </w:rPr>
      </w:pPr>
      <w:r>
        <w:rPr>
          <w:rFonts w:hint="default" w:ascii="仿宋" w:hAnsi="仿宋" w:eastAsia="仿宋" w:cs="仿宋"/>
          <w:sz w:val="32"/>
          <w:szCs w:val="32"/>
          <w:lang w:val="en-US"/>
        </w:rPr>
        <w:t>9.</w:t>
      </w:r>
      <w:r>
        <w:rPr>
          <w:rFonts w:hint="eastAsia" w:ascii="仿宋" w:hAnsi="仿宋" w:eastAsia="仿宋" w:cs="仿宋"/>
          <w:sz w:val="32"/>
          <w:szCs w:val="32"/>
        </w:rPr>
        <w:t>行政运行：是指国家机关。政府部门以及公共机构为维持日常办公和履行基本职能所产生的常规性、基础性支出，属于财政预算中一般公共服务支出的重要组成部分。</w:t>
      </w:r>
    </w:p>
    <w:p>
      <w:pPr>
        <w:ind w:firstLine="614" w:firstLineChars="192"/>
        <w:rPr>
          <w:rFonts w:hint="eastAsia" w:ascii="仿宋" w:hAnsi="仿宋" w:eastAsia="仿宋" w:cs="仿宋"/>
          <w:sz w:val="32"/>
          <w:szCs w:val="32"/>
        </w:rPr>
      </w:pPr>
      <w:r>
        <w:rPr>
          <w:rFonts w:hint="default" w:ascii="仿宋" w:hAnsi="仿宋" w:eastAsia="仿宋" w:cs="仿宋"/>
          <w:sz w:val="32"/>
          <w:szCs w:val="32"/>
          <w:lang w:val="en-US"/>
        </w:rPr>
        <w:t>10.</w:t>
      </w:r>
      <w:r>
        <w:rPr>
          <w:rFonts w:hint="eastAsia" w:ascii="仿宋" w:hAnsi="仿宋" w:eastAsia="仿宋" w:cs="仿宋"/>
          <w:sz w:val="32"/>
          <w:szCs w:val="32"/>
        </w:rPr>
        <w:t>统计信息事务：是指由政府统计机构及相关组织开展的统计调查、数据采集、分析发布、信息化建设及统计监督管理等工作的总称，属于国家基础性公共服务范畴，旨在为政府决策、社会研究和公众需求提供科学、准确的数据支持。</w:t>
      </w:r>
    </w:p>
    <w:p>
      <w:pPr>
        <w:ind w:firstLine="614" w:firstLineChars="192"/>
        <w:rPr>
          <w:rFonts w:ascii="仿宋_GB2312" w:eastAsia="仿宋_GB2312"/>
          <w:sz w:val="28"/>
          <w:szCs w:val="28"/>
        </w:rPr>
      </w:pPr>
      <w:r>
        <w:rPr>
          <w:rFonts w:hint="default" w:ascii="仿宋" w:hAnsi="仿宋" w:eastAsia="仿宋" w:cs="仿宋"/>
          <w:sz w:val="32"/>
          <w:szCs w:val="32"/>
          <w:lang w:val="en-US"/>
        </w:rPr>
        <w:t>11.</w:t>
      </w:r>
      <w:r>
        <w:rPr>
          <w:rFonts w:hint="eastAsia" w:ascii="仿宋" w:hAnsi="仿宋" w:eastAsia="仿宋" w:cs="仿宋"/>
          <w:sz w:val="32"/>
          <w:szCs w:val="32"/>
        </w:rPr>
        <w:t>反映行政单位的基本支出：基本支出是指行政单位为保障机构正常运转、完成日常工作任务而发生的经常性支出，属于公共财政预算拨款的常规性经费。与项目支持不同，基本支出具有持续性和相对稳定性的特定。</w:t>
      </w:r>
    </w:p>
    <w:p>
      <w:pPr>
        <w:rPr>
          <w:rFonts w:ascii="仿宋_GB2312" w:eastAsia="仿宋_GB2312"/>
          <w:sz w:val="28"/>
          <w:szCs w:val="28"/>
        </w:rPr>
      </w:pPr>
    </w:p>
    <w:p>
      <w:pPr>
        <w:ind w:firstLine="632" w:firstLineChars="200"/>
        <w:rPr>
          <w:rFonts w:ascii="仿宋_GB2312" w:eastAsia="仿宋_GB2312"/>
          <w:b/>
          <w:color w:val="000000"/>
          <w:spacing w:val="-2"/>
          <w:sz w:val="32"/>
          <w:szCs w:val="32"/>
        </w:rPr>
      </w:pPr>
    </w:p>
    <w:p>
      <w:pPr>
        <w:ind w:firstLine="640" w:firstLineChars="200"/>
        <w:jc w:val="center"/>
        <w:rPr>
          <w:rFonts w:ascii="黑体" w:eastAsia="黑体"/>
          <w:sz w:val="32"/>
          <w:szCs w:val="32"/>
        </w:rPr>
      </w:pPr>
    </w:p>
    <w:p>
      <w:pPr>
        <w:ind w:firstLine="640" w:firstLineChars="200"/>
        <w:jc w:val="center"/>
        <w:rPr>
          <w:rFonts w:ascii="黑体" w:eastAsia="黑体"/>
          <w:sz w:val="32"/>
          <w:szCs w:val="32"/>
        </w:rPr>
      </w:pPr>
    </w:p>
    <w:p>
      <w:pPr>
        <w:ind w:firstLine="640" w:firstLineChars="200"/>
        <w:jc w:val="center"/>
        <w:rPr>
          <w:rFonts w:ascii="黑体" w:eastAsia="黑体"/>
          <w:sz w:val="32"/>
          <w:szCs w:val="32"/>
        </w:rPr>
      </w:pPr>
    </w:p>
    <w:p>
      <w:pPr>
        <w:ind w:firstLine="640" w:firstLineChars="200"/>
        <w:jc w:val="center"/>
        <w:rPr>
          <w:rFonts w:ascii="黑体" w:eastAsia="黑体"/>
          <w:sz w:val="32"/>
          <w:szCs w:val="32"/>
        </w:rPr>
      </w:pPr>
    </w:p>
    <w:p>
      <w:pPr>
        <w:rPr>
          <w:rFonts w:hint="eastAsia" w:ascii="黑体" w:eastAsia="黑体"/>
          <w:b/>
          <w:bCs/>
          <w:sz w:val="44"/>
          <w:szCs w:val="44"/>
        </w:rPr>
      </w:pPr>
      <w:r>
        <w:rPr>
          <w:rFonts w:hint="eastAsia" w:ascii="黑体" w:eastAsia="黑体"/>
          <w:b/>
          <w:bCs/>
          <w:sz w:val="44"/>
          <w:szCs w:val="44"/>
        </w:rPr>
        <w:br w:type="page"/>
      </w:r>
    </w:p>
    <w:p>
      <w:pPr>
        <w:ind w:firstLine="880" w:firstLineChars="200"/>
        <w:jc w:val="center"/>
        <w:rPr>
          <w:rFonts w:ascii="黑体" w:eastAsia="黑体"/>
          <w:b/>
          <w:bCs/>
          <w:sz w:val="44"/>
          <w:szCs w:val="44"/>
        </w:rPr>
      </w:pPr>
      <w:r>
        <w:rPr>
          <w:rFonts w:hint="eastAsia" w:ascii="黑体" w:eastAsia="黑体"/>
          <w:b/>
          <w:bCs/>
          <w:sz w:val="44"/>
          <w:szCs w:val="44"/>
        </w:rPr>
        <w:t>第四部分  2024年度部门绩效评价情况</w:t>
      </w:r>
    </w:p>
    <w:p>
      <w:pPr>
        <w:ind w:firstLine="560" w:firstLineChars="200"/>
        <w:rPr>
          <w:rFonts w:ascii="黑体" w:eastAsia="黑体"/>
          <w:sz w:val="28"/>
          <w:szCs w:val="28"/>
          <w:highlight w:val="yellow"/>
        </w:rPr>
      </w:pPr>
    </w:p>
    <w:p>
      <w:pPr>
        <w:ind w:firstLine="640" w:firstLineChars="20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一、部门整体绩效评价报告（详见附件）</w:t>
      </w:r>
    </w:p>
    <w:p>
      <w:pPr>
        <w:ind w:firstLine="640" w:firstLineChars="20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二、项目支出绩效评价报告（详见附件）</w:t>
      </w:r>
    </w:p>
    <w:p>
      <w:pPr>
        <w:ind w:firstLine="640" w:firstLineChars="20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sz w:val="32"/>
          <w:szCs w:val="32"/>
        </w:rPr>
        <w:t>三、项目支出绩效自评表（详见附件）</w:t>
      </w:r>
    </w:p>
    <w:p/>
    <w:p>
      <w:pPr>
        <w:pStyle w:val="3"/>
        <w:spacing w:before="156" w:after="156"/>
      </w:pPr>
    </w:p>
    <w:p/>
    <w:p>
      <w:pPr>
        <w:pStyle w:val="3"/>
        <w:spacing w:before="156" w:after="156"/>
      </w:pPr>
    </w:p>
    <w:p/>
    <w:p>
      <w:pPr>
        <w:pStyle w:val="3"/>
        <w:spacing w:before="156" w:after="156"/>
      </w:pPr>
    </w:p>
    <w:p/>
    <w:p>
      <w:pPr>
        <w:rPr>
          <w:rFonts w:hint="eastAsia" w:ascii="黑体" w:hAnsi="黑体" w:eastAsia="黑体" w:cs="黑体"/>
          <w:sz w:val="32"/>
          <w:szCs w:val="32"/>
        </w:rPr>
      </w:pPr>
      <w:r>
        <w:rPr>
          <w:rFonts w:hint="eastAsia" w:ascii="黑体" w:hAnsi="黑体" w:eastAsia="黑体" w:cs="黑体"/>
          <w:sz w:val="32"/>
          <w:szCs w:val="32"/>
        </w:rPr>
        <w:br w:type="page"/>
      </w:r>
    </w:p>
    <w:p>
      <w:pPr>
        <w:pStyle w:val="4"/>
        <w:ind w:firstLine="0" w:firstLineChars="0"/>
        <w:rPr>
          <w:rFonts w:ascii="黑体" w:hAnsi="黑体" w:eastAsia="黑体" w:cs="黑体"/>
          <w:sz w:val="32"/>
          <w:szCs w:val="32"/>
        </w:rPr>
      </w:pPr>
      <w:r>
        <w:rPr>
          <w:rFonts w:hint="eastAsia" w:ascii="黑体" w:hAnsi="黑体" w:eastAsia="黑体" w:cs="黑体"/>
          <w:sz w:val="32"/>
          <w:szCs w:val="32"/>
        </w:rPr>
        <w:t>附件</w:t>
      </w:r>
    </w:p>
    <w:p>
      <w:pPr>
        <w:spacing w:line="560" w:lineRule="exact"/>
        <w:jc w:val="center"/>
        <w:rPr>
          <w:rFonts w:ascii="方正小标宋简体" w:eastAsia="方正小标宋简体"/>
          <w:sz w:val="36"/>
          <w:szCs w:val="36"/>
        </w:rPr>
      </w:pPr>
      <w:r>
        <w:rPr>
          <w:rFonts w:hint="eastAsia" w:ascii="方正小标宋简体" w:eastAsia="方正小标宋简体"/>
          <w:sz w:val="44"/>
          <w:szCs w:val="44"/>
        </w:rPr>
        <w:t>部门整体绩效评价报告</w:t>
      </w:r>
    </w:p>
    <w:p>
      <w:pPr>
        <w:jc w:val="center"/>
        <w:rPr>
          <w:rFonts w:ascii="仿宋_GB2312"/>
          <w:szCs w:val="30"/>
        </w:rPr>
      </w:pPr>
    </w:p>
    <w:p>
      <w:pPr>
        <w:spacing w:line="600" w:lineRule="exact"/>
        <w:ind w:firstLine="640" w:firstLineChars="200"/>
        <w:rPr>
          <w:rFonts w:ascii="黑体" w:hAnsi="黑体" w:eastAsia="黑体" w:cs="宋体"/>
          <w:color w:val="000000"/>
          <w:kern w:val="0"/>
          <w:sz w:val="32"/>
          <w:szCs w:val="32"/>
        </w:rPr>
      </w:pPr>
      <w:r>
        <w:rPr>
          <w:rFonts w:hint="eastAsia" w:ascii="黑体" w:hAnsi="黑体" w:eastAsia="黑体" w:cs="宋体"/>
          <w:color w:val="000000"/>
          <w:kern w:val="0"/>
          <w:sz w:val="32"/>
          <w:szCs w:val="32"/>
        </w:rPr>
        <w:t>一、部门概况</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（一）机构设置及职责工作任务情况</w:t>
      </w:r>
    </w:p>
    <w:p>
      <w:pPr>
        <w:ind w:firstLine="614" w:firstLineChars="192"/>
        <w:rPr>
          <w:rFonts w:hint="eastAsia" w:ascii="仿宋" w:hAnsi="仿宋" w:eastAsia="仿宋" w:cs="仿宋"/>
          <w:sz w:val="32"/>
          <w:szCs w:val="32"/>
        </w:rPr>
      </w:pPr>
      <w:r>
        <w:rPr>
          <w:rFonts w:hint="eastAsia" w:ascii="仿宋" w:hAnsi="仿宋" w:eastAsia="仿宋" w:cs="仿宋"/>
          <w:sz w:val="32"/>
          <w:szCs w:val="32"/>
        </w:rPr>
        <w:t>东邵渠镇人民政府为了确保项目顺利实施，项目资金管理小组由镇党委书记、镇长担任组长，由镇纪委书记、分管财政工作、分管建设工作副镇长担任副组长，成员主要有纪检监察办公室主任、相关科室科长等科室负责人组成。</w:t>
      </w:r>
    </w:p>
    <w:p>
      <w:pPr>
        <w:ind w:firstLine="614" w:firstLineChars="192"/>
        <w:rPr>
          <w:rFonts w:hint="eastAsia" w:ascii="仿宋" w:hAnsi="仿宋" w:eastAsia="仿宋" w:cs="仿宋"/>
          <w:sz w:val="32"/>
          <w:szCs w:val="32"/>
        </w:rPr>
      </w:pPr>
      <w:r>
        <w:rPr>
          <w:rFonts w:hint="eastAsia" w:ascii="仿宋" w:hAnsi="仿宋" w:eastAsia="仿宋" w:cs="仿宋"/>
          <w:sz w:val="32"/>
          <w:szCs w:val="32"/>
        </w:rPr>
        <w:t>领导小组主要职责是督导施工单位按照要求保质保量的完成财政资金使用情况，维护财政资金的整体使用效果。</w:t>
      </w:r>
    </w:p>
    <w:p>
      <w:pPr>
        <w:spacing w:line="600" w:lineRule="exact"/>
        <w:ind w:firstLine="640" w:firstLineChars="200"/>
        <w:rPr>
          <w:rFonts w:ascii="楷体_GB2312" w:eastAsia="楷体_GB2312"/>
          <w:sz w:val="32"/>
          <w:szCs w:val="32"/>
        </w:rPr>
      </w:pPr>
      <w:r>
        <w:rPr>
          <w:rFonts w:hint="eastAsia" w:ascii="仿宋" w:hAnsi="仿宋" w:eastAsia="仿宋" w:cs="仿宋"/>
          <w:sz w:val="32"/>
          <w:szCs w:val="32"/>
        </w:rPr>
        <w:t>主管科室为绩效管理主体责任部门。</w:t>
      </w:r>
    </w:p>
    <w:p>
      <w:pPr>
        <w:spacing w:line="600" w:lineRule="exact"/>
        <w:ind w:firstLine="640" w:firstLineChars="200"/>
        <w:rPr>
          <w:rFonts w:ascii="楷体_GB2312" w:eastAsia="楷体_GB2312"/>
          <w:sz w:val="32"/>
          <w:szCs w:val="32"/>
        </w:rPr>
      </w:pPr>
      <w:r>
        <w:rPr>
          <w:rFonts w:hint="eastAsia" w:ascii="楷体_GB2312" w:eastAsia="楷体_GB2312"/>
          <w:sz w:val="32"/>
          <w:szCs w:val="32"/>
        </w:rPr>
        <w:t>（二）部门整体绩效目标设立情况</w:t>
      </w:r>
    </w:p>
    <w:p>
      <w:pPr>
        <w:ind w:firstLine="614" w:firstLineChars="192"/>
        <w:rPr>
          <w:rFonts w:hint="eastAsia" w:ascii="仿宋" w:hAnsi="仿宋" w:eastAsia="仿宋" w:cs="仿宋"/>
          <w:sz w:val="32"/>
          <w:szCs w:val="32"/>
        </w:rPr>
      </w:pPr>
      <w:r>
        <w:rPr>
          <w:rFonts w:hint="eastAsia" w:ascii="仿宋" w:hAnsi="仿宋" w:eastAsia="仿宋" w:cs="仿宋"/>
          <w:sz w:val="32"/>
          <w:szCs w:val="32"/>
        </w:rPr>
        <w:t>根据《</w:t>
      </w:r>
      <w:r>
        <w:rPr>
          <w:rFonts w:hint="eastAsia" w:ascii="仿宋" w:hAnsi="仿宋" w:eastAsia="仿宋" w:cs="仿宋"/>
          <w:sz w:val="32"/>
          <w:szCs w:val="32"/>
          <w:lang w:val="en-US" w:eastAsia="zh-CN"/>
        </w:rPr>
        <w:t>中华人民共和国</w:t>
      </w:r>
      <w:r>
        <w:rPr>
          <w:rFonts w:hint="eastAsia" w:ascii="仿宋" w:hAnsi="仿宋" w:eastAsia="仿宋" w:cs="仿宋"/>
          <w:sz w:val="32"/>
          <w:szCs w:val="32"/>
        </w:rPr>
        <w:t>预算法》和预算绩效管理相关规定，结合年度目标任务，在申报预算的同时，设立了以下绩效目标：</w:t>
      </w:r>
    </w:p>
    <w:p>
      <w:pPr>
        <w:ind w:firstLine="614" w:firstLineChars="192"/>
        <w:rPr>
          <w:rFonts w:hint="eastAsia" w:ascii="仿宋" w:hAnsi="仿宋" w:eastAsia="仿宋" w:cs="仿宋"/>
          <w:sz w:val="32"/>
          <w:szCs w:val="32"/>
        </w:rPr>
      </w:pPr>
      <w:r>
        <w:rPr>
          <w:rFonts w:hint="eastAsia" w:ascii="仿宋" w:hAnsi="仿宋" w:eastAsia="仿宋" w:cs="仿宋"/>
          <w:sz w:val="32"/>
          <w:szCs w:val="32"/>
        </w:rPr>
        <w:t>1.财政保障足额的基本支出；</w:t>
      </w:r>
    </w:p>
    <w:p>
      <w:pPr>
        <w:ind w:firstLine="614" w:firstLineChars="192"/>
        <w:rPr>
          <w:rFonts w:hint="eastAsia" w:ascii="仿宋" w:hAnsi="仿宋" w:eastAsia="仿宋" w:cs="仿宋"/>
          <w:sz w:val="32"/>
          <w:szCs w:val="32"/>
        </w:rPr>
      </w:pPr>
      <w:r>
        <w:rPr>
          <w:rFonts w:hint="eastAsia" w:ascii="仿宋" w:hAnsi="仿宋" w:eastAsia="仿宋" w:cs="仿宋"/>
          <w:sz w:val="32"/>
          <w:szCs w:val="32"/>
        </w:rPr>
        <w:t>2.生态效益与经济效益相互制约、互为因果关系；</w:t>
      </w:r>
    </w:p>
    <w:p>
      <w:pPr>
        <w:ind w:firstLine="614" w:firstLineChars="192"/>
        <w:rPr>
          <w:rFonts w:hint="eastAsia" w:ascii="仿宋" w:hAnsi="仿宋" w:eastAsia="仿宋" w:cs="仿宋"/>
          <w:sz w:val="32"/>
          <w:szCs w:val="32"/>
        </w:rPr>
      </w:pPr>
      <w:r>
        <w:rPr>
          <w:rFonts w:hint="eastAsia" w:ascii="仿宋" w:hAnsi="仿宋" w:eastAsia="仿宋" w:cs="仿宋"/>
          <w:sz w:val="32"/>
          <w:szCs w:val="32"/>
        </w:rPr>
        <w:t>3.严格按照相关法律法规，对资产进行有效的管理使用；</w:t>
      </w:r>
    </w:p>
    <w:p>
      <w:pPr>
        <w:ind w:firstLine="614" w:firstLineChars="192"/>
        <w:rPr>
          <w:rFonts w:ascii="仿宋_GB2312" w:hAnsi="仿宋_GB2312" w:eastAsia="仿宋_GB2312" w:cs="仿宋_GB2312"/>
          <w:sz w:val="32"/>
          <w:szCs w:val="32"/>
        </w:rPr>
      </w:pPr>
      <w:r>
        <w:rPr>
          <w:rFonts w:hint="eastAsia" w:ascii="仿宋" w:hAnsi="仿宋" w:eastAsia="仿宋" w:cs="仿宋"/>
          <w:sz w:val="32"/>
          <w:szCs w:val="32"/>
        </w:rPr>
        <w:t>4.按照中央八项规定和厉行节约反对铺张浪费及控制行政成本的要求制定行政成本控制目标和经费支出管理办法。</w:t>
      </w:r>
    </w:p>
    <w:p>
      <w:pPr>
        <w:spacing w:line="600" w:lineRule="exact"/>
        <w:ind w:firstLine="640" w:firstLineChars="200"/>
        <w:rPr>
          <w:rFonts w:ascii="黑体" w:hAnsi="黑体" w:eastAsia="黑体" w:cs="宋体"/>
          <w:color w:val="000000"/>
          <w:kern w:val="0"/>
          <w:sz w:val="32"/>
          <w:szCs w:val="32"/>
        </w:rPr>
      </w:pPr>
      <w:r>
        <w:rPr>
          <w:rFonts w:hint="eastAsia" w:ascii="黑体" w:hAnsi="黑体" w:eastAsia="黑体" w:cs="宋体"/>
          <w:color w:val="000000"/>
          <w:kern w:val="0"/>
          <w:sz w:val="32"/>
          <w:szCs w:val="32"/>
        </w:rPr>
        <w:t>二</w:t>
      </w:r>
      <w:r>
        <w:rPr>
          <w:rFonts w:ascii="黑体" w:hAnsi="黑体" w:eastAsia="黑体" w:cs="宋体"/>
          <w:color w:val="000000"/>
          <w:kern w:val="0"/>
          <w:sz w:val="32"/>
          <w:szCs w:val="32"/>
        </w:rPr>
        <w:t>、</w:t>
      </w:r>
      <w:r>
        <w:rPr>
          <w:rFonts w:hint="eastAsia" w:ascii="黑体" w:hAnsi="黑体" w:eastAsia="黑体" w:cs="宋体"/>
          <w:color w:val="000000"/>
          <w:kern w:val="0"/>
          <w:sz w:val="32"/>
          <w:szCs w:val="32"/>
        </w:rPr>
        <w:t>当年</w:t>
      </w:r>
      <w:r>
        <w:rPr>
          <w:rFonts w:ascii="黑体" w:hAnsi="黑体" w:eastAsia="黑体" w:cs="宋体"/>
          <w:color w:val="000000"/>
          <w:kern w:val="0"/>
          <w:sz w:val="32"/>
          <w:szCs w:val="32"/>
        </w:rPr>
        <w:t>预算执行情况</w:t>
      </w:r>
    </w:p>
    <w:p>
      <w:pPr>
        <w:spacing w:line="600" w:lineRule="exact"/>
        <w:ind w:firstLine="640" w:firstLineChars="200"/>
        <w:rPr>
          <w:rFonts w:hint="eastAsia" w:ascii="仿宋" w:hAnsi="仿宋" w:eastAsia="仿宋" w:cs="仿宋"/>
          <w:sz w:val="32"/>
          <w:szCs w:val="32"/>
        </w:rPr>
      </w:pPr>
      <w:r>
        <w:rPr>
          <w:rFonts w:hint="eastAsia" w:ascii="方正仿宋_GBK" w:hAnsi="方正仿宋_GBK" w:eastAsia="方正仿宋_GBK" w:cs="方正仿宋_GBK"/>
          <w:color w:val="000000"/>
          <w:kern w:val="0"/>
          <w:sz w:val="32"/>
          <w:szCs w:val="32"/>
        </w:rPr>
        <w:t>2</w:t>
      </w:r>
      <w:r>
        <w:rPr>
          <w:rFonts w:hint="eastAsia" w:ascii="方正仿宋_GBK" w:hAnsi="方正仿宋_GBK" w:eastAsia="方正仿宋_GBK" w:cs="方正仿宋_GBK"/>
          <w:sz w:val="32"/>
          <w:szCs w:val="32"/>
        </w:rPr>
        <w:t>024年</w:t>
      </w:r>
      <w:r>
        <w:rPr>
          <w:rFonts w:hint="eastAsia" w:ascii="仿宋" w:hAnsi="仿宋" w:eastAsia="仿宋" w:cs="仿宋"/>
          <w:sz w:val="32"/>
          <w:szCs w:val="32"/>
        </w:rPr>
        <w:t>全年预算数18444.39万元，其中，基本支出预算数2,509.65万元，项目支出预算数14651.45万元，其他支出预算数1,283.29万元。资金总体支出18444.39万元，其中，基本支出2,509.65万元，项目支出14651.45万元，其他支出1,283.29万元。预算执行率为100%。</w:t>
      </w:r>
    </w:p>
    <w:p>
      <w:pPr>
        <w:spacing w:line="600" w:lineRule="exact"/>
        <w:ind w:left="105" w:leftChars="50" w:firstLine="480" w:firstLineChars="150"/>
        <w:rPr>
          <w:rFonts w:ascii="黑体" w:hAnsi="黑体" w:eastAsia="黑体" w:cs="宋体"/>
          <w:color w:val="000000"/>
          <w:kern w:val="0"/>
          <w:sz w:val="32"/>
          <w:szCs w:val="32"/>
        </w:rPr>
      </w:pPr>
      <w:r>
        <w:rPr>
          <w:rFonts w:hint="eastAsia" w:ascii="黑体" w:hAnsi="黑体" w:eastAsia="黑体" w:cs="宋体"/>
          <w:color w:val="000000"/>
          <w:kern w:val="0"/>
          <w:sz w:val="32"/>
          <w:szCs w:val="32"/>
        </w:rPr>
        <w:t>三</w:t>
      </w:r>
      <w:r>
        <w:rPr>
          <w:rFonts w:ascii="黑体" w:hAnsi="黑体" w:eastAsia="黑体" w:cs="宋体"/>
          <w:color w:val="000000"/>
          <w:kern w:val="0"/>
          <w:sz w:val="32"/>
          <w:szCs w:val="32"/>
        </w:rPr>
        <w:t>、整体绩效目标实现情况</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（一）产出完成情况分析</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1.产出数量</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一般公共预算财政拨款收入13,735.24万元</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政府性基金预算财政拨款收入3,130.78万元</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其他收入1,283.29万元</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年初结转和结余295.08万元</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2.产出质量</w:t>
      </w:r>
      <w:r>
        <w:rPr>
          <w:rFonts w:hint="eastAsia" w:ascii="仿宋" w:hAnsi="仿宋" w:eastAsia="仿宋" w:cs="仿宋"/>
          <w:sz w:val="32"/>
          <w:szCs w:val="32"/>
        </w:rPr>
        <w:tab/>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完成率100%</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3.产出进度</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进度完成100%</w:t>
      </w:r>
    </w:p>
    <w:p>
      <w:pPr>
        <w:spacing w:line="600" w:lineRule="exact"/>
        <w:ind w:left="105" w:leftChars="50" w:firstLine="480" w:firstLineChars="150"/>
        <w:rPr>
          <w:rFonts w:ascii="楷体_GB2312" w:eastAsia="楷体_GB2312"/>
          <w:sz w:val="32"/>
          <w:szCs w:val="32"/>
        </w:rPr>
      </w:pPr>
      <w:r>
        <w:rPr>
          <w:rFonts w:hint="eastAsia" w:ascii="楷体_GB2312" w:eastAsia="楷体_GB2312"/>
          <w:sz w:val="32"/>
          <w:szCs w:val="32"/>
        </w:rPr>
        <w:t>（二）效果</w:t>
      </w:r>
      <w:r>
        <w:rPr>
          <w:rFonts w:ascii="楷体_GB2312" w:eastAsia="楷体_GB2312"/>
          <w:sz w:val="32"/>
          <w:szCs w:val="32"/>
        </w:rPr>
        <w:t>实现情况分析</w:t>
      </w:r>
    </w:p>
    <w:p>
      <w:pPr>
        <w:tabs>
          <w:tab w:val="left" w:pos="2940"/>
        </w:tabs>
        <w:spacing w:line="600" w:lineRule="exact"/>
        <w:ind w:left="105" w:leftChars="50" w:firstLine="480" w:firstLineChars="15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1.经济</w:t>
      </w:r>
      <w:r>
        <w:rPr>
          <w:rFonts w:ascii="仿宋_GB2312" w:hAnsi="宋体" w:eastAsia="仿宋_GB2312" w:cs="宋体"/>
          <w:color w:val="000000"/>
          <w:kern w:val="0"/>
          <w:sz w:val="32"/>
          <w:szCs w:val="32"/>
        </w:rPr>
        <w:t>效益</w:t>
      </w:r>
      <w:r>
        <w:rPr>
          <w:rFonts w:ascii="仿宋_GB2312" w:hAnsi="宋体" w:eastAsia="仿宋_GB2312" w:cs="宋体"/>
          <w:color w:val="000000"/>
          <w:kern w:val="0"/>
          <w:sz w:val="32"/>
          <w:szCs w:val="32"/>
        </w:rPr>
        <w:tab/>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val="zh-TW"/>
        </w:rPr>
        <w:t>依据我镇项目支出预算管理办法和相应的拨付流程，按项目进度拨付项目资金。在项目实施过程中，严格按照制度要求对财政资金进行监管及使用，科学管理，项目经济效益较为明显。项目预算编制科学合理、预算执行安全有效</w:t>
      </w:r>
      <w:r>
        <w:rPr>
          <w:rFonts w:hint="eastAsia" w:ascii="仿宋" w:hAnsi="仿宋" w:eastAsia="仿宋" w:cs="仿宋"/>
          <w:sz w:val="32"/>
          <w:szCs w:val="32"/>
        </w:rPr>
        <w:t>。</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2.社会效益</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通过规范我镇项目资金开支和管理，保障了机关正常运转，保障了我镇各项重点项目、民生支出，使本地区政治经济文化等各项事业得到了更好的发展,项目社会效益较为明显。</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3.环境效益</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环境保护进一步得到重视，环保效益得到提高。</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4.可持续性影响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项目立项所依据的政策是持续性政策，同时项目也是持续性项目，每年都在开展；项目的实施主体为持续性机构，项目完成后，对区域内的经济提升起到了积极作用，项目实施的可持续影响较好。</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5.服务对象满意度</w:t>
      </w:r>
    </w:p>
    <w:p>
      <w:pPr>
        <w:spacing w:line="600" w:lineRule="exact"/>
        <w:ind w:firstLine="640" w:firstLineChars="200"/>
        <w:rPr>
          <w:rFonts w:ascii="黑体" w:eastAsia="黑体"/>
          <w:sz w:val="28"/>
          <w:szCs w:val="28"/>
        </w:rPr>
      </w:pPr>
      <w:r>
        <w:rPr>
          <w:rFonts w:hint="eastAsia" w:ascii="仿宋" w:hAnsi="仿宋" w:eastAsia="仿宋" w:cs="仿宋"/>
          <w:sz w:val="32"/>
          <w:szCs w:val="32"/>
        </w:rPr>
        <w:t>在项目实施过程中及项目完成后，对服务对象进行了满意度调查。经调查，服务对象的满意度较高。</w:t>
      </w:r>
    </w:p>
    <w:p>
      <w:pPr>
        <w:spacing w:line="600" w:lineRule="exact"/>
        <w:ind w:left="105" w:leftChars="50" w:firstLine="480" w:firstLineChars="150"/>
        <w:rPr>
          <w:rFonts w:ascii="黑体" w:hAnsi="黑体" w:eastAsia="黑体" w:cs="宋体"/>
          <w:color w:val="000000"/>
          <w:kern w:val="0"/>
          <w:sz w:val="32"/>
          <w:szCs w:val="32"/>
        </w:rPr>
      </w:pPr>
      <w:r>
        <w:rPr>
          <w:rFonts w:hint="eastAsia" w:ascii="黑体" w:hAnsi="黑体" w:eastAsia="黑体" w:cs="宋体"/>
          <w:color w:val="000000"/>
          <w:kern w:val="0"/>
          <w:sz w:val="32"/>
          <w:szCs w:val="32"/>
        </w:rPr>
        <w:t>四</w:t>
      </w:r>
      <w:r>
        <w:rPr>
          <w:rFonts w:ascii="黑体" w:hAnsi="黑体" w:eastAsia="黑体" w:cs="宋体"/>
          <w:color w:val="000000"/>
          <w:kern w:val="0"/>
          <w:sz w:val="32"/>
          <w:szCs w:val="32"/>
        </w:rPr>
        <w:t>、预算管理</w:t>
      </w:r>
      <w:r>
        <w:rPr>
          <w:rFonts w:hint="eastAsia" w:ascii="黑体" w:hAnsi="黑体" w:eastAsia="黑体" w:cs="宋体"/>
          <w:color w:val="000000"/>
          <w:kern w:val="0"/>
          <w:sz w:val="32"/>
          <w:szCs w:val="32"/>
        </w:rPr>
        <w:t>情况分</w:t>
      </w:r>
      <w:r>
        <w:rPr>
          <w:rFonts w:ascii="黑体" w:hAnsi="黑体" w:eastAsia="黑体" w:cs="宋体"/>
          <w:color w:val="000000"/>
          <w:kern w:val="0"/>
          <w:sz w:val="32"/>
          <w:szCs w:val="32"/>
        </w:rPr>
        <w:t>析</w:t>
      </w:r>
    </w:p>
    <w:p>
      <w:pPr>
        <w:spacing w:line="600" w:lineRule="exact"/>
        <w:ind w:left="105" w:leftChars="50" w:firstLine="480" w:firstLineChars="150"/>
        <w:rPr>
          <w:rFonts w:ascii="楷体_GB2312" w:eastAsia="楷体_GB2312"/>
          <w:sz w:val="32"/>
          <w:szCs w:val="32"/>
        </w:rPr>
      </w:pPr>
      <w:r>
        <w:rPr>
          <w:rFonts w:hint="eastAsia" w:ascii="楷体_GB2312" w:eastAsia="楷体_GB2312"/>
          <w:sz w:val="32"/>
          <w:szCs w:val="32"/>
        </w:rPr>
        <w:t>（一）财务管理</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1.财务管理制度健全性</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健全完善财务管理制度，严格执行机关财务管理制度。</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2.资金使用合规性和安全性</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加强了单位财政专项资金使用的合规性审查。依据项目专项资金使用规定，重点检查有无挤占挪用、扩大开支范围等问题。加强了单位财政专项资金的安全性审查。重点检查有无建立健全相关内部管理和内部控制制度，进而审查制度的实际执行情况，督促被审计单位按制度规范强化管理，以确保财政资金安全完整。</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3.会计基础信息完善性</w:t>
      </w:r>
      <w:r>
        <w:rPr>
          <w:rFonts w:hint="eastAsia" w:ascii="仿宋" w:hAnsi="仿宋" w:eastAsia="仿宋" w:cs="仿宋"/>
          <w:sz w:val="32"/>
          <w:szCs w:val="32"/>
        </w:rPr>
        <w:tab/>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加强会计凭证的审核与监督，从源头上保证会计基础信息真实、准确、完整。</w:t>
      </w:r>
    </w:p>
    <w:p>
      <w:pPr>
        <w:spacing w:line="600" w:lineRule="exact"/>
        <w:ind w:left="105" w:leftChars="50" w:firstLine="480" w:firstLineChars="150"/>
        <w:rPr>
          <w:rFonts w:ascii="楷体_GB2312" w:eastAsia="楷体_GB2312"/>
          <w:sz w:val="32"/>
          <w:szCs w:val="32"/>
        </w:rPr>
      </w:pPr>
      <w:r>
        <w:rPr>
          <w:rFonts w:hint="eastAsia" w:ascii="楷体_GB2312" w:eastAsia="楷体_GB2312"/>
          <w:sz w:val="32"/>
          <w:szCs w:val="32"/>
        </w:rPr>
        <w:t>（二）资产管理</w:t>
      </w:r>
    </w:p>
    <w:p>
      <w:pPr>
        <w:spacing w:line="600" w:lineRule="exact"/>
        <w:ind w:left="105" w:leftChars="50" w:firstLine="480" w:firstLineChars="150"/>
        <w:rPr>
          <w:rFonts w:hint="eastAsia" w:ascii="仿宋" w:hAnsi="仿宋" w:eastAsia="仿宋" w:cs="仿宋"/>
          <w:sz w:val="32"/>
          <w:szCs w:val="32"/>
        </w:rPr>
      </w:pPr>
      <w:r>
        <w:rPr>
          <w:rFonts w:hint="eastAsia" w:ascii="楷体_GB2312" w:eastAsia="楷体_GB2312"/>
          <w:sz w:val="32"/>
          <w:szCs w:val="32"/>
        </w:rPr>
        <w:t xml:space="preserve"> </w:t>
      </w:r>
      <w:r>
        <w:rPr>
          <w:rFonts w:hint="eastAsia" w:ascii="仿宋" w:hAnsi="仿宋" w:eastAsia="仿宋" w:cs="仿宋"/>
          <w:sz w:val="32"/>
          <w:szCs w:val="32"/>
        </w:rPr>
        <w:t>按照资产管理与预算管理相结合、资产管理与财务管理相结合、实物管理与价值管理相结合的原则，从资产配置、资产使用、资产处置、资产评估、资产收益管理、资产清查、资产信息化管理、资产统计报告和监督检查等方面开展资产管理绩效评价，进一步提高资产使用效益和管理水平。</w:t>
      </w:r>
    </w:p>
    <w:p>
      <w:pPr>
        <w:spacing w:line="600" w:lineRule="exact"/>
        <w:ind w:left="105" w:leftChars="50" w:firstLine="480" w:firstLineChars="150"/>
        <w:rPr>
          <w:rFonts w:ascii="楷体_GB2312" w:eastAsia="楷体_GB2312"/>
          <w:sz w:val="32"/>
          <w:szCs w:val="32"/>
        </w:rPr>
      </w:pPr>
      <w:r>
        <w:rPr>
          <w:rFonts w:hint="eastAsia" w:ascii="楷体_GB2312" w:eastAsia="楷体_GB2312"/>
          <w:sz w:val="32"/>
          <w:szCs w:val="32"/>
        </w:rPr>
        <w:t>（三）绩效</w:t>
      </w:r>
      <w:r>
        <w:rPr>
          <w:rFonts w:ascii="楷体_GB2312" w:eastAsia="楷体_GB2312"/>
          <w:sz w:val="32"/>
          <w:szCs w:val="32"/>
        </w:rPr>
        <w:t>管理</w:t>
      </w:r>
    </w:p>
    <w:p>
      <w:pPr>
        <w:spacing w:line="600" w:lineRule="exact"/>
        <w:ind w:left="105" w:leftChars="50" w:firstLine="480" w:firstLineChars="150"/>
        <w:rPr>
          <w:rFonts w:hint="eastAsia" w:ascii="仿宋" w:hAnsi="仿宋" w:eastAsia="仿宋" w:cs="仿宋"/>
          <w:sz w:val="32"/>
          <w:szCs w:val="32"/>
        </w:rPr>
      </w:pPr>
      <w:r>
        <w:rPr>
          <w:rFonts w:hint="eastAsia" w:ascii="仿宋" w:hAnsi="仿宋" w:eastAsia="仿宋" w:cs="仿宋"/>
          <w:sz w:val="32"/>
          <w:szCs w:val="32"/>
        </w:rPr>
        <w:t>实现预算和绩效管理一体化，着力提高财政资源配置效率和使用效益。</w:t>
      </w:r>
    </w:p>
    <w:p>
      <w:pPr>
        <w:spacing w:line="600" w:lineRule="exact"/>
        <w:ind w:left="105" w:leftChars="50" w:firstLine="480" w:firstLineChars="150"/>
        <w:rPr>
          <w:rFonts w:ascii="楷体_GB2312" w:eastAsia="楷体_GB2312"/>
          <w:sz w:val="32"/>
          <w:szCs w:val="32"/>
        </w:rPr>
      </w:pPr>
      <w:r>
        <w:rPr>
          <w:rFonts w:hint="eastAsia" w:ascii="楷体_GB2312" w:eastAsia="楷体_GB2312"/>
          <w:sz w:val="32"/>
          <w:szCs w:val="32"/>
        </w:rPr>
        <w:t>（四）结转结余率</w:t>
      </w:r>
    </w:p>
    <w:p>
      <w:pPr>
        <w:spacing w:line="600" w:lineRule="exact"/>
        <w:ind w:left="105" w:leftChars="50" w:firstLine="480" w:firstLineChars="150"/>
        <w:rPr>
          <w:rFonts w:hint="eastAsia" w:ascii="仿宋" w:hAnsi="仿宋" w:eastAsia="仿宋" w:cs="仿宋"/>
          <w:sz w:val="32"/>
          <w:szCs w:val="32"/>
        </w:rPr>
      </w:pPr>
      <w:r>
        <w:rPr>
          <w:rFonts w:hint="eastAsia" w:ascii="仿宋" w:hAnsi="仿宋" w:eastAsia="仿宋" w:cs="仿宋"/>
          <w:sz w:val="32"/>
          <w:szCs w:val="32"/>
        </w:rPr>
        <w:t>无</w:t>
      </w:r>
    </w:p>
    <w:p>
      <w:pPr>
        <w:spacing w:line="600" w:lineRule="exact"/>
        <w:ind w:left="105" w:leftChars="50" w:firstLine="480" w:firstLineChars="150"/>
        <w:rPr>
          <w:rFonts w:ascii="楷体_GB2312" w:eastAsia="楷体_GB2312"/>
          <w:sz w:val="32"/>
          <w:szCs w:val="32"/>
        </w:rPr>
      </w:pPr>
      <w:r>
        <w:rPr>
          <w:rFonts w:hint="eastAsia" w:ascii="楷体_GB2312" w:eastAsia="楷体_GB2312"/>
          <w:sz w:val="32"/>
          <w:szCs w:val="32"/>
        </w:rPr>
        <w:t>（五）部门</w:t>
      </w:r>
      <w:r>
        <w:rPr>
          <w:rFonts w:ascii="楷体_GB2312" w:eastAsia="楷体_GB2312"/>
          <w:sz w:val="32"/>
          <w:szCs w:val="32"/>
        </w:rPr>
        <w:t>预决算差异率</w:t>
      </w:r>
    </w:p>
    <w:p>
      <w:pPr>
        <w:spacing w:line="600" w:lineRule="exact"/>
        <w:ind w:left="105" w:leftChars="50" w:firstLine="480" w:firstLineChars="150"/>
        <w:rPr>
          <w:rFonts w:hint="eastAsia" w:ascii="仿宋" w:hAnsi="仿宋" w:eastAsia="仿宋" w:cs="仿宋"/>
          <w:sz w:val="32"/>
          <w:szCs w:val="32"/>
        </w:rPr>
      </w:pPr>
      <w:r>
        <w:rPr>
          <w:rFonts w:hint="eastAsia" w:ascii="仿宋" w:hAnsi="仿宋" w:eastAsia="仿宋" w:cs="仿宋"/>
          <w:sz w:val="32"/>
          <w:szCs w:val="32"/>
        </w:rPr>
        <w:t>0</w:t>
      </w:r>
    </w:p>
    <w:p>
      <w:pPr>
        <w:spacing w:line="600" w:lineRule="exact"/>
        <w:ind w:left="105" w:leftChars="50" w:firstLine="480" w:firstLineChars="150"/>
        <w:rPr>
          <w:rFonts w:ascii="黑体" w:hAnsi="黑体" w:eastAsia="黑体"/>
          <w:sz w:val="32"/>
          <w:szCs w:val="32"/>
        </w:rPr>
      </w:pPr>
      <w:r>
        <w:rPr>
          <w:rFonts w:hint="eastAsia" w:ascii="黑体" w:hAnsi="黑体" w:eastAsia="黑体"/>
          <w:sz w:val="32"/>
          <w:szCs w:val="32"/>
        </w:rPr>
        <w:t>五、总体</w:t>
      </w:r>
      <w:r>
        <w:rPr>
          <w:rFonts w:ascii="黑体" w:hAnsi="黑体" w:eastAsia="黑体"/>
          <w:sz w:val="32"/>
          <w:szCs w:val="32"/>
        </w:rPr>
        <w:t>评价结论</w:t>
      </w:r>
    </w:p>
    <w:p>
      <w:pPr>
        <w:spacing w:line="600" w:lineRule="exact"/>
        <w:ind w:left="105" w:leftChars="50" w:firstLine="480" w:firstLineChars="150"/>
        <w:rPr>
          <w:rFonts w:ascii="楷体_GB2312" w:eastAsia="楷体_GB2312"/>
          <w:sz w:val="32"/>
          <w:szCs w:val="32"/>
        </w:rPr>
      </w:pPr>
      <w:r>
        <w:rPr>
          <w:rFonts w:hint="eastAsia" w:ascii="楷体_GB2312" w:eastAsia="楷体_GB2312"/>
          <w:sz w:val="32"/>
          <w:szCs w:val="32"/>
        </w:rPr>
        <w:t>（一）评价</w:t>
      </w:r>
      <w:r>
        <w:rPr>
          <w:rFonts w:ascii="楷体_GB2312" w:eastAsia="楷体_GB2312"/>
          <w:sz w:val="32"/>
          <w:szCs w:val="32"/>
        </w:rPr>
        <w:t>得分</w:t>
      </w:r>
      <w:r>
        <w:rPr>
          <w:rFonts w:hint="eastAsia" w:ascii="楷体_GB2312" w:eastAsia="楷体_GB2312"/>
          <w:sz w:val="32"/>
          <w:szCs w:val="32"/>
        </w:rPr>
        <w:t>情况</w:t>
      </w:r>
    </w:p>
    <w:p>
      <w:pPr>
        <w:spacing w:line="600" w:lineRule="exact"/>
        <w:ind w:left="105" w:leftChars="50" w:firstLine="480" w:firstLineChars="150"/>
        <w:rPr>
          <w:rFonts w:ascii="楷体_GB2312" w:eastAsia="楷体_GB2312"/>
          <w:sz w:val="32"/>
          <w:szCs w:val="32"/>
        </w:rPr>
      </w:pPr>
      <w:r>
        <w:rPr>
          <w:rFonts w:hint="eastAsia" w:ascii="楷体_GB2312" w:eastAsia="楷体_GB2312"/>
          <w:sz w:val="32"/>
          <w:szCs w:val="32"/>
        </w:rPr>
        <w:t>（二）存在的问题及原因分析</w:t>
      </w:r>
    </w:p>
    <w:p>
      <w:pPr>
        <w:spacing w:line="600" w:lineRule="exact"/>
        <w:ind w:firstLine="640" w:firstLineChars="200"/>
        <w:rPr>
          <w:rFonts w:ascii="仿宋_GB2312" w:hAnsi="宋体" w:eastAsia="仿宋_GB2312" w:cs="宋体"/>
          <w:color w:val="000000"/>
          <w:kern w:val="0"/>
          <w:sz w:val="32"/>
          <w:szCs w:val="32"/>
        </w:rPr>
      </w:pPr>
      <w:r>
        <w:rPr>
          <w:rFonts w:hint="eastAsia" w:ascii="黑体" w:hAnsi="黑体" w:eastAsia="黑体" w:cs="宋体"/>
          <w:color w:val="000000"/>
          <w:kern w:val="0"/>
          <w:sz w:val="32"/>
          <w:szCs w:val="32"/>
        </w:rPr>
        <w:t>六、措施建议</w:t>
      </w:r>
    </w:p>
    <w:p/>
    <w:p>
      <w:r>
        <w:br w:type="page"/>
      </w:r>
    </w:p>
    <w:p/>
    <w:p/>
    <w:tbl>
      <w:tblPr>
        <w:tblStyle w:val="13"/>
        <w:tblW w:w="14786" w:type="dxa"/>
        <w:tblInd w:w="0" w:type="dxa"/>
        <w:tblLayout w:type="fixed"/>
        <w:tblCellMar>
          <w:top w:w="0" w:type="dxa"/>
          <w:left w:w="108" w:type="dxa"/>
          <w:bottom w:w="0" w:type="dxa"/>
          <w:right w:w="108" w:type="dxa"/>
        </w:tblCellMar>
      </w:tblPr>
      <w:tblGrid>
        <w:gridCol w:w="1042"/>
        <w:gridCol w:w="1079"/>
        <w:gridCol w:w="692"/>
        <w:gridCol w:w="698"/>
        <w:gridCol w:w="1011"/>
        <w:gridCol w:w="686"/>
        <w:gridCol w:w="686"/>
        <w:gridCol w:w="3216"/>
        <w:gridCol w:w="5676"/>
      </w:tblGrid>
      <w:tr>
        <w:tblPrEx>
          <w:tblCellMar>
            <w:top w:w="0" w:type="dxa"/>
            <w:left w:w="108" w:type="dxa"/>
            <w:bottom w:w="0" w:type="dxa"/>
            <w:right w:w="108" w:type="dxa"/>
          </w:tblCellMar>
        </w:tblPrEx>
        <w:trPr>
          <w:trHeight w:val="499" w:hRule="atLeast"/>
        </w:trPr>
        <w:tc>
          <w:tcPr>
            <w:tcW w:w="14786" w:type="dxa"/>
            <w:gridSpan w:val="9"/>
            <w:tcBorders>
              <w:top w:val="nil"/>
              <w:left w:val="nil"/>
              <w:bottom w:val="single" w:color="auto" w:sz="4" w:space="0"/>
              <w:right w:val="nil"/>
            </w:tcBorders>
            <w:vAlign w:val="bottom"/>
          </w:tcPr>
          <w:p>
            <w:pPr>
              <w:widowControl/>
              <w:jc w:val="center"/>
              <w:rPr>
                <w:rFonts w:ascii="方正小标宋简体" w:hAnsi="黑体" w:eastAsia="方正小标宋简体" w:cs="宋体"/>
                <w:color w:val="000000"/>
                <w:kern w:val="0"/>
                <w:sz w:val="44"/>
                <w:szCs w:val="44"/>
              </w:rPr>
            </w:pPr>
            <w:r>
              <w:rPr>
                <w:rFonts w:hint="eastAsia" w:ascii="方正小标宋简体" w:hAnsi="黑体" w:eastAsia="方正小标宋简体" w:cs="宋体"/>
                <w:color w:val="000000"/>
                <w:kern w:val="0"/>
                <w:sz w:val="44"/>
                <w:szCs w:val="44"/>
              </w:rPr>
              <w:t>2024年部门整体绩效评价指标体系评分表</w:t>
            </w:r>
          </w:p>
        </w:tc>
      </w:tr>
      <w:tr>
        <w:tblPrEx>
          <w:tblCellMar>
            <w:top w:w="0" w:type="dxa"/>
            <w:left w:w="108" w:type="dxa"/>
            <w:bottom w:w="0" w:type="dxa"/>
            <w:right w:w="108" w:type="dxa"/>
          </w:tblCellMar>
        </w:tblPrEx>
        <w:trPr>
          <w:trHeight w:val="470" w:hRule="atLeast"/>
        </w:trPr>
        <w:tc>
          <w:tcPr>
            <w:tcW w:w="14786" w:type="dxa"/>
            <w:gridSpan w:val="9"/>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一、</w:t>
            </w:r>
            <w:r>
              <w:rPr>
                <w:rFonts w:hint="eastAsia" w:ascii="宋体" w:hAnsi="宋体" w:cs="宋体"/>
                <w:color w:val="000000"/>
                <w:kern w:val="0"/>
                <w:sz w:val="20"/>
                <w:szCs w:val="20"/>
              </w:rPr>
              <w:t>当年预算执行情况（20分）</w:t>
            </w:r>
          </w:p>
        </w:tc>
      </w:tr>
      <w:tr>
        <w:tblPrEx>
          <w:tblCellMar>
            <w:top w:w="0" w:type="dxa"/>
            <w:left w:w="108" w:type="dxa"/>
            <w:bottom w:w="0" w:type="dxa"/>
            <w:right w:w="108" w:type="dxa"/>
          </w:tblCellMar>
        </w:tblPrEx>
        <w:trPr>
          <w:trHeight w:val="660" w:hRule="atLeast"/>
        </w:trPr>
        <w:tc>
          <w:tcPr>
            <w:tcW w:w="104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一</w:t>
            </w:r>
            <w:r>
              <w:rPr>
                <w:rFonts w:ascii="宋体" w:hAnsi="宋体" w:cs="宋体"/>
                <w:color w:val="000000"/>
                <w:kern w:val="0"/>
                <w:sz w:val="20"/>
                <w:szCs w:val="20"/>
              </w:rPr>
              <w:t>级指标</w:t>
            </w:r>
            <w:r>
              <w:rPr>
                <w:rFonts w:hint="eastAsia" w:ascii="宋体" w:hAnsi="宋体" w:cs="宋体"/>
                <w:color w:val="000000"/>
                <w:kern w:val="0"/>
                <w:sz w:val="20"/>
                <w:szCs w:val="20"/>
              </w:rPr>
              <w:t>　</w:t>
            </w:r>
          </w:p>
        </w:tc>
        <w:tc>
          <w:tcPr>
            <w:tcW w:w="107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w:t>
            </w:r>
            <w:r>
              <w:rPr>
                <w:rFonts w:ascii="宋体" w:hAnsi="宋体" w:cs="宋体"/>
                <w:color w:val="000000"/>
                <w:kern w:val="0"/>
                <w:sz w:val="20"/>
                <w:szCs w:val="20"/>
              </w:rPr>
              <w:t>级指标</w:t>
            </w:r>
            <w:r>
              <w:rPr>
                <w:rFonts w:hint="eastAsia" w:ascii="宋体" w:hAnsi="宋体" w:cs="宋体"/>
                <w:color w:val="000000"/>
                <w:kern w:val="0"/>
                <w:sz w:val="20"/>
                <w:szCs w:val="20"/>
              </w:rPr>
              <w:t>　</w:t>
            </w:r>
          </w:p>
        </w:tc>
        <w:tc>
          <w:tcPr>
            <w:tcW w:w="6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预算数（万元）</w:t>
            </w:r>
          </w:p>
        </w:tc>
        <w:tc>
          <w:tcPr>
            <w:tcW w:w="6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执行数（万元）</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预算执行率</w:t>
            </w:r>
          </w:p>
        </w:tc>
        <w:tc>
          <w:tcPr>
            <w:tcW w:w="6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分值</w:t>
            </w:r>
          </w:p>
        </w:tc>
        <w:tc>
          <w:tcPr>
            <w:tcW w:w="6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得分</w:t>
            </w:r>
          </w:p>
        </w:tc>
        <w:tc>
          <w:tcPr>
            <w:tcW w:w="32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指标解释</w:t>
            </w:r>
          </w:p>
        </w:tc>
        <w:tc>
          <w:tcPr>
            <w:tcW w:w="567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评分标准</w:t>
            </w:r>
          </w:p>
        </w:tc>
      </w:tr>
      <w:tr>
        <w:tblPrEx>
          <w:tblCellMar>
            <w:top w:w="0" w:type="dxa"/>
            <w:left w:w="108" w:type="dxa"/>
            <w:bottom w:w="0" w:type="dxa"/>
            <w:right w:w="108" w:type="dxa"/>
          </w:tblCellMar>
        </w:tblPrEx>
        <w:trPr>
          <w:trHeight w:val="630" w:hRule="atLeast"/>
        </w:trPr>
        <w:tc>
          <w:tcPr>
            <w:tcW w:w="1042"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当年预算执行情况（20）</w:t>
            </w:r>
          </w:p>
        </w:tc>
        <w:tc>
          <w:tcPr>
            <w:tcW w:w="107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资金总体</w:t>
            </w:r>
          </w:p>
        </w:tc>
        <w:tc>
          <w:tcPr>
            <w:tcW w:w="6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9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w:t>
            </w:r>
          </w:p>
        </w:tc>
        <w:tc>
          <w:tcPr>
            <w:tcW w:w="686"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部门全年执行数与全年预算数的比率。资金总体=基本支出+项目支出+其他</w:t>
            </w:r>
          </w:p>
        </w:tc>
        <w:tc>
          <w:tcPr>
            <w:tcW w:w="5676"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①得分一档最高不能超过该指标分值上限（20分）。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②该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tc>
      </w:tr>
      <w:tr>
        <w:tblPrEx>
          <w:tblCellMar>
            <w:top w:w="0" w:type="dxa"/>
            <w:left w:w="108" w:type="dxa"/>
            <w:bottom w:w="0" w:type="dxa"/>
            <w:right w:w="108" w:type="dxa"/>
          </w:tblCellMar>
        </w:tblPrEx>
        <w:trPr>
          <w:trHeight w:val="600" w:hRule="atLeast"/>
        </w:trPr>
        <w:tc>
          <w:tcPr>
            <w:tcW w:w="104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single" w:color="auto" w:sz="4" w:space="0"/>
              <w:left w:val="single" w:color="auto" w:sz="4" w:space="0"/>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基本支出</w:t>
            </w:r>
          </w:p>
        </w:tc>
        <w:tc>
          <w:tcPr>
            <w:tcW w:w="6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9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w:t>
            </w:r>
          </w:p>
        </w:tc>
        <w:tc>
          <w:tcPr>
            <w:tcW w:w="6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86" w:type="dxa"/>
            <w:vMerge w:val="continue"/>
            <w:tcBorders>
              <w:top w:val="single" w:color="auto" w:sz="4" w:space="0"/>
              <w:left w:val="nil"/>
              <w:bottom w:val="single" w:color="auto" w:sz="4" w:space="0"/>
              <w:right w:val="nil"/>
            </w:tcBorders>
            <w:vAlign w:val="center"/>
          </w:tcPr>
          <w:p>
            <w:pPr>
              <w:widowControl/>
              <w:jc w:val="left"/>
              <w:rPr>
                <w:rFonts w:ascii="宋体" w:hAnsi="宋体" w:cs="宋体"/>
                <w:color w:val="000000"/>
                <w:kern w:val="0"/>
                <w:sz w:val="20"/>
                <w:szCs w:val="20"/>
              </w:rPr>
            </w:pPr>
          </w:p>
        </w:tc>
        <w:tc>
          <w:tcPr>
            <w:tcW w:w="32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6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15" w:hRule="atLeast"/>
        </w:trPr>
        <w:tc>
          <w:tcPr>
            <w:tcW w:w="104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single" w:color="auto" w:sz="4" w:space="0"/>
              <w:left w:val="single" w:color="auto" w:sz="4" w:space="0"/>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项目支出</w:t>
            </w:r>
          </w:p>
        </w:tc>
        <w:tc>
          <w:tcPr>
            <w:tcW w:w="6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9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86" w:type="dxa"/>
            <w:vMerge w:val="continue"/>
            <w:tcBorders>
              <w:top w:val="single" w:color="auto" w:sz="4" w:space="0"/>
              <w:left w:val="nil"/>
              <w:bottom w:val="single" w:color="auto" w:sz="4" w:space="0"/>
              <w:right w:val="nil"/>
            </w:tcBorders>
            <w:vAlign w:val="center"/>
          </w:tcPr>
          <w:p>
            <w:pPr>
              <w:widowControl/>
              <w:jc w:val="left"/>
              <w:rPr>
                <w:rFonts w:ascii="宋体" w:hAnsi="宋体" w:cs="宋体"/>
                <w:color w:val="000000"/>
                <w:kern w:val="0"/>
                <w:sz w:val="20"/>
                <w:szCs w:val="20"/>
              </w:rPr>
            </w:pPr>
          </w:p>
        </w:tc>
        <w:tc>
          <w:tcPr>
            <w:tcW w:w="32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6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2136" w:hRule="atLeast"/>
        </w:trPr>
        <w:tc>
          <w:tcPr>
            <w:tcW w:w="104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其他</w:t>
            </w:r>
          </w:p>
        </w:tc>
        <w:tc>
          <w:tcPr>
            <w:tcW w:w="6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9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86" w:type="dxa"/>
            <w:vMerge w:val="continue"/>
            <w:tcBorders>
              <w:top w:val="single" w:color="auto" w:sz="4" w:space="0"/>
              <w:left w:val="nil"/>
              <w:bottom w:val="single" w:color="auto" w:sz="4" w:space="0"/>
              <w:right w:val="nil"/>
            </w:tcBorders>
            <w:vAlign w:val="center"/>
          </w:tcPr>
          <w:p>
            <w:pPr>
              <w:widowControl/>
              <w:jc w:val="left"/>
              <w:rPr>
                <w:rFonts w:ascii="宋体" w:hAnsi="宋体" w:cs="宋体"/>
                <w:color w:val="000000"/>
                <w:kern w:val="0"/>
                <w:sz w:val="20"/>
                <w:szCs w:val="20"/>
              </w:rPr>
            </w:pPr>
          </w:p>
        </w:tc>
        <w:tc>
          <w:tcPr>
            <w:tcW w:w="321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6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569" w:hRule="atLeast"/>
        </w:trPr>
        <w:tc>
          <w:tcPr>
            <w:tcW w:w="14786" w:type="dxa"/>
            <w:gridSpan w:val="9"/>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二</w:t>
            </w:r>
            <w:r>
              <w:rPr>
                <w:rFonts w:ascii="宋体" w:hAnsi="宋体" w:cs="宋体"/>
                <w:color w:val="000000"/>
                <w:kern w:val="0"/>
                <w:sz w:val="18"/>
                <w:szCs w:val="18"/>
              </w:rPr>
              <w:t>、</w:t>
            </w:r>
            <w:r>
              <w:rPr>
                <w:rFonts w:hint="eastAsia" w:ascii="宋体" w:hAnsi="宋体" w:cs="宋体"/>
                <w:color w:val="000000"/>
                <w:kern w:val="0"/>
                <w:sz w:val="20"/>
                <w:szCs w:val="20"/>
              </w:rPr>
              <w:t>整体绩效目标实现情况（60分）</w:t>
            </w:r>
          </w:p>
        </w:tc>
      </w:tr>
      <w:tr>
        <w:tblPrEx>
          <w:tblCellMar>
            <w:top w:w="0" w:type="dxa"/>
            <w:left w:w="108" w:type="dxa"/>
            <w:bottom w:w="0" w:type="dxa"/>
            <w:right w:w="108" w:type="dxa"/>
          </w:tblCellMar>
        </w:tblPrEx>
        <w:trPr>
          <w:trHeight w:val="499" w:hRule="atLeast"/>
        </w:trPr>
        <w:tc>
          <w:tcPr>
            <w:tcW w:w="104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一</w:t>
            </w:r>
            <w:r>
              <w:rPr>
                <w:rFonts w:ascii="宋体" w:hAnsi="宋体" w:cs="宋体"/>
                <w:color w:val="000000"/>
                <w:kern w:val="0"/>
                <w:sz w:val="20"/>
                <w:szCs w:val="20"/>
              </w:rPr>
              <w:t>级指标</w:t>
            </w:r>
          </w:p>
        </w:tc>
        <w:tc>
          <w:tcPr>
            <w:tcW w:w="107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w:t>
            </w:r>
            <w:r>
              <w:rPr>
                <w:rFonts w:ascii="宋体" w:hAnsi="宋体" w:cs="宋体"/>
                <w:color w:val="000000"/>
                <w:kern w:val="0"/>
                <w:sz w:val="20"/>
                <w:szCs w:val="20"/>
              </w:rPr>
              <w:t>级指标</w:t>
            </w:r>
            <w:r>
              <w:rPr>
                <w:rFonts w:hint="eastAsia" w:ascii="宋体" w:hAnsi="宋体" w:cs="宋体"/>
                <w:color w:val="000000"/>
                <w:kern w:val="0"/>
                <w:sz w:val="20"/>
                <w:szCs w:val="20"/>
              </w:rPr>
              <w:t>　</w:t>
            </w:r>
          </w:p>
        </w:tc>
        <w:tc>
          <w:tcPr>
            <w:tcW w:w="6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三</w:t>
            </w:r>
            <w:r>
              <w:rPr>
                <w:rFonts w:ascii="宋体" w:hAnsi="宋体" w:cs="宋体"/>
                <w:color w:val="000000"/>
                <w:kern w:val="0"/>
                <w:sz w:val="20"/>
                <w:szCs w:val="20"/>
              </w:rPr>
              <w:t>级指标</w:t>
            </w:r>
            <w:r>
              <w:rPr>
                <w:rFonts w:hint="eastAsia" w:ascii="宋体" w:hAnsi="宋体" w:cs="宋体"/>
                <w:color w:val="000000"/>
                <w:kern w:val="0"/>
                <w:sz w:val="20"/>
                <w:szCs w:val="20"/>
              </w:rPr>
              <w:t>　</w:t>
            </w:r>
          </w:p>
        </w:tc>
        <w:tc>
          <w:tcPr>
            <w:tcW w:w="69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指标值</w:t>
            </w:r>
          </w:p>
        </w:tc>
        <w:tc>
          <w:tcPr>
            <w:tcW w:w="101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完成值</w:t>
            </w:r>
          </w:p>
        </w:tc>
        <w:tc>
          <w:tcPr>
            <w:tcW w:w="68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分值</w:t>
            </w:r>
          </w:p>
        </w:tc>
        <w:tc>
          <w:tcPr>
            <w:tcW w:w="686" w:type="dxa"/>
            <w:tcBorders>
              <w:top w:val="single" w:color="auto" w:sz="4" w:space="0"/>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得分</w:t>
            </w:r>
          </w:p>
        </w:tc>
        <w:tc>
          <w:tcPr>
            <w:tcW w:w="32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color w:val="000000"/>
                <w:kern w:val="0"/>
                <w:sz w:val="18"/>
                <w:szCs w:val="18"/>
              </w:rPr>
            </w:pPr>
            <w:r>
              <w:rPr>
                <w:rFonts w:hint="eastAsia" w:ascii="宋体" w:hAnsi="宋体" w:cs="宋体"/>
                <w:bCs/>
                <w:color w:val="000000"/>
                <w:kern w:val="0"/>
                <w:sz w:val="18"/>
                <w:szCs w:val="18"/>
              </w:rPr>
              <w:t>指标</w:t>
            </w:r>
            <w:r>
              <w:rPr>
                <w:rFonts w:ascii="宋体" w:hAnsi="宋体" w:cs="宋体"/>
                <w:bCs/>
                <w:color w:val="000000"/>
                <w:kern w:val="0"/>
                <w:sz w:val="18"/>
                <w:szCs w:val="18"/>
              </w:rPr>
              <w:t>解释</w:t>
            </w:r>
          </w:p>
        </w:tc>
        <w:tc>
          <w:tcPr>
            <w:tcW w:w="567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w:t>
            </w:r>
            <w:r>
              <w:rPr>
                <w:rFonts w:ascii="宋体" w:hAnsi="宋体" w:cs="宋体"/>
                <w:color w:val="000000"/>
                <w:kern w:val="0"/>
                <w:sz w:val="18"/>
                <w:szCs w:val="18"/>
              </w:rPr>
              <w:t>分标准</w:t>
            </w:r>
          </w:p>
        </w:tc>
      </w:tr>
      <w:tr>
        <w:tblPrEx>
          <w:tblCellMar>
            <w:top w:w="0" w:type="dxa"/>
            <w:left w:w="108" w:type="dxa"/>
            <w:bottom w:w="0" w:type="dxa"/>
            <w:right w:w="108" w:type="dxa"/>
          </w:tblCellMar>
        </w:tblPrEx>
        <w:trPr>
          <w:trHeight w:val="1196" w:hRule="atLeast"/>
        </w:trPr>
        <w:tc>
          <w:tcPr>
            <w:tcW w:w="104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整体绩效目标实现情况（60）</w:t>
            </w:r>
          </w:p>
        </w:tc>
        <w:tc>
          <w:tcPr>
            <w:tcW w:w="1079" w:type="dxa"/>
            <w:vMerge w:val="restart"/>
            <w:tcBorders>
              <w:top w:val="single" w:color="auto" w:sz="4" w:space="0"/>
              <w:left w:val="nil"/>
              <w:right w:val="single" w:color="auto" w:sz="4" w:space="0"/>
            </w:tcBorders>
            <w:vAlign w:val="center"/>
          </w:tcPr>
          <w:p>
            <w:pPr>
              <w:widowControl/>
              <w:jc w:val="center"/>
              <w:rPr>
                <w:rFonts w:ascii="宋体" w:hAnsi="宋体" w:cs="宋体"/>
                <w:color w:val="000000"/>
                <w:kern w:val="0"/>
                <w:sz w:val="20"/>
                <w:szCs w:val="20"/>
              </w:rPr>
            </w:pPr>
          </w:p>
          <w:p>
            <w:pPr>
              <w:jc w:val="center"/>
              <w:rPr>
                <w:rFonts w:ascii="宋体" w:hAnsi="宋体" w:cs="宋体"/>
                <w:color w:val="000000"/>
                <w:kern w:val="0"/>
                <w:sz w:val="20"/>
                <w:szCs w:val="20"/>
              </w:rPr>
            </w:pPr>
            <w:r>
              <w:rPr>
                <w:rFonts w:hint="eastAsia" w:ascii="宋体" w:hAnsi="宋体" w:cs="宋体"/>
                <w:color w:val="000000"/>
                <w:kern w:val="0"/>
                <w:sz w:val="20"/>
                <w:szCs w:val="20"/>
              </w:rPr>
              <w:t>产出（30）</w:t>
            </w:r>
          </w:p>
        </w:tc>
        <w:tc>
          <w:tcPr>
            <w:tcW w:w="6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p>
            <w:pPr>
              <w:jc w:val="center"/>
              <w:rPr>
                <w:rFonts w:ascii="宋体" w:hAnsi="宋体" w:cs="宋体"/>
                <w:color w:val="000000"/>
                <w:kern w:val="0"/>
                <w:sz w:val="20"/>
                <w:szCs w:val="20"/>
              </w:rPr>
            </w:pPr>
            <w:r>
              <w:rPr>
                <w:rFonts w:hint="eastAsia" w:ascii="宋体" w:hAnsi="宋体" w:cs="宋体"/>
                <w:color w:val="000000"/>
                <w:kern w:val="0"/>
                <w:sz w:val="20"/>
                <w:szCs w:val="20"/>
              </w:rPr>
              <w:t>指标1</w:t>
            </w:r>
          </w:p>
        </w:tc>
        <w:tc>
          <w:tcPr>
            <w:tcW w:w="69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p>
            <w:pPr>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p>
            <w:pPr>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vMerge w:val="restart"/>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p>
          <w:p>
            <w:pPr>
              <w:jc w:val="center"/>
              <w:rPr>
                <w:rFonts w:ascii="宋体" w:hAnsi="宋体" w:cs="宋体"/>
                <w:color w:val="000000"/>
                <w:kern w:val="0"/>
                <w:sz w:val="20"/>
                <w:szCs w:val="20"/>
              </w:rPr>
            </w:pPr>
            <w:r>
              <w:rPr>
                <w:rFonts w:hint="eastAsia" w:ascii="宋体" w:hAnsi="宋体" w:cs="宋体"/>
                <w:color w:val="000000"/>
                <w:kern w:val="0"/>
                <w:sz w:val="20"/>
                <w:szCs w:val="20"/>
              </w:rPr>
              <w:t>30</w:t>
            </w:r>
          </w:p>
        </w:tc>
        <w:tc>
          <w:tcPr>
            <w:tcW w:w="686" w:type="dxa"/>
            <w:tcBorders>
              <w:top w:val="single" w:color="auto" w:sz="4" w:space="0"/>
              <w:left w:val="nil"/>
              <w:bottom w:val="single" w:color="auto" w:sz="4" w:space="0"/>
              <w:right w:val="nil"/>
            </w:tcBorders>
            <w:vAlign w:val="center"/>
          </w:tcPr>
          <w:p>
            <w:pPr>
              <w:widowControl/>
              <w:jc w:val="center"/>
              <w:rPr>
                <w:rFonts w:ascii="宋体" w:hAnsi="宋体" w:cs="宋体"/>
                <w:color w:val="000000"/>
                <w:kern w:val="0"/>
                <w:sz w:val="20"/>
                <w:szCs w:val="20"/>
              </w:rPr>
            </w:pPr>
          </w:p>
          <w:p>
            <w:pPr>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b/>
                <w:bCs/>
                <w:color w:val="000000"/>
                <w:kern w:val="0"/>
                <w:sz w:val="18"/>
                <w:szCs w:val="18"/>
              </w:rPr>
              <w:t>产出数量</w:t>
            </w:r>
            <w:r>
              <w:rPr>
                <w:rFonts w:hint="eastAsia" w:ascii="宋体" w:hAnsi="宋体" w:cs="宋体"/>
                <w:color w:val="000000"/>
                <w:kern w:val="0"/>
                <w:sz w:val="18"/>
                <w:szCs w:val="18"/>
              </w:rPr>
              <w:t>：计划完成率=（实际完成工作数/计划工作数）×100%。实际完成工作数：一定时期（年度或规划期）内部门（单位）实际完成工作任务的数量。计划工作数：部门（单位）整体绩效目标确定的一定时期（年度或规划期）内预计完成工作任务的数量。</w:t>
            </w:r>
            <w:r>
              <w:rPr>
                <w:rFonts w:hint="eastAsia" w:ascii="宋体" w:hAnsi="宋体" w:cs="宋体"/>
                <w:b/>
                <w:bCs/>
                <w:color w:val="000000"/>
                <w:kern w:val="0"/>
                <w:sz w:val="18"/>
                <w:szCs w:val="18"/>
              </w:rPr>
              <w:t>产出质量</w:t>
            </w:r>
            <w:r>
              <w:rPr>
                <w:rFonts w:hint="eastAsia" w:ascii="宋体" w:hAnsi="宋体" w:cs="宋体"/>
                <w:color w:val="000000"/>
                <w:kern w:val="0"/>
                <w:sz w:val="18"/>
                <w:szCs w:val="18"/>
              </w:rPr>
              <w:t>：质量达标率=质量达标工作数/实际完成工作数×100%。质量达标工作数：一定时期（年度或规划期）内部门（单位）实际完成工作数中达到部门绩效目标要求（绩效标准值）的工作任务数量。</w:t>
            </w:r>
            <w:r>
              <w:rPr>
                <w:rFonts w:hint="eastAsia" w:ascii="宋体" w:hAnsi="宋体" w:cs="宋体"/>
                <w:b/>
                <w:bCs/>
                <w:color w:val="000000"/>
                <w:kern w:val="0"/>
                <w:sz w:val="18"/>
                <w:szCs w:val="18"/>
              </w:rPr>
              <w:t>产出进度：</w:t>
            </w:r>
            <w:r>
              <w:rPr>
                <w:rFonts w:hint="eastAsia" w:ascii="宋体" w:hAnsi="宋体" w:cs="宋体"/>
                <w:color w:val="000000"/>
                <w:kern w:val="0"/>
                <w:sz w:val="18"/>
                <w:szCs w:val="18"/>
              </w:rPr>
              <w:t>按时完成率=（按时完成工作数/实际完成工作数）×100%。按时完成工作数：部门（单位）按照整体绩效目标确定的时限实际完成的工作任务数量。</w:t>
            </w:r>
            <w:r>
              <w:rPr>
                <w:rFonts w:hint="eastAsia" w:ascii="宋体" w:hAnsi="宋体" w:cs="宋体"/>
                <w:b/>
                <w:bCs/>
                <w:color w:val="000000"/>
                <w:kern w:val="0"/>
                <w:sz w:val="18"/>
                <w:szCs w:val="18"/>
              </w:rPr>
              <w:t>产出成本</w:t>
            </w:r>
            <w:r>
              <w:rPr>
                <w:rFonts w:hint="eastAsia" w:ascii="宋体" w:hAnsi="宋体" w:cs="宋体"/>
                <w:color w:val="000000"/>
                <w:kern w:val="0"/>
                <w:sz w:val="18"/>
                <w:szCs w:val="18"/>
              </w:rPr>
              <w:t>：单位产出相对于上一年度的节约额；②单位产出相对于市场同类产出的节约额；③部门公用经费的控制情况。</w:t>
            </w:r>
          </w:p>
        </w:tc>
        <w:tc>
          <w:tcPr>
            <w:tcW w:w="5676"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部门根据本单位情况自行确定并选择产出指标，合理确定各项指标权重。可量化的指标按照比率*单项指标分值即为该指标得分。如果不能定量评价，则以定性的方式进行自评。</w:t>
            </w:r>
          </w:p>
        </w:tc>
      </w:tr>
      <w:tr>
        <w:tblPrEx>
          <w:tblCellMar>
            <w:top w:w="0" w:type="dxa"/>
            <w:left w:w="108" w:type="dxa"/>
            <w:bottom w:w="0" w:type="dxa"/>
            <w:right w:w="108" w:type="dxa"/>
          </w:tblCellMar>
        </w:tblPrEx>
        <w:trPr>
          <w:trHeight w:val="1130" w:hRule="atLeast"/>
        </w:trPr>
        <w:tc>
          <w:tcPr>
            <w:tcW w:w="104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指标2</w:t>
            </w:r>
          </w:p>
        </w:tc>
        <w:tc>
          <w:tcPr>
            <w:tcW w:w="69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vMerge w:val="continue"/>
            <w:tcBorders>
              <w:top w:val="single" w:color="auto" w:sz="4" w:space="0"/>
              <w:left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86" w:type="dxa"/>
            <w:tcBorders>
              <w:top w:val="single" w:color="auto" w:sz="4" w:space="0"/>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6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1258" w:hRule="atLeast"/>
        </w:trPr>
        <w:tc>
          <w:tcPr>
            <w:tcW w:w="104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指标3</w:t>
            </w:r>
          </w:p>
        </w:tc>
        <w:tc>
          <w:tcPr>
            <w:tcW w:w="6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vMerge w:val="continue"/>
            <w:tcBorders>
              <w:left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86" w:type="dxa"/>
            <w:tcBorders>
              <w:top w:val="nil"/>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6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975" w:hRule="atLeast"/>
        </w:trPr>
        <w:tc>
          <w:tcPr>
            <w:tcW w:w="104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92" w:type="dxa"/>
            <w:tcBorders>
              <w:top w:val="nil"/>
              <w:left w:val="nil"/>
              <w:bottom w:val="single" w:color="auto" w:sz="4" w:space="0"/>
              <w:right w:val="single" w:color="auto" w:sz="4" w:space="0"/>
            </w:tcBorders>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指标…</w:t>
            </w:r>
          </w:p>
        </w:tc>
        <w:tc>
          <w:tcPr>
            <w:tcW w:w="6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86" w:type="dxa"/>
            <w:tcBorders>
              <w:top w:val="nil"/>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6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75" w:hRule="atLeast"/>
        </w:trPr>
        <w:tc>
          <w:tcPr>
            <w:tcW w:w="104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效果（30）</w:t>
            </w:r>
          </w:p>
        </w:tc>
        <w:tc>
          <w:tcPr>
            <w:tcW w:w="6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指标1</w:t>
            </w:r>
          </w:p>
        </w:tc>
        <w:tc>
          <w:tcPr>
            <w:tcW w:w="6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vMerge w:val="restart"/>
            <w:tcBorders>
              <w:top w:val="nil"/>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30</w:t>
            </w:r>
          </w:p>
        </w:tc>
        <w:tc>
          <w:tcPr>
            <w:tcW w:w="686" w:type="dxa"/>
            <w:tcBorders>
              <w:top w:val="nil"/>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b/>
                <w:bCs/>
                <w:color w:val="000000"/>
                <w:kern w:val="0"/>
                <w:sz w:val="18"/>
                <w:szCs w:val="18"/>
              </w:rPr>
              <w:t>经济效益</w:t>
            </w:r>
            <w:r>
              <w:rPr>
                <w:rFonts w:hint="eastAsia" w:ascii="宋体" w:hAnsi="宋体" w:cs="宋体"/>
                <w:color w:val="000000"/>
                <w:kern w:val="0"/>
                <w:sz w:val="18"/>
                <w:szCs w:val="18"/>
              </w:rPr>
              <w:t>：部门（单位）履行职责对经济发展所带来的直接或间接影响。</w:t>
            </w:r>
            <w:r>
              <w:rPr>
                <w:rFonts w:hint="eastAsia" w:ascii="宋体" w:hAnsi="宋体" w:cs="宋体"/>
                <w:b/>
                <w:bCs/>
                <w:color w:val="000000"/>
                <w:kern w:val="0"/>
                <w:sz w:val="18"/>
                <w:szCs w:val="18"/>
              </w:rPr>
              <w:t>社会效益</w:t>
            </w:r>
            <w:r>
              <w:rPr>
                <w:rFonts w:hint="eastAsia" w:ascii="宋体" w:hAnsi="宋体" w:cs="宋体"/>
                <w:color w:val="000000"/>
                <w:kern w:val="0"/>
                <w:sz w:val="18"/>
                <w:szCs w:val="18"/>
              </w:rPr>
              <w:t>：部门（单位）履行职责对社会发展所带来的直接或间接影响。</w:t>
            </w:r>
            <w:r>
              <w:rPr>
                <w:rFonts w:hint="eastAsia" w:ascii="宋体" w:hAnsi="宋体" w:cs="宋体"/>
                <w:b/>
                <w:bCs/>
                <w:color w:val="000000"/>
                <w:kern w:val="0"/>
                <w:sz w:val="18"/>
                <w:szCs w:val="18"/>
              </w:rPr>
              <w:t>环境效益</w:t>
            </w:r>
            <w:r>
              <w:rPr>
                <w:rFonts w:hint="eastAsia" w:ascii="宋体" w:hAnsi="宋体" w:cs="宋体"/>
                <w:color w:val="000000"/>
                <w:kern w:val="0"/>
                <w:sz w:val="18"/>
                <w:szCs w:val="18"/>
              </w:rPr>
              <w:t>：部门（单位）履行职责对环境所带来的直接或间接影响。</w:t>
            </w:r>
            <w:r>
              <w:rPr>
                <w:rFonts w:hint="eastAsia" w:ascii="宋体" w:hAnsi="宋体" w:cs="宋体"/>
                <w:b/>
                <w:bCs/>
                <w:color w:val="000000"/>
                <w:kern w:val="0"/>
                <w:sz w:val="18"/>
                <w:szCs w:val="18"/>
              </w:rPr>
              <w:t>可持续性影响：</w:t>
            </w:r>
            <w:r>
              <w:rPr>
                <w:rFonts w:hint="eastAsia" w:ascii="宋体" w:hAnsi="宋体" w:cs="宋体"/>
                <w:color w:val="000000"/>
                <w:kern w:val="0"/>
                <w:sz w:val="18"/>
                <w:szCs w:val="18"/>
              </w:rPr>
              <w:t>部门绩效目标实现的长效机制建设情况，部门工作效率提升措施的创新。</w:t>
            </w:r>
            <w:r>
              <w:rPr>
                <w:rFonts w:hint="eastAsia" w:ascii="宋体" w:hAnsi="宋体" w:cs="宋体"/>
                <w:b/>
                <w:bCs/>
                <w:color w:val="000000"/>
                <w:kern w:val="0"/>
                <w:sz w:val="18"/>
                <w:szCs w:val="18"/>
              </w:rPr>
              <w:t>服务对象满意度</w:t>
            </w:r>
            <w:r>
              <w:rPr>
                <w:rFonts w:hint="eastAsia" w:ascii="宋体" w:hAnsi="宋体" w:cs="宋体"/>
                <w:color w:val="000000"/>
                <w:kern w:val="0"/>
                <w:sz w:val="18"/>
                <w:szCs w:val="18"/>
              </w:rPr>
              <w:t>：部门（单位）的服务对象对部门履职效果的满意程度。</w:t>
            </w:r>
          </w:p>
        </w:tc>
        <w:tc>
          <w:tcPr>
            <w:tcW w:w="5676" w:type="dxa"/>
            <w:vMerge w:val="restart"/>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部门根据实际情况选择指标进行填写，并将其细化为相应的个性化指标。对于效益类指标可从受益对象瞄准度、受益广度和受益深度上进行设计分析。</w:t>
            </w:r>
          </w:p>
        </w:tc>
      </w:tr>
      <w:tr>
        <w:tblPrEx>
          <w:tblCellMar>
            <w:top w:w="0" w:type="dxa"/>
            <w:left w:w="108" w:type="dxa"/>
            <w:bottom w:w="0" w:type="dxa"/>
            <w:right w:w="108" w:type="dxa"/>
          </w:tblCellMar>
        </w:tblPrEx>
        <w:trPr>
          <w:trHeight w:val="630" w:hRule="atLeast"/>
        </w:trPr>
        <w:tc>
          <w:tcPr>
            <w:tcW w:w="104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指标2</w:t>
            </w:r>
          </w:p>
        </w:tc>
        <w:tc>
          <w:tcPr>
            <w:tcW w:w="6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86" w:type="dxa"/>
            <w:tcBorders>
              <w:top w:val="nil"/>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6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90" w:hRule="atLeast"/>
        </w:trPr>
        <w:tc>
          <w:tcPr>
            <w:tcW w:w="104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指标3</w:t>
            </w:r>
          </w:p>
        </w:tc>
        <w:tc>
          <w:tcPr>
            <w:tcW w:w="6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86" w:type="dxa"/>
            <w:tcBorders>
              <w:top w:val="nil"/>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6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75" w:hRule="atLeast"/>
        </w:trPr>
        <w:tc>
          <w:tcPr>
            <w:tcW w:w="104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92" w:type="dxa"/>
            <w:tcBorders>
              <w:top w:val="nil"/>
              <w:left w:val="nil"/>
              <w:bottom w:val="single" w:color="auto" w:sz="4" w:space="0"/>
              <w:right w:val="single" w:color="auto" w:sz="4" w:space="0"/>
            </w:tcBorders>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指标…</w:t>
            </w:r>
          </w:p>
        </w:tc>
        <w:tc>
          <w:tcPr>
            <w:tcW w:w="6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86" w:type="dxa"/>
            <w:tcBorders>
              <w:top w:val="nil"/>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c>
          <w:tcPr>
            <w:tcW w:w="567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p>
        </w:tc>
      </w:tr>
      <w:tr>
        <w:tblPrEx>
          <w:tblCellMar>
            <w:top w:w="0" w:type="dxa"/>
            <w:left w:w="108" w:type="dxa"/>
            <w:bottom w:w="0" w:type="dxa"/>
            <w:right w:w="108" w:type="dxa"/>
          </w:tblCellMar>
        </w:tblPrEx>
        <w:trPr>
          <w:trHeight w:val="699" w:hRule="atLeast"/>
        </w:trPr>
        <w:tc>
          <w:tcPr>
            <w:tcW w:w="14786" w:type="dxa"/>
            <w:gridSpan w:val="9"/>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三</w:t>
            </w:r>
            <w:r>
              <w:rPr>
                <w:rFonts w:ascii="宋体" w:hAnsi="宋体" w:cs="宋体"/>
                <w:color w:val="000000"/>
                <w:kern w:val="0"/>
                <w:sz w:val="18"/>
                <w:szCs w:val="18"/>
              </w:rPr>
              <w:t>、</w:t>
            </w:r>
            <w:r>
              <w:rPr>
                <w:rFonts w:hint="eastAsia" w:ascii="宋体" w:hAnsi="宋体" w:cs="宋体"/>
                <w:color w:val="000000"/>
                <w:kern w:val="0"/>
                <w:sz w:val="20"/>
                <w:szCs w:val="20"/>
              </w:rPr>
              <w:t>预算管理情况（20分）</w:t>
            </w:r>
          </w:p>
        </w:tc>
      </w:tr>
      <w:tr>
        <w:tblPrEx>
          <w:tblCellMar>
            <w:top w:w="0" w:type="dxa"/>
            <w:left w:w="108" w:type="dxa"/>
            <w:bottom w:w="0" w:type="dxa"/>
            <w:right w:w="108" w:type="dxa"/>
          </w:tblCellMar>
        </w:tblPrEx>
        <w:trPr>
          <w:trHeight w:val="702" w:hRule="atLeast"/>
        </w:trPr>
        <w:tc>
          <w:tcPr>
            <w:tcW w:w="104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一</w:t>
            </w:r>
            <w:r>
              <w:rPr>
                <w:rFonts w:ascii="宋体" w:hAnsi="宋体" w:cs="宋体"/>
                <w:color w:val="000000"/>
                <w:kern w:val="0"/>
                <w:sz w:val="20"/>
                <w:szCs w:val="20"/>
              </w:rPr>
              <w:t>级指标</w:t>
            </w:r>
          </w:p>
        </w:tc>
        <w:tc>
          <w:tcPr>
            <w:tcW w:w="107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二</w:t>
            </w:r>
            <w:r>
              <w:rPr>
                <w:rFonts w:ascii="宋体" w:hAnsi="宋体" w:cs="宋体"/>
                <w:color w:val="000000"/>
                <w:kern w:val="0"/>
                <w:sz w:val="20"/>
                <w:szCs w:val="20"/>
              </w:rPr>
              <w:t>级指标</w:t>
            </w:r>
          </w:p>
        </w:tc>
        <w:tc>
          <w:tcPr>
            <w:tcW w:w="6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三</w:t>
            </w:r>
            <w:r>
              <w:rPr>
                <w:rFonts w:ascii="宋体" w:hAnsi="宋体" w:cs="宋体"/>
                <w:color w:val="000000"/>
                <w:kern w:val="0"/>
                <w:sz w:val="20"/>
                <w:szCs w:val="20"/>
              </w:rPr>
              <w:t>级指标</w:t>
            </w:r>
          </w:p>
        </w:tc>
        <w:tc>
          <w:tcPr>
            <w:tcW w:w="69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指标</w:t>
            </w:r>
            <w:r>
              <w:rPr>
                <w:rFonts w:ascii="宋体" w:hAnsi="宋体" w:cs="宋体"/>
                <w:color w:val="000000"/>
                <w:kern w:val="0"/>
                <w:sz w:val="20"/>
                <w:szCs w:val="20"/>
              </w:rPr>
              <w:t>值</w:t>
            </w:r>
          </w:p>
        </w:tc>
        <w:tc>
          <w:tcPr>
            <w:tcW w:w="101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完成</w:t>
            </w:r>
            <w:r>
              <w:rPr>
                <w:rFonts w:ascii="宋体" w:hAnsi="宋体" w:cs="宋体"/>
                <w:color w:val="000000"/>
                <w:kern w:val="0"/>
                <w:sz w:val="20"/>
                <w:szCs w:val="20"/>
              </w:rPr>
              <w:t>值</w:t>
            </w:r>
          </w:p>
        </w:tc>
        <w:tc>
          <w:tcPr>
            <w:tcW w:w="68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分</w:t>
            </w:r>
            <w:r>
              <w:rPr>
                <w:rFonts w:ascii="宋体" w:hAnsi="宋体" w:cs="宋体"/>
                <w:color w:val="000000"/>
                <w:kern w:val="0"/>
                <w:sz w:val="20"/>
                <w:szCs w:val="20"/>
              </w:rPr>
              <w:t>值</w:t>
            </w:r>
          </w:p>
        </w:tc>
        <w:tc>
          <w:tcPr>
            <w:tcW w:w="686" w:type="dxa"/>
            <w:tcBorders>
              <w:top w:val="single" w:color="auto" w:sz="4" w:space="0"/>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得</w:t>
            </w:r>
            <w:r>
              <w:rPr>
                <w:rFonts w:ascii="宋体" w:hAnsi="宋体" w:cs="宋体"/>
                <w:color w:val="000000"/>
                <w:kern w:val="0"/>
                <w:sz w:val="20"/>
                <w:szCs w:val="20"/>
              </w:rPr>
              <w:t>分</w:t>
            </w:r>
          </w:p>
        </w:tc>
        <w:tc>
          <w:tcPr>
            <w:tcW w:w="32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 w:val="18"/>
                <w:szCs w:val="18"/>
              </w:rPr>
            </w:pPr>
            <w:r>
              <w:rPr>
                <w:rFonts w:hint="eastAsia" w:ascii="宋体" w:hAnsi="宋体" w:cs="宋体"/>
                <w:bCs/>
                <w:color w:val="000000"/>
                <w:kern w:val="0"/>
                <w:sz w:val="18"/>
                <w:szCs w:val="18"/>
              </w:rPr>
              <w:t>指标</w:t>
            </w:r>
            <w:r>
              <w:rPr>
                <w:rFonts w:ascii="宋体" w:hAnsi="宋体" w:cs="宋体"/>
                <w:bCs/>
                <w:color w:val="000000"/>
                <w:kern w:val="0"/>
                <w:sz w:val="18"/>
                <w:szCs w:val="18"/>
              </w:rPr>
              <w:t>解释</w:t>
            </w:r>
          </w:p>
        </w:tc>
        <w:tc>
          <w:tcPr>
            <w:tcW w:w="567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评</w:t>
            </w:r>
            <w:r>
              <w:rPr>
                <w:rFonts w:ascii="宋体" w:hAnsi="宋体" w:cs="宋体"/>
                <w:color w:val="000000"/>
                <w:kern w:val="0"/>
                <w:sz w:val="18"/>
                <w:szCs w:val="18"/>
              </w:rPr>
              <w:t>分标准</w:t>
            </w:r>
          </w:p>
        </w:tc>
      </w:tr>
      <w:tr>
        <w:tblPrEx>
          <w:tblCellMar>
            <w:top w:w="0" w:type="dxa"/>
            <w:left w:w="108" w:type="dxa"/>
            <w:bottom w:w="0" w:type="dxa"/>
            <w:right w:w="108" w:type="dxa"/>
          </w:tblCellMar>
        </w:tblPrEx>
        <w:trPr>
          <w:trHeight w:val="1230" w:hRule="atLeast"/>
        </w:trPr>
        <w:tc>
          <w:tcPr>
            <w:tcW w:w="104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预算管理情况（20）</w:t>
            </w:r>
          </w:p>
        </w:tc>
        <w:tc>
          <w:tcPr>
            <w:tcW w:w="1079"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财务管理（4）</w:t>
            </w:r>
          </w:p>
        </w:tc>
        <w:tc>
          <w:tcPr>
            <w:tcW w:w="6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财务管理制度健全性</w:t>
            </w:r>
          </w:p>
        </w:tc>
        <w:tc>
          <w:tcPr>
            <w:tcW w:w="69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86" w:type="dxa"/>
            <w:tcBorders>
              <w:top w:val="single" w:color="auto" w:sz="4" w:space="0"/>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b/>
                <w:bCs/>
                <w:color w:val="000000"/>
                <w:kern w:val="0"/>
                <w:sz w:val="18"/>
                <w:szCs w:val="18"/>
              </w:rPr>
              <w:t>财务管理制度健全性:</w:t>
            </w:r>
            <w:r>
              <w:rPr>
                <w:rFonts w:hint="eastAsia" w:ascii="宋体" w:hAnsi="宋体" w:cs="宋体"/>
                <w:color w:val="000000"/>
                <w:kern w:val="0"/>
                <w:sz w:val="18"/>
                <w:szCs w:val="18"/>
              </w:rPr>
              <w:t>部门（单位）为加强财务管理、规范财务行为而制定的管理制度。</w:t>
            </w:r>
          </w:p>
        </w:tc>
        <w:tc>
          <w:tcPr>
            <w:tcW w:w="567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①预算资金管理办法、绩效跟踪管理办法、资产管理办法等各项制度是否健全；②部门内部财务管理制度是否完整、合规；③会计核算制度是否完整、合规。每有一项不合格扣0.5分，扣完为止。</w:t>
            </w:r>
          </w:p>
        </w:tc>
      </w:tr>
      <w:tr>
        <w:tblPrEx>
          <w:tblCellMar>
            <w:top w:w="0" w:type="dxa"/>
            <w:left w:w="108" w:type="dxa"/>
            <w:bottom w:w="0" w:type="dxa"/>
            <w:right w:w="108" w:type="dxa"/>
          </w:tblCellMar>
        </w:tblPrEx>
        <w:trPr>
          <w:trHeight w:val="2220" w:hRule="atLeast"/>
        </w:trPr>
        <w:tc>
          <w:tcPr>
            <w:tcW w:w="104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资金使用合规性和安全性</w:t>
            </w:r>
          </w:p>
        </w:tc>
        <w:tc>
          <w:tcPr>
            <w:tcW w:w="698"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686" w:type="dxa"/>
            <w:tcBorders>
              <w:top w:val="single" w:color="auto" w:sz="4" w:space="0"/>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b/>
                <w:bCs/>
                <w:color w:val="000000"/>
                <w:kern w:val="0"/>
                <w:sz w:val="18"/>
                <w:szCs w:val="18"/>
              </w:rPr>
              <w:t>资金使用合规性和安全性:</w:t>
            </w:r>
            <w:r>
              <w:rPr>
                <w:rFonts w:hint="eastAsia" w:ascii="宋体" w:hAnsi="宋体" w:cs="宋体"/>
                <w:color w:val="000000"/>
                <w:kern w:val="0"/>
                <w:sz w:val="18"/>
                <w:szCs w:val="18"/>
              </w:rPr>
              <w:t>部门（单位）使用预算资金是否符合相关的预算财务管理制度的规定，是否符合相关规定的开支范围，用以反映考核部门（单位）预算资金的规范运行和安全运行情况。</w:t>
            </w:r>
          </w:p>
        </w:tc>
        <w:tc>
          <w:tcPr>
            <w:tcW w:w="567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①是否符合国家财经法规和财务管理制度规定以及有关专项资金管理办法的规定；②资金的拨付是否有完整的审批程序和手续；③项目的重大开支是否经过评估论证；④是否符合部门预算批复的用途；⑤是否存在截留、挤占、挪用情况；⑥资金使用是否符合政府采购的程序和流程；⑦资金使用是否符合公务卡结算相关制度和规定。每有一项不合格扣0.5分，扣完为止。</w:t>
            </w:r>
          </w:p>
        </w:tc>
      </w:tr>
      <w:tr>
        <w:tblPrEx>
          <w:tblCellMar>
            <w:top w:w="0" w:type="dxa"/>
            <w:left w:w="108" w:type="dxa"/>
            <w:bottom w:w="0" w:type="dxa"/>
            <w:right w:w="108" w:type="dxa"/>
          </w:tblCellMar>
        </w:tblPrEx>
        <w:trPr>
          <w:trHeight w:val="1035" w:hRule="atLeast"/>
        </w:trPr>
        <w:tc>
          <w:tcPr>
            <w:tcW w:w="104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p>
        </w:tc>
        <w:tc>
          <w:tcPr>
            <w:tcW w:w="692"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会计基础信息完善性</w:t>
            </w:r>
          </w:p>
        </w:tc>
        <w:tc>
          <w:tcPr>
            <w:tcW w:w="698"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686" w:type="dxa"/>
            <w:tcBorders>
              <w:top w:val="nil"/>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b/>
                <w:bCs/>
                <w:color w:val="000000"/>
                <w:kern w:val="0"/>
                <w:sz w:val="18"/>
                <w:szCs w:val="18"/>
              </w:rPr>
              <w:t>会计基础信息完善性:</w:t>
            </w:r>
            <w:r>
              <w:rPr>
                <w:rFonts w:hint="eastAsia" w:ascii="宋体" w:hAnsi="宋体" w:cs="宋体"/>
                <w:color w:val="000000"/>
                <w:kern w:val="0"/>
                <w:sz w:val="18"/>
                <w:szCs w:val="18"/>
              </w:rPr>
              <w:t>部门（单位）会计基础信息情况。</w:t>
            </w:r>
          </w:p>
        </w:tc>
        <w:tc>
          <w:tcPr>
            <w:tcW w:w="56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①基础数据信息和会计信息资料是否真实；②基础数据信息和会计信息资料是否完整；③基础数据信息和会计信息资料是否准确。每有一项不合格扣0.5分，扣完为止。</w:t>
            </w:r>
          </w:p>
        </w:tc>
      </w:tr>
      <w:tr>
        <w:tblPrEx>
          <w:tblCellMar>
            <w:top w:w="0" w:type="dxa"/>
            <w:left w:w="108" w:type="dxa"/>
            <w:bottom w:w="0" w:type="dxa"/>
            <w:right w:w="108" w:type="dxa"/>
          </w:tblCellMar>
        </w:tblPrEx>
        <w:trPr>
          <w:trHeight w:val="2220" w:hRule="atLeast"/>
        </w:trPr>
        <w:tc>
          <w:tcPr>
            <w:tcW w:w="104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资产管理（4）</w:t>
            </w:r>
          </w:p>
        </w:tc>
        <w:tc>
          <w:tcPr>
            <w:tcW w:w="69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资产管理规范性</w:t>
            </w:r>
          </w:p>
        </w:tc>
        <w:tc>
          <w:tcPr>
            <w:tcW w:w="698"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68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b/>
                <w:bCs/>
                <w:color w:val="000000"/>
                <w:kern w:val="0"/>
                <w:sz w:val="18"/>
                <w:szCs w:val="18"/>
              </w:rPr>
              <w:t>资产管理规范性:</w:t>
            </w:r>
            <w:r>
              <w:rPr>
                <w:rFonts w:hint="eastAsia" w:ascii="宋体" w:hAnsi="宋体" w:cs="宋体"/>
                <w:color w:val="000000"/>
                <w:kern w:val="0"/>
                <w:sz w:val="18"/>
                <w:szCs w:val="18"/>
              </w:rPr>
              <w:t>部门（单位）的资产是否保持安全完整，资产配置是否合理，资产使用和资产处理是否规范，用以反映和考核部门（单位）资产管理的整体水平。</w:t>
            </w:r>
          </w:p>
        </w:tc>
        <w:tc>
          <w:tcPr>
            <w:tcW w:w="567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①对外投资行为是否经审批，是否存在投资亏损；②是否有因管理不当发生严重资产损失和丢失情况；③是否存在超标准配置资产；④资产使用是否规范，是否存在未经批准擅自出租、出借资产行为；⑤资产处置是否规范，是否存在不按要求进行报批或资产不公开处置行为；⑥其它资产管理制度办法执行情况。每有一项不合格扣0.8分，扣完为止。</w:t>
            </w:r>
          </w:p>
        </w:tc>
      </w:tr>
      <w:tr>
        <w:tblPrEx>
          <w:tblCellMar>
            <w:top w:w="0" w:type="dxa"/>
            <w:left w:w="108" w:type="dxa"/>
            <w:bottom w:w="0" w:type="dxa"/>
            <w:right w:w="108" w:type="dxa"/>
          </w:tblCellMar>
        </w:tblPrEx>
        <w:trPr>
          <w:trHeight w:val="1750" w:hRule="atLeast"/>
        </w:trPr>
        <w:tc>
          <w:tcPr>
            <w:tcW w:w="104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绩效管理（4）</w:t>
            </w:r>
          </w:p>
        </w:tc>
        <w:tc>
          <w:tcPr>
            <w:tcW w:w="69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绩效管理情况</w:t>
            </w:r>
          </w:p>
        </w:tc>
        <w:tc>
          <w:tcPr>
            <w:tcW w:w="698"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686" w:type="dxa"/>
            <w:tcBorders>
              <w:top w:val="single" w:color="auto" w:sz="4" w:space="0"/>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b/>
                <w:bCs/>
                <w:color w:val="000000"/>
                <w:kern w:val="0"/>
                <w:sz w:val="18"/>
                <w:szCs w:val="18"/>
              </w:rPr>
              <w:t>绩效管理情况:</w:t>
            </w:r>
            <w:r>
              <w:rPr>
                <w:rFonts w:hint="eastAsia" w:ascii="宋体" w:hAnsi="宋体" w:cs="宋体"/>
                <w:color w:val="000000"/>
                <w:kern w:val="0"/>
                <w:sz w:val="18"/>
                <w:szCs w:val="18"/>
              </w:rPr>
              <w:t>考核部门（单位）在绩效管理信息的汇总和应用情况。</w:t>
            </w:r>
          </w:p>
        </w:tc>
        <w:tc>
          <w:tcPr>
            <w:tcW w:w="567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①部门（单位）是否及时对绩效信息进行汇总分析整理；②部门（单位）是否对绩效目标偏离情况及时进行矫正。每有一项不合格扣2分。</w:t>
            </w:r>
          </w:p>
        </w:tc>
      </w:tr>
      <w:tr>
        <w:tblPrEx>
          <w:tblCellMar>
            <w:top w:w="0" w:type="dxa"/>
            <w:left w:w="108" w:type="dxa"/>
            <w:bottom w:w="0" w:type="dxa"/>
            <w:right w:w="108" w:type="dxa"/>
          </w:tblCellMar>
        </w:tblPrEx>
        <w:trPr>
          <w:trHeight w:val="394" w:hRule="atLeast"/>
        </w:trPr>
        <w:tc>
          <w:tcPr>
            <w:tcW w:w="104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指标　</w:t>
            </w:r>
          </w:p>
        </w:tc>
        <w:tc>
          <w:tcPr>
            <w:tcW w:w="1390"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2023年</w:t>
            </w:r>
          </w:p>
        </w:tc>
        <w:tc>
          <w:tcPr>
            <w:tcW w:w="1011"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2024年</w:t>
            </w:r>
          </w:p>
        </w:tc>
        <w:tc>
          <w:tcPr>
            <w:tcW w:w="68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分值</w:t>
            </w:r>
          </w:p>
        </w:tc>
        <w:tc>
          <w:tcPr>
            <w:tcW w:w="686"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得分</w:t>
            </w:r>
          </w:p>
        </w:tc>
        <w:tc>
          <w:tcPr>
            <w:tcW w:w="321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bCs/>
                <w:color w:val="000000"/>
                <w:kern w:val="0"/>
                <w:sz w:val="18"/>
                <w:szCs w:val="18"/>
              </w:rPr>
              <w:t>指标</w:t>
            </w:r>
            <w:r>
              <w:rPr>
                <w:rFonts w:ascii="宋体" w:hAnsi="宋体" w:cs="宋体"/>
                <w:bCs/>
                <w:color w:val="000000"/>
                <w:kern w:val="0"/>
                <w:sz w:val="18"/>
                <w:szCs w:val="18"/>
              </w:rPr>
              <w:t>解释</w:t>
            </w:r>
          </w:p>
        </w:tc>
        <w:tc>
          <w:tcPr>
            <w:tcW w:w="5676" w:type="dxa"/>
            <w:tcBorders>
              <w:top w:val="single" w:color="auto" w:sz="4" w:space="0"/>
              <w:left w:val="nil"/>
              <w:bottom w:val="single" w:color="auto" w:sz="4" w:space="0"/>
              <w:right w:val="single" w:color="auto" w:sz="4" w:space="0"/>
            </w:tcBorders>
            <w:vAlign w:val="center"/>
          </w:tcPr>
          <w:p>
            <w:pPr>
              <w:widowControl/>
              <w:jc w:val="center"/>
              <w:rPr>
                <w:rFonts w:eastAsia="Times New Roman"/>
                <w:kern w:val="0"/>
                <w:sz w:val="20"/>
                <w:szCs w:val="20"/>
              </w:rPr>
            </w:pPr>
            <w:r>
              <w:rPr>
                <w:rFonts w:hint="eastAsia" w:ascii="宋体" w:hAnsi="宋体" w:cs="宋体"/>
                <w:color w:val="000000"/>
                <w:kern w:val="0"/>
                <w:sz w:val="18"/>
                <w:szCs w:val="18"/>
              </w:rPr>
              <w:t>评</w:t>
            </w:r>
            <w:r>
              <w:rPr>
                <w:rFonts w:ascii="宋体" w:hAnsi="宋体" w:cs="宋体"/>
                <w:color w:val="000000"/>
                <w:kern w:val="0"/>
                <w:sz w:val="18"/>
                <w:szCs w:val="18"/>
              </w:rPr>
              <w:t>分标准</w:t>
            </w:r>
          </w:p>
        </w:tc>
      </w:tr>
      <w:tr>
        <w:tblPrEx>
          <w:tblCellMar>
            <w:top w:w="0" w:type="dxa"/>
            <w:left w:w="108" w:type="dxa"/>
            <w:bottom w:w="0" w:type="dxa"/>
            <w:right w:w="108" w:type="dxa"/>
          </w:tblCellMar>
        </w:tblPrEx>
        <w:trPr>
          <w:trHeight w:val="1365" w:hRule="atLeast"/>
        </w:trPr>
        <w:tc>
          <w:tcPr>
            <w:tcW w:w="104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nil"/>
              <w:left w:val="nil"/>
              <w:bottom w:val="single" w:color="auto" w:sz="4" w:space="0"/>
              <w:right w:val="single" w:color="auto" w:sz="4" w:space="0"/>
            </w:tcBorders>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结转结余率（4）</w:t>
            </w:r>
          </w:p>
        </w:tc>
        <w:tc>
          <w:tcPr>
            <w:tcW w:w="1390"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011"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686" w:type="dxa"/>
            <w:tcBorders>
              <w:top w:val="nil"/>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结转结余率=结转结余总额/支出预算数×100%。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结转结余总额：部门（单位）本年度的结转资金与结余资金之和。</w:t>
            </w:r>
          </w:p>
        </w:tc>
        <w:tc>
          <w:tcPr>
            <w:tcW w:w="5676"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部门结转结余率低于上年的不扣分；高于上年结余率，每高出1个百分点扣0.4分，扣完为止。（说明：预算调整和结转结余指标，如非预算部门主观因素导致扣分的，在评分结果征求意见环节，经与相关部门预算主管处室共同研究，可作为例外情况酌情考虑。）</w:t>
            </w:r>
          </w:p>
        </w:tc>
      </w:tr>
      <w:tr>
        <w:tblPrEx>
          <w:tblCellMar>
            <w:top w:w="0" w:type="dxa"/>
            <w:left w:w="108" w:type="dxa"/>
            <w:bottom w:w="0" w:type="dxa"/>
            <w:right w:w="108" w:type="dxa"/>
          </w:tblCellMar>
        </w:tblPrEx>
        <w:trPr>
          <w:trHeight w:val="90" w:hRule="atLeast"/>
        </w:trPr>
        <w:tc>
          <w:tcPr>
            <w:tcW w:w="104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0"/>
                <w:szCs w:val="20"/>
              </w:rPr>
            </w:pPr>
          </w:p>
        </w:tc>
        <w:tc>
          <w:tcPr>
            <w:tcW w:w="1079" w:type="dxa"/>
            <w:tcBorders>
              <w:top w:val="nil"/>
              <w:left w:val="nil"/>
              <w:bottom w:val="single" w:color="auto" w:sz="4" w:space="0"/>
              <w:right w:val="single" w:color="auto" w:sz="4" w:space="0"/>
            </w:tcBorders>
            <w:vAlign w:val="center"/>
          </w:tcPr>
          <w:p>
            <w:pPr>
              <w:widowControl/>
              <w:rPr>
                <w:rFonts w:ascii="宋体" w:hAnsi="宋体" w:cs="宋体"/>
                <w:color w:val="000000"/>
                <w:kern w:val="0"/>
                <w:sz w:val="20"/>
                <w:szCs w:val="20"/>
              </w:rPr>
            </w:pPr>
            <w:r>
              <w:rPr>
                <w:rFonts w:hint="eastAsia" w:ascii="宋体" w:hAnsi="宋体" w:cs="宋体"/>
                <w:color w:val="000000"/>
                <w:kern w:val="0"/>
                <w:sz w:val="20"/>
                <w:szCs w:val="20"/>
              </w:rPr>
              <w:t>部门预决算差异率（4）</w:t>
            </w:r>
          </w:p>
        </w:tc>
        <w:tc>
          <w:tcPr>
            <w:tcW w:w="1390" w:type="dxa"/>
            <w:gridSpan w:val="2"/>
            <w:tcBorders>
              <w:top w:val="single" w:color="auto" w:sz="4" w:space="0"/>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w:t>
            </w:r>
          </w:p>
        </w:tc>
        <w:tc>
          <w:tcPr>
            <w:tcW w:w="1011"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0"/>
                <w:szCs w:val="20"/>
              </w:rPr>
            </w:pPr>
            <w:r>
              <w:rPr>
                <w:rFonts w:hint="eastAsia" w:ascii="宋体" w:hAnsi="宋体" w:cs="宋体"/>
                <w:color w:val="000000"/>
                <w:kern w:val="0"/>
                <w:sz w:val="20"/>
                <w:szCs w:val="20"/>
              </w:rPr>
              <w:t>　</w:t>
            </w:r>
          </w:p>
        </w:tc>
        <w:tc>
          <w:tcPr>
            <w:tcW w:w="6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686" w:type="dxa"/>
            <w:tcBorders>
              <w:top w:val="nil"/>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216" w:type="dxa"/>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通过年度部门决算与年初部门预算对比，对部门的年度支出情况进行考核，衡量部门预算的约束力。</w:t>
            </w:r>
          </w:p>
        </w:tc>
        <w:tc>
          <w:tcPr>
            <w:tcW w:w="5676"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 w:val="18"/>
                <w:szCs w:val="18"/>
              </w:rPr>
            </w:pPr>
            <w:r>
              <w:rPr>
                <w:rFonts w:hint="eastAsia" w:ascii="宋体" w:hAnsi="宋体" w:cs="宋体"/>
                <w:color w:val="000000"/>
                <w:kern w:val="0"/>
                <w:sz w:val="18"/>
                <w:szCs w:val="18"/>
              </w:rPr>
              <w:t>部门预决算差异率高于市级平均差异率（28.3%）的，每高出10%（含），扣0.4分，扣完为止。</w:t>
            </w:r>
          </w:p>
        </w:tc>
      </w:tr>
      <w:tr>
        <w:tblPrEx>
          <w:tblCellMar>
            <w:top w:w="0" w:type="dxa"/>
            <w:left w:w="108" w:type="dxa"/>
            <w:bottom w:w="0" w:type="dxa"/>
            <w:right w:w="108" w:type="dxa"/>
          </w:tblCellMar>
        </w:tblPrEx>
        <w:trPr>
          <w:trHeight w:val="404" w:hRule="atLeast"/>
        </w:trPr>
        <w:tc>
          <w:tcPr>
            <w:tcW w:w="4522" w:type="dxa"/>
            <w:gridSpan w:val="5"/>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合计</w:t>
            </w:r>
          </w:p>
        </w:tc>
        <w:tc>
          <w:tcPr>
            <w:tcW w:w="686" w:type="dxa"/>
            <w:tcBorders>
              <w:top w:val="nil"/>
              <w:left w:val="nil"/>
              <w:bottom w:val="single" w:color="auto" w:sz="4" w:space="0"/>
              <w:right w:val="single" w:color="auto" w:sz="4" w:space="0"/>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100</w:t>
            </w:r>
          </w:p>
        </w:tc>
        <w:tc>
          <w:tcPr>
            <w:tcW w:w="686" w:type="dxa"/>
            <w:tcBorders>
              <w:top w:val="nil"/>
              <w:left w:val="nil"/>
              <w:bottom w:val="single" w:color="auto" w:sz="4" w:space="0"/>
              <w:right w:val="nil"/>
            </w:tcBorders>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892" w:type="dxa"/>
            <w:gridSpan w:val="2"/>
            <w:tcBorders>
              <w:top w:val="single" w:color="auto" w:sz="4" w:space="0"/>
              <w:left w:val="single" w:color="auto" w:sz="4" w:space="0"/>
              <w:bottom w:val="single" w:color="auto" w:sz="4" w:space="0"/>
              <w:right w:val="single" w:color="000000" w:sz="4" w:space="0"/>
            </w:tcBorders>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　</w:t>
            </w:r>
          </w:p>
        </w:tc>
      </w:tr>
    </w:tbl>
    <w:p>
      <w:pPr>
        <w:pStyle w:val="4"/>
        <w:ind w:firstLine="420"/>
      </w:pPr>
    </w:p>
    <w:p>
      <w:pPr>
        <w:pStyle w:val="4"/>
        <w:ind w:firstLine="420"/>
      </w:pPr>
    </w:p>
    <w:p>
      <w:pPr>
        <w:pStyle w:val="4"/>
        <w:ind w:firstLine="420"/>
      </w:pPr>
    </w:p>
    <w:p>
      <w:pPr>
        <w:pStyle w:val="4"/>
        <w:ind w:firstLine="420"/>
      </w:pPr>
    </w:p>
    <w:p>
      <w:pPr>
        <w:spacing w:line="560" w:lineRule="exact"/>
        <w:jc w:val="both"/>
        <w:rPr>
          <w:rFonts w:ascii="方正小标宋简体" w:eastAsia="方正小标宋简体"/>
          <w:sz w:val="36"/>
          <w:szCs w:val="36"/>
        </w:rPr>
      </w:pPr>
    </w:p>
    <w:p>
      <w:pPr>
        <w:spacing w:line="560" w:lineRule="exact"/>
        <w:jc w:val="center"/>
        <w:rPr>
          <w:rFonts w:ascii="方正小标宋简体" w:eastAsia="方正小标宋简体"/>
          <w:sz w:val="36"/>
          <w:szCs w:val="36"/>
        </w:rPr>
      </w:pPr>
      <w:r>
        <w:rPr>
          <w:rFonts w:hint="eastAsia" w:ascii="方正小标宋简体" w:eastAsia="方正小标宋简体"/>
          <w:sz w:val="44"/>
          <w:szCs w:val="44"/>
        </w:rPr>
        <w:t>项目支出绩效评价报告</w:t>
      </w:r>
    </w:p>
    <w:p>
      <w:pPr>
        <w:jc w:val="center"/>
        <w:rPr>
          <w:rFonts w:ascii="仿宋_GB2312" w:eastAsia="仿宋_GB2312"/>
          <w:sz w:val="32"/>
          <w:szCs w:val="32"/>
        </w:rPr>
      </w:pP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一、基本情况</w:t>
      </w:r>
    </w:p>
    <w:p>
      <w:pPr>
        <w:spacing w:line="600" w:lineRule="exact"/>
        <w:ind w:firstLine="640" w:firstLineChars="200"/>
        <w:outlineLvl w:val="0"/>
        <w:rPr>
          <w:rFonts w:ascii="楷体_GB2312" w:hAnsi="楷体_GB2312" w:eastAsia="楷体_GB2312" w:cs="楷体_GB2312"/>
          <w:sz w:val="32"/>
          <w:szCs w:val="32"/>
        </w:rPr>
      </w:pPr>
      <w:r>
        <w:rPr>
          <w:rFonts w:hint="eastAsia" w:ascii="楷体_GB2312" w:hAnsi="楷体_GB2312" w:eastAsia="楷体_GB2312" w:cs="楷体_GB2312"/>
          <w:sz w:val="32"/>
          <w:szCs w:val="32"/>
        </w:rPr>
        <w:t>（一）项目概况。包括项目背景、主要内容及实施情况、资金投入和使用情况等。</w:t>
      </w:r>
    </w:p>
    <w:p>
      <w:pPr>
        <w:spacing w:line="600" w:lineRule="exact"/>
        <w:ind w:firstLine="640" w:firstLineChars="200"/>
        <w:outlineLvl w:val="0"/>
        <w:rPr>
          <w:rFonts w:ascii="楷体_GB2312" w:hAnsi="楷体_GB2312" w:eastAsia="楷体_GB2312" w:cs="楷体_GB2312"/>
          <w:sz w:val="32"/>
          <w:szCs w:val="32"/>
        </w:rPr>
      </w:pPr>
      <w:r>
        <w:rPr>
          <w:rFonts w:hint="eastAsia" w:ascii="仿宋" w:hAnsi="仿宋" w:eastAsia="仿宋" w:cs="仿宋"/>
          <w:sz w:val="32"/>
          <w:szCs w:val="32"/>
        </w:rPr>
        <w:t>2024项目支出总金额18,444.39万元，其中经费类2,509.65万元，项目类15934.75万元。资金严格按照年初预算进行部门整体支出，在支出过程中能严格遵守各项规章制度。尤其是在专项经费支出上专款专用，无截留、无挪用等现象。</w:t>
      </w:r>
    </w:p>
    <w:p>
      <w:pPr>
        <w:spacing w:line="6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（二）项目绩效目标。包括总体目标和阶段性目标。</w:t>
      </w:r>
    </w:p>
    <w:p>
      <w:pPr>
        <w:spacing w:line="600" w:lineRule="exact"/>
        <w:ind w:firstLine="640" w:firstLineChars="200"/>
        <w:rPr>
          <w:rFonts w:ascii="楷体_GB2312" w:hAnsi="楷体_GB2312" w:eastAsia="楷体_GB2312" w:cs="楷体_GB2312"/>
          <w:sz w:val="32"/>
          <w:szCs w:val="32"/>
        </w:rPr>
      </w:pPr>
      <w:r>
        <w:rPr>
          <w:rFonts w:hint="eastAsia" w:ascii="仿宋" w:hAnsi="仿宋" w:eastAsia="仿宋" w:cs="仿宋"/>
          <w:sz w:val="32"/>
          <w:szCs w:val="32"/>
        </w:rPr>
        <w:t>资金及时拨付到位，各项任务圆满完成。严格遵守财务审批制度，财务管理进一步规范。</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二、绩效评价工作开展情况</w:t>
      </w:r>
    </w:p>
    <w:p>
      <w:pPr>
        <w:spacing w:line="6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（一）绩效评价目的、对象和范围。</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本次绩效评价的目的是全面分析和综合评价本镇财政预算资金的使用和管理情况，为切实提高财政资金使用效益，强化预算支出责任和效率提供参考依据。</w:t>
      </w:r>
    </w:p>
    <w:p>
      <w:pPr>
        <w:spacing w:line="600" w:lineRule="exact"/>
        <w:ind w:firstLine="640" w:firstLineChars="200"/>
        <w:rPr>
          <w:rFonts w:ascii="楷体_GB2312" w:hAnsi="楷体_GB2312" w:eastAsia="楷体_GB2312" w:cs="楷体_GB2312"/>
          <w:sz w:val="32"/>
          <w:szCs w:val="32"/>
        </w:rPr>
      </w:pPr>
      <w:r>
        <w:rPr>
          <w:rFonts w:hint="eastAsia" w:ascii="仿宋" w:hAnsi="仿宋" w:eastAsia="仿宋" w:cs="仿宋"/>
          <w:sz w:val="32"/>
          <w:szCs w:val="32"/>
        </w:rPr>
        <w:t>本次绩效评价的对象和范围是2024年决算中一般公共预算财政拨款资金、政府性基金预算财政拨款资金及年初结转和结余资金的使用情况、财务管理状况及绩效目标的实现程度。</w:t>
      </w:r>
    </w:p>
    <w:p>
      <w:pPr>
        <w:spacing w:line="6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（二）绩效评价原则、评价指标体系（附表说明）、评价方法、评价标准等。</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绩效评价原则是科学规范、公平、公正，针对既定职责实施评价。</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绩效评价方法为自我评价、专家评价、上级评价相结合。</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绩效评价标准有任务型标准及能力型标准。任务型标准是针对任务职责，要求被评价者完成本任务将如何实现；能力型标准则关注员工在完成任务过程中展示出来的对于工作的积极性、创造性以及自觉性等元素。</w:t>
      </w:r>
    </w:p>
    <w:p>
      <w:pPr>
        <w:spacing w:line="60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（三）绩效评价工作过程。</w:t>
      </w:r>
    </w:p>
    <w:p>
      <w:pPr>
        <w:spacing w:line="600" w:lineRule="exact"/>
        <w:ind w:firstLine="640" w:firstLineChars="200"/>
        <w:rPr>
          <w:rFonts w:ascii="楷体_GB2312" w:hAnsi="楷体_GB2312" w:eastAsia="楷体_GB2312" w:cs="楷体_GB2312"/>
          <w:sz w:val="32"/>
          <w:szCs w:val="32"/>
        </w:rPr>
      </w:pPr>
      <w:r>
        <w:rPr>
          <w:rFonts w:hint="eastAsia" w:ascii="仿宋" w:hAnsi="仿宋" w:eastAsia="仿宋" w:cs="仿宋"/>
          <w:sz w:val="32"/>
          <w:szCs w:val="32"/>
        </w:rPr>
        <w:t>召开绩效评价专题会议、明确评价对象、明确评价目的、明确评价内容、划清评价范围职责、材料收集、核实统计相关资料、召开评价工作小组组织讨论评价打分、形成评价结果编制书面评价报告。</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三、综合评价情况及评价结论</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通过全面客观有效的绩效评价，评价工作小组对92目逐项进行评价，评分等级为优的72，良的为20。</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四、绩效评价指标分析</w:t>
      </w:r>
    </w:p>
    <w:p>
      <w:pPr>
        <w:spacing w:line="600" w:lineRule="exact"/>
        <w:ind w:firstLine="640" w:firstLineChars="200"/>
        <w:outlineLvl w:val="0"/>
        <w:rPr>
          <w:rFonts w:ascii="楷体_GB2312" w:hAnsi="楷体_GB2312" w:eastAsia="楷体_GB2312" w:cs="楷体_GB2312"/>
          <w:sz w:val="32"/>
          <w:szCs w:val="32"/>
        </w:rPr>
      </w:pPr>
      <w:r>
        <w:rPr>
          <w:rFonts w:hint="eastAsia" w:ascii="楷体_GB2312" w:hAnsi="楷体_GB2312" w:eastAsia="楷体_GB2312" w:cs="楷体_GB2312"/>
          <w:sz w:val="32"/>
          <w:szCs w:val="32"/>
        </w:rPr>
        <w:t>（一）项目决策情况。</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我镇绩效评价的所有项目符合国家法律法规、国民经济发展规划和相关政策；项目程序到位，手续齐全，符合申报条件。</w:t>
      </w:r>
    </w:p>
    <w:p>
      <w:pPr>
        <w:spacing w:line="600" w:lineRule="exact"/>
        <w:ind w:firstLine="640" w:firstLineChars="200"/>
        <w:outlineLvl w:val="0"/>
        <w:rPr>
          <w:rFonts w:ascii="楷体_GB2312" w:hAnsi="楷体_GB2312" w:eastAsia="楷体_GB2312" w:cs="楷体_GB2312"/>
          <w:sz w:val="32"/>
          <w:szCs w:val="32"/>
        </w:rPr>
      </w:pPr>
      <w:r>
        <w:rPr>
          <w:rFonts w:hint="eastAsia" w:ascii="楷体_GB2312" w:hAnsi="楷体_GB2312" w:eastAsia="楷体_GB2312" w:cs="楷体_GB2312"/>
          <w:sz w:val="32"/>
          <w:szCs w:val="32"/>
        </w:rPr>
        <w:t>（二）项目过程情况。</w:t>
      </w:r>
    </w:p>
    <w:p>
      <w:pPr>
        <w:spacing w:line="6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绩效评价所有项目绩效目标明确，分配合理，资金到位，预算执行率100%，项目组织实施制度健全，执行有效。</w:t>
      </w:r>
    </w:p>
    <w:p>
      <w:pPr>
        <w:spacing w:line="600" w:lineRule="exact"/>
        <w:ind w:firstLine="640" w:firstLineChars="200"/>
        <w:outlineLvl w:val="0"/>
        <w:rPr>
          <w:rFonts w:ascii="楷体_GB2312" w:hAnsi="楷体_GB2312" w:eastAsia="楷体_GB2312" w:cs="楷体_GB2312"/>
          <w:sz w:val="32"/>
          <w:szCs w:val="32"/>
        </w:rPr>
      </w:pPr>
      <w:r>
        <w:rPr>
          <w:rFonts w:hint="eastAsia" w:ascii="楷体_GB2312" w:hAnsi="楷体_GB2312" w:eastAsia="楷体_GB2312" w:cs="楷体_GB2312"/>
          <w:sz w:val="32"/>
          <w:szCs w:val="32"/>
        </w:rPr>
        <w:t>（三）项目产出情况。</w:t>
      </w:r>
    </w:p>
    <w:p>
      <w:pPr>
        <w:spacing w:line="600" w:lineRule="exact"/>
        <w:ind w:firstLine="640" w:firstLineChars="200"/>
        <w:outlineLvl w:val="0"/>
        <w:rPr>
          <w:rFonts w:ascii="楷体_GB2312" w:hAnsi="楷体_GB2312" w:eastAsia="楷体_GB2312" w:cs="楷体_GB2312"/>
          <w:sz w:val="32"/>
          <w:szCs w:val="32"/>
        </w:rPr>
      </w:pPr>
      <w:r>
        <w:rPr>
          <w:rFonts w:hint="eastAsia" w:ascii="仿宋" w:hAnsi="仿宋" w:eastAsia="仿宋" w:cs="仿宋"/>
          <w:sz w:val="32"/>
          <w:szCs w:val="32"/>
        </w:rPr>
        <w:t>资金拨付到位，项目完成顺利。</w:t>
      </w:r>
    </w:p>
    <w:p>
      <w:pPr>
        <w:spacing w:line="600" w:lineRule="exact"/>
        <w:ind w:firstLine="640" w:firstLineChars="200"/>
        <w:outlineLvl w:val="0"/>
        <w:rPr>
          <w:rFonts w:ascii="楷体_GB2312" w:hAnsi="楷体_GB2312" w:eastAsia="楷体_GB2312" w:cs="楷体_GB2312"/>
          <w:sz w:val="32"/>
          <w:szCs w:val="32"/>
        </w:rPr>
      </w:pPr>
      <w:r>
        <w:rPr>
          <w:rFonts w:hint="eastAsia" w:ascii="楷体_GB2312" w:hAnsi="楷体_GB2312" w:eastAsia="楷体_GB2312" w:cs="楷体_GB2312"/>
          <w:sz w:val="32"/>
          <w:szCs w:val="32"/>
        </w:rPr>
        <w:t>（四）项目效益情况。</w:t>
      </w:r>
    </w:p>
    <w:p>
      <w:pPr>
        <w:spacing w:line="600" w:lineRule="exact"/>
        <w:ind w:firstLine="640" w:firstLineChars="200"/>
        <w:outlineLvl w:val="0"/>
        <w:rPr>
          <w:rFonts w:ascii="楷体_GB2312" w:hAnsi="楷体_GB2312" w:eastAsia="楷体_GB2312" w:cs="楷体_GB2312"/>
          <w:sz w:val="32"/>
          <w:szCs w:val="32"/>
        </w:rPr>
      </w:pPr>
      <w:r>
        <w:rPr>
          <w:rFonts w:hint="eastAsia" w:ascii="仿宋" w:hAnsi="仿宋" w:eastAsia="仿宋" w:cs="仿宋"/>
          <w:sz w:val="32"/>
          <w:szCs w:val="32"/>
        </w:rPr>
        <w:t>财务制度进一步得到加强，财务管理水平的到提升。</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五、主要经验及做法、存在的问题及原因分析</w:t>
      </w:r>
    </w:p>
    <w:p>
      <w:pPr>
        <w:spacing w:line="600" w:lineRule="exact"/>
        <w:ind w:firstLine="640" w:firstLineChars="200"/>
        <w:outlineLvl w:val="0"/>
        <w:rPr>
          <w:rFonts w:hint="eastAsia" w:ascii="仿宋" w:hAnsi="仿宋" w:eastAsia="仿宋" w:cs="仿宋"/>
          <w:sz w:val="32"/>
          <w:szCs w:val="32"/>
        </w:rPr>
      </w:pPr>
      <w:r>
        <w:rPr>
          <w:rFonts w:hint="eastAsia" w:ascii="仿宋" w:hAnsi="仿宋" w:eastAsia="仿宋" w:cs="仿宋"/>
          <w:sz w:val="32"/>
          <w:szCs w:val="32"/>
        </w:rPr>
        <w:t>无</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六、有关建议</w:t>
      </w:r>
    </w:p>
    <w:p>
      <w:pPr>
        <w:spacing w:line="600" w:lineRule="exact"/>
        <w:ind w:firstLine="640" w:firstLineChars="200"/>
        <w:outlineLvl w:val="0"/>
        <w:rPr>
          <w:rFonts w:hint="eastAsia" w:ascii="仿宋" w:hAnsi="仿宋" w:eastAsia="仿宋" w:cs="仿宋"/>
          <w:sz w:val="32"/>
          <w:szCs w:val="32"/>
        </w:rPr>
      </w:pPr>
      <w:r>
        <w:rPr>
          <w:rFonts w:hint="eastAsia" w:ascii="仿宋" w:hAnsi="仿宋" w:eastAsia="仿宋" w:cs="仿宋"/>
          <w:sz w:val="32"/>
          <w:szCs w:val="32"/>
        </w:rPr>
        <w:t>无</w:t>
      </w:r>
    </w:p>
    <w:p>
      <w:pPr>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七、其他需要说明的问题</w:t>
      </w:r>
    </w:p>
    <w:p>
      <w:pPr>
        <w:spacing w:line="600" w:lineRule="exact"/>
        <w:ind w:firstLine="640" w:firstLineChars="200"/>
        <w:outlineLvl w:val="0"/>
        <w:rPr>
          <w:rFonts w:hint="eastAsia" w:ascii="仿宋" w:hAnsi="仿宋" w:eastAsia="仿宋" w:cs="仿宋"/>
          <w:sz w:val="32"/>
          <w:szCs w:val="32"/>
        </w:rPr>
      </w:pPr>
      <w:r>
        <w:rPr>
          <w:rFonts w:hint="eastAsia" w:ascii="仿宋" w:hAnsi="仿宋" w:eastAsia="仿宋" w:cs="仿宋"/>
          <w:sz w:val="32"/>
          <w:szCs w:val="32"/>
        </w:rPr>
        <w:t>无</w:t>
      </w:r>
    </w:p>
    <w:p>
      <w:pPr>
        <w:pStyle w:val="4"/>
        <w:ind w:firstLine="420"/>
      </w:pPr>
    </w:p>
    <w:p/>
    <w:p>
      <w:pPr>
        <w:spacing w:line="480" w:lineRule="exact"/>
        <w:jc w:val="center"/>
        <w:rPr>
          <w:rFonts w:ascii="方正小标宋简体" w:hAnsi="黑体" w:eastAsia="方正小标宋简体"/>
          <w:sz w:val="36"/>
          <w:szCs w:val="36"/>
        </w:rPr>
      </w:pPr>
    </w:p>
    <w:p>
      <w:pPr>
        <w:spacing w:line="480" w:lineRule="exact"/>
        <w:jc w:val="center"/>
        <w:rPr>
          <w:rFonts w:ascii="方正小标宋简体" w:hAnsi="黑体" w:eastAsia="方正小标宋简体"/>
          <w:sz w:val="36"/>
          <w:szCs w:val="36"/>
        </w:rPr>
      </w:pPr>
    </w:p>
    <w:p>
      <w:pPr>
        <w:spacing w:line="480" w:lineRule="exact"/>
        <w:rPr>
          <w:rFonts w:ascii="方正小标宋简体" w:hAnsi="黑体" w:eastAsia="方正小标宋简体"/>
          <w:sz w:val="36"/>
          <w:szCs w:val="36"/>
        </w:rPr>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009" w:type="dxa"/>
        <w:jc w:val="center"/>
        <w:tblLayout w:type="fixed"/>
        <w:tblCellMar>
          <w:top w:w="0" w:type="dxa"/>
          <w:left w:w="108" w:type="dxa"/>
          <w:bottom w:w="0" w:type="dxa"/>
          <w:right w:w="108" w:type="dxa"/>
        </w:tblCellMar>
      </w:tblPr>
      <w:tblGrid>
        <w:gridCol w:w="1133"/>
        <w:gridCol w:w="718"/>
        <w:gridCol w:w="1362"/>
        <w:gridCol w:w="727"/>
        <w:gridCol w:w="505"/>
        <w:gridCol w:w="622"/>
        <w:gridCol w:w="1054"/>
        <w:gridCol w:w="926"/>
        <w:gridCol w:w="412"/>
        <w:gridCol w:w="246"/>
        <w:gridCol w:w="468"/>
        <w:gridCol w:w="23"/>
        <w:gridCol w:w="975"/>
        <w:gridCol w:w="838"/>
      </w:tblGrid>
      <w:tr>
        <w:tblPrEx>
          <w:tblCellMar>
            <w:top w:w="0" w:type="dxa"/>
            <w:left w:w="108" w:type="dxa"/>
            <w:bottom w:w="0" w:type="dxa"/>
            <w:right w:w="108" w:type="dxa"/>
          </w:tblCellMar>
        </w:tblPrEx>
        <w:trPr>
          <w:trHeight w:val="306" w:hRule="exact"/>
          <w:jc w:val="center"/>
        </w:trPr>
        <w:tc>
          <w:tcPr>
            <w:tcW w:w="185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58"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城乡道路占地补偿资金</w:t>
            </w:r>
          </w:p>
        </w:tc>
      </w:tr>
      <w:tr>
        <w:tblPrEx>
          <w:tblCellMar>
            <w:top w:w="0" w:type="dxa"/>
            <w:left w:w="108" w:type="dxa"/>
            <w:bottom w:w="0" w:type="dxa"/>
            <w:right w:w="108" w:type="dxa"/>
          </w:tblCellMar>
        </w:tblPrEx>
        <w:trPr>
          <w:trHeight w:val="306" w:hRule="exact"/>
          <w:jc w:val="center"/>
        </w:trPr>
        <w:tc>
          <w:tcPr>
            <w:tcW w:w="185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27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338"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55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85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27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338"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55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85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05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338"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37" w:type="dxa"/>
            <w:gridSpan w:val="3"/>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838"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85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089"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19.09</w:t>
            </w:r>
          </w:p>
        </w:tc>
        <w:tc>
          <w:tcPr>
            <w:tcW w:w="1054"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19.09</w:t>
            </w:r>
          </w:p>
        </w:tc>
        <w:tc>
          <w:tcPr>
            <w:tcW w:w="1338"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19.09</w:t>
            </w:r>
          </w:p>
        </w:tc>
        <w:tc>
          <w:tcPr>
            <w:tcW w:w="737" w:type="dxa"/>
            <w:gridSpan w:val="3"/>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38"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85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05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38"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37" w:type="dxa"/>
            <w:gridSpan w:val="3"/>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838"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85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19.09</w:t>
            </w:r>
          </w:p>
        </w:tc>
        <w:tc>
          <w:tcPr>
            <w:tcW w:w="1054"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19.09</w:t>
            </w:r>
          </w:p>
        </w:tc>
        <w:tc>
          <w:tcPr>
            <w:tcW w:w="1338"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19.09</w:t>
            </w:r>
          </w:p>
        </w:tc>
        <w:tc>
          <w:tcPr>
            <w:tcW w:w="737" w:type="dxa"/>
            <w:gridSpan w:val="3"/>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838"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85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05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38"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37" w:type="dxa"/>
            <w:gridSpan w:val="3"/>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838"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1133"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4988"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113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4988"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宋体" w:hAnsi="宋体" w:cs="宋体"/>
                <w:kern w:val="0"/>
                <w:sz w:val="20"/>
                <w:szCs w:val="20"/>
              </w:rPr>
              <w:t>确保</w:t>
            </w:r>
            <w:r>
              <w:rPr>
                <w:rFonts w:hint="eastAsia" w:ascii="宋体" w:hAnsi="宋体" w:cs="宋体"/>
                <w:sz w:val="20"/>
                <w:szCs w:val="20"/>
              </w:rPr>
              <w:t>2023年度城乡道路占地补偿资金</w:t>
            </w:r>
            <w:r>
              <w:rPr>
                <w:rFonts w:hint="eastAsia" w:ascii="宋体" w:hAnsi="宋体" w:cs="宋体"/>
                <w:kern w:val="0"/>
                <w:sz w:val="20"/>
                <w:szCs w:val="20"/>
              </w:rPr>
              <w:t>按照规定使用。</w:t>
            </w:r>
          </w:p>
        </w:tc>
        <w:tc>
          <w:tcPr>
            <w:tcW w:w="38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113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1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36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2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167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92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65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46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836"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36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232"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按时发放：</w:t>
            </w:r>
          </w:p>
        </w:tc>
        <w:tc>
          <w:tcPr>
            <w:tcW w:w="167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19.09</w:t>
            </w:r>
          </w:p>
        </w:tc>
        <w:tc>
          <w:tcPr>
            <w:tcW w:w="92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19.09</w:t>
            </w:r>
          </w:p>
        </w:tc>
        <w:tc>
          <w:tcPr>
            <w:tcW w:w="65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46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836"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6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232"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工程质量</w:t>
            </w:r>
          </w:p>
        </w:tc>
        <w:tc>
          <w:tcPr>
            <w:tcW w:w="167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提高</w:t>
            </w:r>
          </w:p>
        </w:tc>
        <w:tc>
          <w:tcPr>
            <w:tcW w:w="92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提高</w:t>
            </w:r>
          </w:p>
        </w:tc>
        <w:tc>
          <w:tcPr>
            <w:tcW w:w="65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46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836"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436" w:hRule="exact"/>
          <w:jc w:val="center"/>
        </w:trPr>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6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232"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年底完成</w:t>
            </w:r>
          </w:p>
        </w:tc>
        <w:tc>
          <w:tcPr>
            <w:tcW w:w="167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年底完成</w:t>
            </w:r>
          </w:p>
        </w:tc>
        <w:tc>
          <w:tcPr>
            <w:tcW w:w="92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按计划拨付</w:t>
            </w:r>
          </w:p>
        </w:tc>
        <w:tc>
          <w:tcPr>
            <w:tcW w:w="65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46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836"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6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232"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经费金额</w:t>
            </w:r>
          </w:p>
        </w:tc>
        <w:tc>
          <w:tcPr>
            <w:tcW w:w="167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19.09</w:t>
            </w:r>
          </w:p>
        </w:tc>
        <w:tc>
          <w:tcPr>
            <w:tcW w:w="92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19.09</w:t>
            </w:r>
          </w:p>
        </w:tc>
        <w:tc>
          <w:tcPr>
            <w:tcW w:w="65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46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1836"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530" w:hRule="exact"/>
          <w:jc w:val="center"/>
        </w:trPr>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36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232"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维持生活水平</w:t>
            </w:r>
          </w:p>
        </w:tc>
        <w:tc>
          <w:tcPr>
            <w:tcW w:w="167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c>
          <w:tcPr>
            <w:tcW w:w="92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65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46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w:t>
            </w:r>
          </w:p>
        </w:tc>
        <w:tc>
          <w:tcPr>
            <w:tcW w:w="1836"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423" w:hRule="exact"/>
          <w:jc w:val="center"/>
        </w:trPr>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6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232"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提高服务水平</w:t>
            </w:r>
          </w:p>
        </w:tc>
        <w:tc>
          <w:tcPr>
            <w:tcW w:w="167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宋体" w:hAnsi="宋体" w:cs="宋体"/>
                <w:kern w:val="0"/>
                <w:sz w:val="20"/>
                <w:szCs w:val="20"/>
              </w:rPr>
              <w:t>完成</w:t>
            </w:r>
          </w:p>
        </w:tc>
        <w:tc>
          <w:tcPr>
            <w:tcW w:w="92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宋体" w:hAnsi="宋体" w:cs="宋体"/>
                <w:kern w:val="0"/>
                <w:sz w:val="20"/>
                <w:szCs w:val="20"/>
              </w:rPr>
              <w:t>完成</w:t>
            </w:r>
          </w:p>
        </w:tc>
        <w:tc>
          <w:tcPr>
            <w:tcW w:w="65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46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w:t>
            </w:r>
          </w:p>
        </w:tc>
        <w:tc>
          <w:tcPr>
            <w:tcW w:w="1836"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571" w:hRule="exact"/>
          <w:jc w:val="center"/>
        </w:trPr>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6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232"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构建和谐村庄</w:t>
            </w:r>
          </w:p>
        </w:tc>
        <w:tc>
          <w:tcPr>
            <w:tcW w:w="167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宋体" w:hAnsi="宋体" w:cs="宋体"/>
                <w:kern w:val="0"/>
                <w:sz w:val="20"/>
                <w:szCs w:val="20"/>
              </w:rPr>
              <w:t>完成</w:t>
            </w:r>
          </w:p>
        </w:tc>
        <w:tc>
          <w:tcPr>
            <w:tcW w:w="92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宋体" w:hAnsi="宋体" w:cs="宋体"/>
                <w:kern w:val="0"/>
                <w:sz w:val="20"/>
                <w:szCs w:val="20"/>
              </w:rPr>
              <w:t>完成</w:t>
            </w:r>
          </w:p>
        </w:tc>
        <w:tc>
          <w:tcPr>
            <w:tcW w:w="65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46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836"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566" w:hRule="exact"/>
          <w:jc w:val="center"/>
        </w:trPr>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6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232"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具有可持续影响</w:t>
            </w:r>
          </w:p>
        </w:tc>
        <w:tc>
          <w:tcPr>
            <w:tcW w:w="167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92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65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46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836"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843" w:hRule="exact"/>
          <w:jc w:val="center"/>
        </w:trPr>
        <w:tc>
          <w:tcPr>
            <w:tcW w:w="11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36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232" w:type="dxa"/>
            <w:gridSpan w:val="2"/>
            <w:tcBorders>
              <w:top w:val="single" w:color="auto" w:sz="4" w:space="0"/>
              <w:left w:val="nil"/>
              <w:bottom w:val="single" w:color="auto" w:sz="4" w:space="0"/>
              <w:right w:val="single" w:color="auto" w:sz="4" w:space="0"/>
            </w:tcBorders>
            <w:vAlign w:val="center"/>
          </w:tcPr>
          <w:p>
            <w:pPr>
              <w:widowControl/>
              <w:spacing w:line="240" w:lineRule="exact"/>
              <w:jc w:val="left"/>
              <w:rPr>
                <w:rFonts w:ascii="仿宋_GB2312" w:hAnsi="宋体" w:eastAsia="仿宋_GB2312" w:cs="宋体"/>
                <w:color w:val="000000"/>
                <w:kern w:val="0"/>
                <w:szCs w:val="21"/>
              </w:rPr>
            </w:pPr>
            <w:r>
              <w:rPr>
                <w:rFonts w:hint="eastAsia" w:ascii="仿宋_GB2312" w:hAnsi="宋体" w:eastAsia="仿宋_GB2312" w:cs="宋体"/>
                <w:color w:val="000000"/>
                <w:kern w:val="0"/>
                <w:szCs w:val="21"/>
              </w:rPr>
              <w:t>居民满意度</w:t>
            </w:r>
          </w:p>
        </w:tc>
        <w:tc>
          <w:tcPr>
            <w:tcW w:w="167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92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w:t>
            </w:r>
          </w:p>
        </w:tc>
        <w:tc>
          <w:tcPr>
            <w:tcW w:w="65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46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836"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7047"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5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46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88</w:t>
            </w:r>
          </w:p>
        </w:tc>
        <w:tc>
          <w:tcPr>
            <w:tcW w:w="1836"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038" w:type="dxa"/>
        <w:jc w:val="center"/>
        <w:tblLayout w:type="fixed"/>
        <w:tblCellMar>
          <w:top w:w="0" w:type="dxa"/>
          <w:left w:w="108" w:type="dxa"/>
          <w:bottom w:w="0" w:type="dxa"/>
          <w:right w:w="108" w:type="dxa"/>
        </w:tblCellMar>
      </w:tblPr>
      <w:tblGrid>
        <w:gridCol w:w="585"/>
        <w:gridCol w:w="975"/>
        <w:gridCol w:w="1379"/>
        <w:gridCol w:w="453"/>
        <w:gridCol w:w="1127"/>
        <w:gridCol w:w="283"/>
        <w:gridCol w:w="849"/>
        <w:gridCol w:w="848"/>
        <w:gridCol w:w="279"/>
        <w:gridCol w:w="284"/>
        <w:gridCol w:w="420"/>
        <w:gridCol w:w="143"/>
        <w:gridCol w:w="703"/>
        <w:gridCol w:w="710"/>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478"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美丽乡村巨各庄镇豆各庄村等18个村污水配套管网基础设施建设工程</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26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26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912.47</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912.47</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912.47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912.47</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912.47</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912.47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387"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确保美丽乡村巨各庄镇豆各庄村等18个村污水配套管网基础设施建设工程资金按照规定使用。</w:t>
            </w:r>
          </w:p>
        </w:tc>
        <w:tc>
          <w:tcPr>
            <w:tcW w:w="3387"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37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1863"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559"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37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1863"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按时发放：</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912.47</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912.47</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37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1863"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工程质量</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37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1863"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37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1863"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经费金额</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912.47</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912.47</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37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863"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413" w:type="dxa"/>
            <w:gridSpan w:val="2"/>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37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863"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413" w:type="dxa"/>
            <w:gridSpan w:val="2"/>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37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863"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1413" w:type="dxa"/>
            <w:gridSpan w:val="2"/>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37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863"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609"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37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863"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89</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450" w:type="dxa"/>
        <w:jc w:val="center"/>
        <w:tblLayout w:type="fixed"/>
        <w:tblCellMar>
          <w:top w:w="0" w:type="dxa"/>
          <w:left w:w="108" w:type="dxa"/>
          <w:bottom w:w="0" w:type="dxa"/>
          <w:right w:w="108" w:type="dxa"/>
        </w:tblCellMar>
      </w:tblPr>
      <w:tblGrid>
        <w:gridCol w:w="1096"/>
        <w:gridCol w:w="975"/>
        <w:gridCol w:w="1324"/>
        <w:gridCol w:w="508"/>
        <w:gridCol w:w="1127"/>
        <w:gridCol w:w="283"/>
        <w:gridCol w:w="849"/>
        <w:gridCol w:w="848"/>
        <w:gridCol w:w="448"/>
        <w:gridCol w:w="300"/>
        <w:gridCol w:w="800"/>
        <w:gridCol w:w="800"/>
        <w:gridCol w:w="1075"/>
        <w:gridCol w:w="17"/>
      </w:tblGrid>
      <w:tr>
        <w:tblPrEx>
          <w:tblCellMar>
            <w:top w:w="0" w:type="dxa"/>
            <w:left w:w="108" w:type="dxa"/>
            <w:bottom w:w="0" w:type="dxa"/>
            <w:right w:w="108" w:type="dxa"/>
          </w:tblCellMar>
        </w:tblPrEx>
        <w:trPr>
          <w:gridAfter w:val="1"/>
          <w:wAfter w:w="17" w:type="dxa"/>
          <w:trHeight w:val="306" w:hRule="exact"/>
          <w:jc w:val="center"/>
        </w:trPr>
        <w:tc>
          <w:tcPr>
            <w:tcW w:w="207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62" w:type="dxa"/>
            <w:gridSpan w:val="11"/>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美丽乡村河南寨镇金沟村等20个村污水配套管网基础设施建设工程</w:t>
            </w:r>
          </w:p>
        </w:tc>
      </w:tr>
      <w:tr>
        <w:tblPrEx>
          <w:tblCellMar>
            <w:top w:w="0" w:type="dxa"/>
            <w:left w:w="108" w:type="dxa"/>
            <w:bottom w:w="0" w:type="dxa"/>
            <w:right w:w="108" w:type="dxa"/>
          </w:tblCellMar>
        </w:tblPrEx>
        <w:trPr>
          <w:gridAfter w:val="1"/>
          <w:wAfter w:w="17" w:type="dxa"/>
          <w:trHeight w:val="306" w:hRule="exact"/>
          <w:jc w:val="center"/>
        </w:trPr>
        <w:tc>
          <w:tcPr>
            <w:tcW w:w="207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296"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75" w:type="dxa"/>
            <w:gridSpan w:val="4"/>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gridAfter w:val="1"/>
          <w:wAfter w:w="17" w:type="dxa"/>
          <w:trHeight w:val="306" w:hRule="exact"/>
          <w:jc w:val="center"/>
        </w:trPr>
        <w:tc>
          <w:tcPr>
            <w:tcW w:w="207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296"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75" w:type="dxa"/>
            <w:gridSpan w:val="4"/>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gridAfter w:val="1"/>
          <w:wAfter w:w="17" w:type="dxa"/>
          <w:trHeight w:val="567" w:hRule="exact"/>
          <w:jc w:val="center"/>
        </w:trPr>
        <w:tc>
          <w:tcPr>
            <w:tcW w:w="207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296"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1100"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075"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gridAfter w:val="1"/>
          <w:wAfter w:w="17" w:type="dxa"/>
          <w:trHeight w:val="306" w:hRule="exact"/>
          <w:jc w:val="center"/>
        </w:trPr>
        <w:tc>
          <w:tcPr>
            <w:tcW w:w="207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584.56</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584.56</w:t>
            </w:r>
          </w:p>
        </w:tc>
        <w:tc>
          <w:tcPr>
            <w:tcW w:w="1296"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584.56</w:t>
            </w:r>
          </w:p>
        </w:tc>
        <w:tc>
          <w:tcPr>
            <w:tcW w:w="1100"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075"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gridAfter w:val="1"/>
          <w:wAfter w:w="17" w:type="dxa"/>
          <w:trHeight w:val="601" w:hRule="exact"/>
          <w:jc w:val="center"/>
        </w:trPr>
        <w:tc>
          <w:tcPr>
            <w:tcW w:w="207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96"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0"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075"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gridAfter w:val="1"/>
          <w:wAfter w:w="17" w:type="dxa"/>
          <w:trHeight w:val="567" w:hRule="exact"/>
          <w:jc w:val="center"/>
        </w:trPr>
        <w:tc>
          <w:tcPr>
            <w:tcW w:w="207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584.56</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584.56</w:t>
            </w:r>
          </w:p>
        </w:tc>
        <w:tc>
          <w:tcPr>
            <w:tcW w:w="1296"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584.56</w:t>
            </w:r>
          </w:p>
        </w:tc>
        <w:tc>
          <w:tcPr>
            <w:tcW w:w="1100"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075"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gridAfter w:val="1"/>
          <w:wAfter w:w="17" w:type="dxa"/>
          <w:trHeight w:val="306" w:hRule="exact"/>
          <w:jc w:val="center"/>
        </w:trPr>
        <w:tc>
          <w:tcPr>
            <w:tcW w:w="207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96"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0"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075"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1096"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42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109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42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830" w:hRule="exact"/>
          <w:jc w:val="center"/>
        </w:trPr>
        <w:tc>
          <w:tcPr>
            <w:tcW w:w="10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324"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191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74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1892"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191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584.56</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584.56</w:t>
            </w:r>
          </w:p>
        </w:tc>
        <w:tc>
          <w:tcPr>
            <w:tcW w:w="74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1892"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32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191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工程质量</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74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1892"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529" w:hRule="exact"/>
          <w:jc w:val="center"/>
        </w:trPr>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32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191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74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1892"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32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191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补贴</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584.56</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584.56</w:t>
            </w:r>
          </w:p>
        </w:tc>
        <w:tc>
          <w:tcPr>
            <w:tcW w:w="74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892"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91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74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1892"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32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社会效益指标</w:t>
            </w:r>
          </w:p>
        </w:tc>
        <w:tc>
          <w:tcPr>
            <w:tcW w:w="191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74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1892"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32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91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74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1892"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32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91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74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892"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1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324"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918"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74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892"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7010"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74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80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97</w:t>
            </w:r>
          </w:p>
        </w:tc>
        <w:tc>
          <w:tcPr>
            <w:tcW w:w="1892"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038"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710"/>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478"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复耕土地流转费</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26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26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1,048.24</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1,048.24</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1,048.24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1,048.24</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1,048.24</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1,048.24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3387"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保障复耕土地流转费顺利发放</w:t>
            </w:r>
          </w:p>
        </w:tc>
        <w:tc>
          <w:tcPr>
            <w:tcW w:w="3387"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1048.24</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1048.24</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生态质量</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补贴</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1048.24</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1048.24</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90</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05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72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49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耕地保护空间复耕工程资金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2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2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7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149.37</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149.37</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149.37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7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7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149.37</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149.37</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149.37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7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7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4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保障耕地保护空间复耕工程资金顺利发放</w:t>
            </w:r>
          </w:p>
        </w:tc>
        <w:tc>
          <w:tcPr>
            <w:tcW w:w="4401"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4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149.37</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149.37</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24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生态质量</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4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4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529"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补贴</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149.37</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149.37</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24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4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4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4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4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4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4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95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37"/>
        <w:gridCol w:w="467"/>
        <w:gridCol w:w="143"/>
        <w:gridCol w:w="703"/>
        <w:gridCol w:w="162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9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密云区2021年汛后水毁河道修复工程</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1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1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6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60.00</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60.00</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60.00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6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60.00</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60.00</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60.00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6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6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6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3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完成2021年汛后水毁河道修复工程</w:t>
            </w:r>
          </w:p>
        </w:tc>
        <w:tc>
          <w:tcPr>
            <w:tcW w:w="43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1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61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2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60</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60</w:t>
            </w:r>
          </w:p>
        </w:tc>
        <w:tc>
          <w:tcPr>
            <w:tcW w:w="51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61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2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工程质量</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51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1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1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1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补贴</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60</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60</w:t>
            </w:r>
          </w:p>
        </w:tc>
        <w:tc>
          <w:tcPr>
            <w:tcW w:w="51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61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2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1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61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2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1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61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1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61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1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61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1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61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1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610"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91</w:t>
            </w:r>
          </w:p>
        </w:tc>
        <w:tc>
          <w:tcPr>
            <w:tcW w:w="2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pStyle w:val="3"/>
        <w:spacing w:before="156" w:after="156"/>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93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61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7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2023年高标准农田建设项目</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实施单位</w:t>
            </w:r>
          </w:p>
        </w:tc>
        <w:tc>
          <w:tcPr>
            <w:tcW w:w="31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联系电话</w:t>
            </w:r>
          </w:p>
        </w:tc>
        <w:tc>
          <w:tcPr>
            <w:tcW w:w="31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执行率</w:t>
            </w:r>
          </w:p>
        </w:tc>
        <w:tc>
          <w:tcPr>
            <w:tcW w:w="1611" w:type="dxa"/>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203.01</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203.01</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203.01</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1611" w:type="dxa"/>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611" w:type="dxa"/>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203.01</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203.01</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203.01</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1611" w:type="dxa"/>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611" w:type="dxa"/>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42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完成2023年高标准农田建设项目</w:t>
            </w:r>
          </w:p>
        </w:tc>
        <w:tc>
          <w:tcPr>
            <w:tcW w:w="42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23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203.01</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203.01</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23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工程质量</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3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3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补贴</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203.01</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203.01</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23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3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23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3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3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3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89</w:t>
            </w:r>
          </w:p>
        </w:tc>
        <w:tc>
          <w:tcPr>
            <w:tcW w:w="23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23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91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67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2021年矿山生态修复治理（8个图斑）绿化提升设计</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4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4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9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38.14</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38.14</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38.14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9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9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38.14</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38.14</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38.14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9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9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5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完成2021年矿山生态修复治理（8个图斑）绿化提升设计</w:t>
            </w:r>
          </w:p>
        </w:tc>
        <w:tc>
          <w:tcPr>
            <w:tcW w:w="45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26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按时发放</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38.14</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38.14</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26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工程质量</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6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6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经费金额</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38.14</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38.14</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26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26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26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6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6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6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88</w:t>
            </w:r>
          </w:p>
        </w:tc>
        <w:tc>
          <w:tcPr>
            <w:tcW w:w="26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714"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238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915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密云区东邵渠镇村庄雨排水改造及蓄水池修复项目</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9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9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479"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仿宋_GB2312" w:hAnsi="宋体" w:eastAsia="仿宋_GB2312" w:cs="宋体"/>
                <w:kern w:val="0"/>
                <w:szCs w:val="21"/>
              </w:rPr>
              <w:t>395.92</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111.49</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111.49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395.92</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111.49</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111.49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50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密云区东邵渠镇村庄雨排水改造及蓄水池修复项目</w:t>
            </w:r>
          </w:p>
        </w:tc>
        <w:tc>
          <w:tcPr>
            <w:tcW w:w="50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3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635"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111.49</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111.49</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3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工程质量</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590"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补贴</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111.49</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111.49</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3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3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3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92</w:t>
            </w:r>
          </w:p>
        </w:tc>
        <w:tc>
          <w:tcPr>
            <w:tcW w:w="3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128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296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972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密云区东邵渠镇银冶岭村、石峨村雨排水项目</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45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45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9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50.35</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50.35</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50.35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9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9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50.35</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50.35</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50.35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9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9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563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确保密云区东邵渠镇银冶岭村、石峨村雨排水项目资金按照规定使用。</w:t>
            </w:r>
          </w:p>
        </w:tc>
        <w:tc>
          <w:tcPr>
            <w:tcW w:w="563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36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按时发放</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431.37</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431.37</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36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工程质量</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6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6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经费金额</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431.37</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431.37</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36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36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36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36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6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6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87</w:t>
            </w:r>
          </w:p>
        </w:tc>
        <w:tc>
          <w:tcPr>
            <w:tcW w:w="36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514"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218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95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试点探索农村邻里互助养老服务点资金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7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7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1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16.13</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16.13</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16.13</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1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1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16.13</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16.13</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16.13</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1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2186" w:type="dxa"/>
            <w:tcBorders>
              <w:top w:val="nil"/>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48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目标1：按时发放。</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目标2：保障资金按照规定使用。</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目标3:构建和谐社会。</w:t>
            </w:r>
          </w:p>
        </w:tc>
        <w:tc>
          <w:tcPr>
            <w:tcW w:w="48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28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50.7</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50.7</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28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足额发放</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满足需求</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8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按季度完成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8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匹配资金</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50.7</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50.7</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28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减轻看护人经济负担</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28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解决社会弱势群体生活问题</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8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部分改善生活水平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28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28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28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96</w:t>
            </w:r>
          </w:p>
        </w:tc>
        <w:tc>
          <w:tcPr>
            <w:tcW w:w="28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627" w:type="dxa"/>
        <w:jc w:val="center"/>
        <w:tblLayout w:type="fixed"/>
        <w:tblCellMar>
          <w:top w:w="0" w:type="dxa"/>
          <w:left w:w="108" w:type="dxa"/>
          <w:bottom w:w="0" w:type="dxa"/>
          <w:right w:w="108" w:type="dxa"/>
        </w:tblCellMar>
      </w:tblPr>
      <w:tblGrid>
        <w:gridCol w:w="585"/>
        <w:gridCol w:w="975"/>
        <w:gridCol w:w="1105"/>
        <w:gridCol w:w="727"/>
        <w:gridCol w:w="1127"/>
        <w:gridCol w:w="86"/>
        <w:gridCol w:w="1046"/>
        <w:gridCol w:w="939"/>
        <w:gridCol w:w="188"/>
        <w:gridCol w:w="284"/>
        <w:gridCol w:w="420"/>
        <w:gridCol w:w="143"/>
        <w:gridCol w:w="703"/>
        <w:gridCol w:w="229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906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镇街其他人员经费</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8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8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2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800</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800</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800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2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800</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800</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800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2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2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2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9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按时发放镇街人员经费</w:t>
            </w:r>
          </w:p>
        </w:tc>
        <w:tc>
          <w:tcPr>
            <w:tcW w:w="49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1940"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10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93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4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30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1940"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10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800</w:t>
            </w:r>
          </w:p>
        </w:tc>
        <w:tc>
          <w:tcPr>
            <w:tcW w:w="93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800</w:t>
            </w:r>
          </w:p>
        </w:tc>
        <w:tc>
          <w:tcPr>
            <w:tcW w:w="4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30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52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1940"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足额发放</w:t>
            </w:r>
          </w:p>
        </w:tc>
        <w:tc>
          <w:tcPr>
            <w:tcW w:w="10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满足需求</w:t>
            </w:r>
          </w:p>
        </w:tc>
        <w:tc>
          <w:tcPr>
            <w:tcW w:w="93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w:t>
            </w:r>
          </w:p>
        </w:tc>
        <w:tc>
          <w:tcPr>
            <w:tcW w:w="4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0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699"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1940"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按季度完成</w:t>
            </w:r>
          </w:p>
        </w:tc>
        <w:tc>
          <w:tcPr>
            <w:tcW w:w="10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93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4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0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1940"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匹配资金</w:t>
            </w:r>
          </w:p>
        </w:tc>
        <w:tc>
          <w:tcPr>
            <w:tcW w:w="1046"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800</w:t>
            </w:r>
          </w:p>
        </w:tc>
        <w:tc>
          <w:tcPr>
            <w:tcW w:w="93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800</w:t>
            </w:r>
          </w:p>
        </w:tc>
        <w:tc>
          <w:tcPr>
            <w:tcW w:w="4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30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940"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减轻看护人经济负担</w:t>
            </w:r>
          </w:p>
        </w:tc>
        <w:tc>
          <w:tcPr>
            <w:tcW w:w="10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93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4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30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940"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解决社会弱势群体生活问题</w:t>
            </w:r>
          </w:p>
        </w:tc>
        <w:tc>
          <w:tcPr>
            <w:tcW w:w="10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93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4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0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940"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部分改善生活水平</w:t>
            </w:r>
          </w:p>
        </w:tc>
        <w:tc>
          <w:tcPr>
            <w:tcW w:w="10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93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4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30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940"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10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93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4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30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940"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1046"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93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4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30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477" w:hRule="exact"/>
          <w:jc w:val="center"/>
        </w:trPr>
        <w:tc>
          <w:tcPr>
            <w:tcW w:w="6590"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4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96</w:t>
            </w:r>
          </w:p>
        </w:tc>
        <w:tc>
          <w:tcPr>
            <w:tcW w:w="30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spacing w:line="520" w:lineRule="exact"/>
        <w:jc w:val="left"/>
        <w:rPr>
          <w:rFonts w:hint="eastAsia"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038" w:type="dxa"/>
        <w:jc w:val="center"/>
        <w:tblLayout w:type="fixed"/>
        <w:tblCellMar>
          <w:top w:w="0" w:type="dxa"/>
          <w:left w:w="108" w:type="dxa"/>
          <w:bottom w:w="0" w:type="dxa"/>
          <w:right w:w="108" w:type="dxa"/>
        </w:tblCellMar>
      </w:tblPr>
      <w:tblGrid>
        <w:gridCol w:w="585"/>
        <w:gridCol w:w="975"/>
        <w:gridCol w:w="1105"/>
        <w:gridCol w:w="727"/>
        <w:gridCol w:w="1127"/>
        <w:gridCol w:w="228"/>
        <w:gridCol w:w="904"/>
        <w:gridCol w:w="939"/>
        <w:gridCol w:w="188"/>
        <w:gridCol w:w="284"/>
        <w:gridCol w:w="420"/>
        <w:gridCol w:w="143"/>
        <w:gridCol w:w="703"/>
        <w:gridCol w:w="710"/>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478"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机关行政运行资金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26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26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2469.82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2469.82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2469.82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2469.82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2469.82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2469.82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387"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目标1：机关正常运转。</w:t>
            </w:r>
            <w:r>
              <w:rPr>
                <w:rFonts w:hint="eastAsia" w:ascii="宋体" w:hAnsi="宋体" w:cs="宋体"/>
                <w:kern w:val="0"/>
                <w:sz w:val="20"/>
                <w:szCs w:val="20"/>
              </w:rPr>
              <w:br w:type="textWrapping"/>
            </w:r>
            <w:r>
              <w:rPr>
                <w:rFonts w:hint="eastAsia" w:ascii="宋体" w:hAnsi="宋体" w:cs="宋体"/>
                <w:kern w:val="0"/>
                <w:sz w:val="20"/>
                <w:szCs w:val="20"/>
              </w:rPr>
              <w:t>目标2：促进经济发展。</w:t>
            </w:r>
            <w:r>
              <w:rPr>
                <w:rFonts w:hint="eastAsia" w:ascii="宋体" w:hAnsi="宋体" w:cs="宋体"/>
                <w:kern w:val="0"/>
                <w:sz w:val="20"/>
                <w:szCs w:val="20"/>
              </w:rPr>
              <w:br w:type="textWrapping"/>
            </w:r>
            <w:r>
              <w:rPr>
                <w:rFonts w:hint="eastAsia" w:ascii="宋体" w:hAnsi="宋体" w:cs="宋体"/>
                <w:kern w:val="0"/>
                <w:sz w:val="20"/>
                <w:szCs w:val="20"/>
              </w:rPr>
              <w:t>目标3:构建和谐社会。</w:t>
            </w:r>
          </w:p>
        </w:tc>
        <w:tc>
          <w:tcPr>
            <w:tcW w:w="3387"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082"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904"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93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4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082"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机关正常运转</w:t>
            </w:r>
          </w:p>
        </w:tc>
        <w:tc>
          <w:tcPr>
            <w:tcW w:w="904"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18"/>
                <w:szCs w:val="18"/>
              </w:rPr>
            </w:pPr>
            <w:r>
              <w:rPr>
                <w:rFonts w:hint="eastAsia" w:ascii="宋体" w:hAnsi="宋体" w:cs="宋体"/>
                <w:sz w:val="18"/>
                <w:szCs w:val="18"/>
              </w:rPr>
              <w:t>100%</w:t>
            </w:r>
          </w:p>
        </w:tc>
        <w:tc>
          <w:tcPr>
            <w:tcW w:w="93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sz w:val="18"/>
                <w:szCs w:val="18"/>
              </w:rPr>
              <w:t>100%</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141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082"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提高工作质量</w:t>
            </w:r>
          </w:p>
        </w:tc>
        <w:tc>
          <w:tcPr>
            <w:tcW w:w="904"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满足需求</w:t>
            </w:r>
          </w:p>
        </w:tc>
        <w:tc>
          <w:tcPr>
            <w:tcW w:w="93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满足</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141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082"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年底完成</w:t>
            </w:r>
          </w:p>
        </w:tc>
        <w:tc>
          <w:tcPr>
            <w:tcW w:w="904"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年底完成</w:t>
            </w:r>
          </w:p>
        </w:tc>
        <w:tc>
          <w:tcPr>
            <w:tcW w:w="93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按计划拨付</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141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788"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082"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运转经费</w:t>
            </w:r>
          </w:p>
        </w:tc>
        <w:tc>
          <w:tcPr>
            <w:tcW w:w="904" w:type="dxa"/>
            <w:tcBorders>
              <w:top w:val="single" w:color="auto" w:sz="4" w:space="0"/>
              <w:left w:val="nil"/>
              <w:bottom w:val="single" w:color="auto" w:sz="4" w:space="0"/>
              <w:right w:val="single" w:color="auto" w:sz="4" w:space="0"/>
            </w:tcBorders>
          </w:tcPr>
          <w:p>
            <w:pPr>
              <w:rPr>
                <w:sz w:val="18"/>
                <w:szCs w:val="18"/>
              </w:rPr>
            </w:pPr>
            <w:r>
              <w:rPr>
                <w:rFonts w:hint="eastAsia" w:ascii="仿宋_GB2312" w:hAnsi="宋体" w:eastAsia="仿宋_GB2312" w:cs="宋体"/>
                <w:kern w:val="0"/>
                <w:sz w:val="18"/>
                <w:szCs w:val="18"/>
              </w:rPr>
              <w:t>2469.82</w:t>
            </w:r>
          </w:p>
        </w:tc>
        <w:tc>
          <w:tcPr>
            <w:tcW w:w="939" w:type="dxa"/>
            <w:tcBorders>
              <w:top w:val="single" w:color="auto" w:sz="4" w:space="0"/>
              <w:left w:val="nil"/>
              <w:bottom w:val="single" w:color="auto" w:sz="4" w:space="0"/>
              <w:right w:val="single" w:color="auto" w:sz="4" w:space="0"/>
            </w:tcBorders>
          </w:tcPr>
          <w:p>
            <w:pPr>
              <w:rPr>
                <w:sz w:val="18"/>
                <w:szCs w:val="18"/>
              </w:rPr>
            </w:pPr>
            <w:r>
              <w:rPr>
                <w:rFonts w:hint="eastAsia" w:ascii="仿宋_GB2312" w:hAnsi="宋体" w:eastAsia="仿宋_GB2312" w:cs="宋体"/>
                <w:kern w:val="0"/>
                <w:sz w:val="18"/>
                <w:szCs w:val="18"/>
              </w:rPr>
              <w:t>2469.82</w:t>
            </w:r>
          </w:p>
        </w:tc>
        <w:tc>
          <w:tcPr>
            <w:tcW w:w="47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141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082"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保障经济平稳发展</w:t>
            </w:r>
          </w:p>
        </w:tc>
        <w:tc>
          <w:tcPr>
            <w:tcW w:w="904"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93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141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082"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构建和谐社会</w:t>
            </w:r>
          </w:p>
        </w:tc>
        <w:tc>
          <w:tcPr>
            <w:tcW w:w="904"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93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141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082"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改善运行环境</w:t>
            </w:r>
          </w:p>
        </w:tc>
        <w:tc>
          <w:tcPr>
            <w:tcW w:w="904"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93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9.00 </w:t>
            </w:r>
          </w:p>
        </w:tc>
        <w:tc>
          <w:tcPr>
            <w:tcW w:w="141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082"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具有可持续性影响</w:t>
            </w:r>
          </w:p>
        </w:tc>
        <w:tc>
          <w:tcPr>
            <w:tcW w:w="904"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93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9.00 </w:t>
            </w:r>
          </w:p>
        </w:tc>
        <w:tc>
          <w:tcPr>
            <w:tcW w:w="141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082"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居民满意度</w:t>
            </w:r>
          </w:p>
        </w:tc>
        <w:tc>
          <w:tcPr>
            <w:tcW w:w="904"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w:t>
            </w:r>
          </w:p>
        </w:tc>
        <w:tc>
          <w:tcPr>
            <w:tcW w:w="93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98.00%</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9.00 </w:t>
            </w:r>
          </w:p>
        </w:tc>
        <w:tc>
          <w:tcPr>
            <w:tcW w:w="141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进一步提高工作水平</w:t>
            </w:r>
          </w:p>
        </w:tc>
      </w:tr>
      <w:tr>
        <w:tblPrEx>
          <w:tblCellMar>
            <w:top w:w="0" w:type="dxa"/>
            <w:left w:w="108" w:type="dxa"/>
            <w:bottom w:w="0" w:type="dxa"/>
            <w:right w:w="108" w:type="dxa"/>
          </w:tblCellMar>
        </w:tblPrEx>
        <w:trPr>
          <w:trHeight w:val="477" w:hRule="exact"/>
          <w:jc w:val="center"/>
        </w:trPr>
        <w:tc>
          <w:tcPr>
            <w:tcW w:w="6590"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4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pPr>
      <w:r>
        <w:rPr>
          <w:rFonts w:hint="eastAsia" w:ascii="仿宋_GB2312" w:hAnsi="宋体" w:eastAsia="仿宋_GB2312" w:cs="宋体"/>
          <w:color w:val="000000"/>
          <w:kern w:val="0"/>
          <w:sz w:val="32"/>
          <w:szCs w:val="32"/>
        </w:rPr>
        <w:t>4.90（含）-100分为优、80（含）-90分为良、60（含）-80分为中、60分以下为差。</w:t>
      </w:r>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52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219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96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第五次全国经济普查所需经费</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7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7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8.63</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8.63</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8.63</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4.1329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4.1329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4.1329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4.4994</w:t>
            </w:r>
          </w:p>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4.4994</w:t>
            </w:r>
          </w:p>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4.4994</w:t>
            </w:r>
          </w:p>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8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保障第五次全国经济普查所需经费顺利发放</w:t>
            </w:r>
          </w:p>
        </w:tc>
        <w:tc>
          <w:tcPr>
            <w:tcW w:w="48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2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623"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4.1329</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4.1329</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2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生态质量</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679"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补贴</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4.1329</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4.1329</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2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2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2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91</w:t>
            </w:r>
          </w:p>
        </w:tc>
        <w:tc>
          <w:tcPr>
            <w:tcW w:w="2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138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306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982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年度人口抽样调查</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46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46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30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0.33</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0.33</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0.33</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30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0.33</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0.33</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0.33</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30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30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30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573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保障年度人口抽样调查顺利发放</w:t>
            </w:r>
          </w:p>
        </w:tc>
        <w:tc>
          <w:tcPr>
            <w:tcW w:w="573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37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0.33</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0.33</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37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生态质量</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7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7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补贴</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0.33</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0.33</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37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7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7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7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7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7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90</w:t>
            </w:r>
          </w:p>
        </w:tc>
        <w:tc>
          <w:tcPr>
            <w:tcW w:w="37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92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259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936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防范和处理邪教工作经费</w:t>
            </w:r>
          </w:p>
        </w:tc>
      </w:tr>
      <w:tr>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41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41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5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0.20</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0.20</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0.20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5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0.20</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0.20</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0.20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5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5"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5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5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52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确保防范和处理邪教工作经费顺利拨付</w:t>
            </w:r>
          </w:p>
        </w:tc>
        <w:tc>
          <w:tcPr>
            <w:tcW w:w="52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33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户数</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0.2</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0.2</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33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提高工作效率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满足需求</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3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按实际支出拨付</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3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经费</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0.2</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0.2</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33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保障社会正常运转</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3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构建和谐社会</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3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服务于和谐社会</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3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33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33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进一步提高工作水平</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33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95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262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939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社会工作服务平台建设</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41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41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6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12.49</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12.49</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12.49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6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12.49</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12.49</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12.49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6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6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6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53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保障社会工作服务平台建设顺利</w:t>
            </w:r>
          </w:p>
        </w:tc>
        <w:tc>
          <w:tcPr>
            <w:tcW w:w="53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3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12.49</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12.49</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3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生态质量</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补贴</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12.49</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12.49</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3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90</w:t>
            </w:r>
          </w:p>
        </w:tc>
        <w:tc>
          <w:tcPr>
            <w:tcW w:w="3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110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278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954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社区公益事业专项补助资金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433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433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78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0.40</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0.40</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0.40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78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0.40</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0.40</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0.40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78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78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78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545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保障社区公益事业专项补助资金顺利发放</w:t>
            </w:r>
          </w:p>
        </w:tc>
        <w:tc>
          <w:tcPr>
            <w:tcW w:w="545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348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0.4</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0.4</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348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农村基础设施</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48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48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经费金额</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0.4</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0.4</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348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48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348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348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348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w:t>
            </w:r>
          </w:p>
        </w:tc>
        <w:tc>
          <w:tcPr>
            <w:tcW w:w="348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94</w:t>
            </w:r>
          </w:p>
        </w:tc>
        <w:tc>
          <w:tcPr>
            <w:tcW w:w="348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87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254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931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违规电动三四轮车淘汰处置奖励资金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40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40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5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0.42</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0.42</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0.42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tabs>
                <w:tab w:val="left" w:pos="304"/>
              </w:tabs>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ab/>
            </w:r>
            <w:r>
              <w:rPr>
                <w:rFonts w:hint="eastAsia" w:ascii="仿宋_GB2312" w:hAnsi="宋体" w:eastAsia="仿宋_GB2312" w:cs="宋体"/>
                <w:kern w:val="0"/>
                <w:szCs w:val="21"/>
              </w:rPr>
              <w:t>100</w:t>
            </w:r>
          </w:p>
        </w:tc>
        <w:tc>
          <w:tcPr>
            <w:tcW w:w="25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5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0.42</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0.42</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0.42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5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5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522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有效减少农户电动三四轮车违规使用</w:t>
            </w:r>
          </w:p>
        </w:tc>
        <w:tc>
          <w:tcPr>
            <w:tcW w:w="522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32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安装户数</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0.42</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0.42</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32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提高制热效果</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32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2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经费金额</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0.42</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0.42</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32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2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2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32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32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6</w:t>
            </w:r>
          </w:p>
        </w:tc>
        <w:tc>
          <w:tcPr>
            <w:tcW w:w="32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85</w:t>
            </w:r>
          </w:p>
        </w:tc>
        <w:tc>
          <w:tcPr>
            <w:tcW w:w="32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65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232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909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密云区东邵渠镇石峨、界牌等七个村文化大院维修改造工程</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8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8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3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187.82</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187.82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187.82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3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187.82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187.82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187.82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3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3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3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50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确保密云区东邵渠镇石峨、界牌等七个村文化大院维修改造工程资金按照规定使用。</w:t>
            </w:r>
          </w:p>
        </w:tc>
        <w:tc>
          <w:tcPr>
            <w:tcW w:w="50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30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按时发放</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187.82</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187.82</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30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工程质量</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0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0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经费金额</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187.82</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187.82</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30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30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30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0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0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0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88</w:t>
            </w:r>
          </w:p>
        </w:tc>
        <w:tc>
          <w:tcPr>
            <w:tcW w:w="30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widowControl/>
        <w:spacing w:line="240" w:lineRule="exact"/>
        <w:jc w:val="center"/>
        <w:rPr>
          <w:rFonts w:hint="eastAsia" w:ascii="仿宋_GB2312" w:hAnsi="宋体" w:eastAsia="仿宋_GB2312" w:cs="宋体"/>
          <w:kern w:val="0"/>
          <w:szCs w:val="21"/>
        </w:rPr>
      </w:pPr>
    </w:p>
    <w:p>
      <w:pPr>
        <w:widowControl/>
        <w:spacing w:line="240" w:lineRule="exact"/>
        <w:jc w:val="center"/>
        <w:rPr>
          <w:rFonts w:hint="eastAsia" w:ascii="仿宋_GB2312" w:hAnsi="宋体" w:eastAsia="仿宋_GB2312" w:cs="宋体"/>
          <w:kern w:val="0"/>
          <w:szCs w:val="21"/>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70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237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914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公益电影放映场次补贴</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9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9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50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为加强我镇公共文化体系建设，强化基层政府在公共文化服务建设中的责任意识提高公共文化保障水平。</w:t>
            </w:r>
          </w:p>
        </w:tc>
        <w:tc>
          <w:tcPr>
            <w:tcW w:w="50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30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2.8</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2.8</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30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保证文化活动正常运行</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满足需求</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 </w:t>
            </w:r>
          </w:p>
        </w:tc>
        <w:tc>
          <w:tcPr>
            <w:tcW w:w="30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0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经费</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2.8</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2.8</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0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促进文化活动发展</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7.00 </w:t>
            </w:r>
          </w:p>
        </w:tc>
        <w:tc>
          <w:tcPr>
            <w:tcW w:w="30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构建和谐社会</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7.00 </w:t>
            </w:r>
          </w:p>
        </w:tc>
        <w:tc>
          <w:tcPr>
            <w:tcW w:w="30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文化组织健康发展</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7.00 </w:t>
            </w:r>
          </w:p>
        </w:tc>
        <w:tc>
          <w:tcPr>
            <w:tcW w:w="30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7.00 </w:t>
            </w:r>
          </w:p>
        </w:tc>
        <w:tc>
          <w:tcPr>
            <w:tcW w:w="30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8.00 </w:t>
            </w:r>
          </w:p>
        </w:tc>
        <w:tc>
          <w:tcPr>
            <w:tcW w:w="30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有待进一步提高工作水平</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86</w:t>
            </w:r>
          </w:p>
        </w:tc>
        <w:tc>
          <w:tcPr>
            <w:tcW w:w="30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77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242"/>
        <w:gridCol w:w="604"/>
        <w:gridCol w:w="244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921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培育打造北京市民间文化艺术之乡</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9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9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4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4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4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4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4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512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为加强我镇公共文化体系建设，强化基层政府在公共文化服务建设中的责任意识提高公共文化保障水平。</w:t>
            </w:r>
          </w:p>
        </w:tc>
        <w:tc>
          <w:tcPr>
            <w:tcW w:w="512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305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305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保证文化活动正常运行</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满足需求</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305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05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经费</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05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促进文化活动发展</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7.00 </w:t>
            </w:r>
          </w:p>
        </w:tc>
        <w:tc>
          <w:tcPr>
            <w:tcW w:w="305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构建和谐社会</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7.00 </w:t>
            </w:r>
          </w:p>
        </w:tc>
        <w:tc>
          <w:tcPr>
            <w:tcW w:w="305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文化组织健康发展</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8.00 </w:t>
            </w:r>
          </w:p>
        </w:tc>
        <w:tc>
          <w:tcPr>
            <w:tcW w:w="305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8.00 </w:t>
            </w:r>
          </w:p>
        </w:tc>
        <w:tc>
          <w:tcPr>
            <w:tcW w:w="305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8.00 </w:t>
            </w:r>
          </w:p>
        </w:tc>
        <w:tc>
          <w:tcPr>
            <w:tcW w:w="305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有待进一步提高工作水平</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88</w:t>
            </w:r>
          </w:p>
        </w:tc>
        <w:tc>
          <w:tcPr>
            <w:tcW w:w="305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70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242"/>
        <w:gridCol w:w="604"/>
        <w:gridCol w:w="237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914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三馆免费开放</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9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9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50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为加强我镇公共文化体系建设，强化基层政府在公共文化服务建设中的责任意识提高公共文化保障水平。</w:t>
            </w:r>
          </w:p>
        </w:tc>
        <w:tc>
          <w:tcPr>
            <w:tcW w:w="50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297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297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保证文化活动正常运行</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满足需求</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97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97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经费</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20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297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促进文化活动发展</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8.00 </w:t>
            </w:r>
          </w:p>
        </w:tc>
        <w:tc>
          <w:tcPr>
            <w:tcW w:w="297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构建和谐社会</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297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文化组织健康发展</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297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7.00 </w:t>
            </w:r>
          </w:p>
        </w:tc>
        <w:tc>
          <w:tcPr>
            <w:tcW w:w="297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8.00 </w:t>
            </w:r>
          </w:p>
        </w:tc>
        <w:tc>
          <w:tcPr>
            <w:tcW w:w="297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有待进一步提高工作水平</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66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91</w:t>
            </w:r>
          </w:p>
        </w:tc>
        <w:tc>
          <w:tcPr>
            <w:tcW w:w="2978"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549" w:type="dxa"/>
        <w:jc w:val="center"/>
        <w:tblLayout w:type="fixed"/>
        <w:tblCellMar>
          <w:top w:w="0" w:type="dxa"/>
          <w:left w:w="108" w:type="dxa"/>
          <w:bottom w:w="0" w:type="dxa"/>
          <w:right w:w="108" w:type="dxa"/>
        </w:tblCellMar>
      </w:tblPr>
      <w:tblGrid>
        <w:gridCol w:w="2096"/>
        <w:gridCol w:w="975"/>
        <w:gridCol w:w="1105"/>
        <w:gridCol w:w="727"/>
        <w:gridCol w:w="1127"/>
        <w:gridCol w:w="283"/>
        <w:gridCol w:w="849"/>
        <w:gridCol w:w="848"/>
        <w:gridCol w:w="279"/>
        <w:gridCol w:w="284"/>
        <w:gridCol w:w="420"/>
        <w:gridCol w:w="143"/>
        <w:gridCol w:w="703"/>
        <w:gridCol w:w="710"/>
      </w:tblGrid>
      <w:tr>
        <w:tblPrEx>
          <w:tblCellMar>
            <w:top w:w="0" w:type="dxa"/>
            <w:left w:w="108" w:type="dxa"/>
            <w:bottom w:w="0" w:type="dxa"/>
            <w:right w:w="108" w:type="dxa"/>
          </w:tblCellMar>
        </w:tblPrEx>
        <w:trPr>
          <w:trHeight w:val="306" w:hRule="exact"/>
          <w:jc w:val="center"/>
        </w:trPr>
        <w:tc>
          <w:tcPr>
            <w:tcW w:w="307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478"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旅游公共服务设施提升（旅游公厕）项目</w:t>
            </w:r>
          </w:p>
        </w:tc>
      </w:tr>
      <w:tr>
        <w:tblPrEx>
          <w:tblCellMar>
            <w:top w:w="0" w:type="dxa"/>
            <w:left w:w="108" w:type="dxa"/>
            <w:bottom w:w="0" w:type="dxa"/>
            <w:right w:w="108" w:type="dxa"/>
          </w:tblCellMar>
        </w:tblPrEx>
        <w:trPr>
          <w:trHeight w:val="306" w:hRule="exact"/>
          <w:jc w:val="center"/>
        </w:trPr>
        <w:tc>
          <w:tcPr>
            <w:tcW w:w="307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26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307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260"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307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307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5.3</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5.3</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5.3</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307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5.3</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5.3</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5.3</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307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307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10"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2096"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3387"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209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目标1：提高人民群众环保意识。</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目标2：改善人居环境。</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目标3:构建和谐社会。</w:t>
            </w:r>
          </w:p>
        </w:tc>
        <w:tc>
          <w:tcPr>
            <w:tcW w:w="3387"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20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2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镇域内环境卫生</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5.3</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5.3</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2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提高人民生活质量</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满足需求</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2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2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资金</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5.3</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5.3</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2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保障社会正常运转</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8.00 </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2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构建和谐社会</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8.0 </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2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改善人居环境</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8.00 </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2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8.00 </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提高工作质量</w:t>
            </w:r>
          </w:p>
        </w:tc>
      </w:tr>
      <w:tr>
        <w:tblPrEx>
          <w:tblCellMar>
            <w:top w:w="0" w:type="dxa"/>
            <w:left w:w="108" w:type="dxa"/>
            <w:bottom w:w="0" w:type="dxa"/>
            <w:right w:w="108" w:type="dxa"/>
          </w:tblCellMar>
        </w:tblPrEx>
        <w:trPr>
          <w:trHeight w:val="306" w:hRule="exact"/>
          <w:jc w:val="center"/>
        </w:trPr>
        <w:tc>
          <w:tcPr>
            <w:tcW w:w="20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提高工作质量</w:t>
            </w:r>
          </w:p>
        </w:tc>
      </w:tr>
      <w:tr>
        <w:tblPrEx>
          <w:tblCellMar>
            <w:top w:w="0" w:type="dxa"/>
            <w:left w:w="108" w:type="dxa"/>
            <w:bottom w:w="0" w:type="dxa"/>
            <w:right w:w="108" w:type="dxa"/>
          </w:tblCellMar>
        </w:tblPrEx>
        <w:trPr>
          <w:trHeight w:val="477" w:hRule="exact"/>
          <w:jc w:val="center"/>
        </w:trPr>
        <w:tc>
          <w:tcPr>
            <w:tcW w:w="8010"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91</w:t>
            </w:r>
          </w:p>
        </w:tc>
        <w:tc>
          <w:tcPr>
            <w:tcW w:w="141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78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246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922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密云区东邵渠镇文化活动中心维修改造项目</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40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40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4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125.65</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125.65</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125.65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4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125.65</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125.65</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125.65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4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4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4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513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确保密云区东邵渠镇文化活动中心维修改造项目资金按规定使用</w:t>
            </w:r>
          </w:p>
        </w:tc>
        <w:tc>
          <w:tcPr>
            <w:tcW w:w="513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31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按时发放</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125.65</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125.65</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31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工程质量</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1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31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经费金额</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125.65</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125.65</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31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维持生活水平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31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提高服务水平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7</w:t>
            </w:r>
          </w:p>
        </w:tc>
        <w:tc>
          <w:tcPr>
            <w:tcW w:w="31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构建和谐村庄</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1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1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w:t>
            </w:r>
          </w:p>
        </w:tc>
        <w:tc>
          <w:tcPr>
            <w:tcW w:w="31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88</w:t>
            </w:r>
          </w:p>
        </w:tc>
        <w:tc>
          <w:tcPr>
            <w:tcW w:w="31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1195" w:type="dxa"/>
        <w:jc w:val="center"/>
        <w:tblLayout w:type="fixed"/>
        <w:tblCellMar>
          <w:top w:w="0" w:type="dxa"/>
          <w:left w:w="108" w:type="dxa"/>
          <w:bottom w:w="0" w:type="dxa"/>
          <w:right w:w="108" w:type="dxa"/>
        </w:tblCellMar>
      </w:tblPr>
      <w:tblGrid>
        <w:gridCol w:w="2196"/>
        <w:gridCol w:w="975"/>
        <w:gridCol w:w="1105"/>
        <w:gridCol w:w="727"/>
        <w:gridCol w:w="1127"/>
        <w:gridCol w:w="283"/>
        <w:gridCol w:w="849"/>
        <w:gridCol w:w="848"/>
        <w:gridCol w:w="279"/>
        <w:gridCol w:w="284"/>
        <w:gridCol w:w="420"/>
        <w:gridCol w:w="143"/>
        <w:gridCol w:w="703"/>
        <w:gridCol w:w="1256"/>
      </w:tblGrid>
      <w:tr>
        <w:tblPrEx>
          <w:tblCellMar>
            <w:top w:w="0" w:type="dxa"/>
            <w:left w:w="108" w:type="dxa"/>
            <w:bottom w:w="0" w:type="dxa"/>
            <w:right w:w="108" w:type="dxa"/>
          </w:tblCellMar>
        </w:tblPrEx>
        <w:trPr>
          <w:trHeight w:val="306" w:hRule="exact"/>
          <w:jc w:val="center"/>
        </w:trPr>
        <w:tc>
          <w:tcPr>
            <w:tcW w:w="317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2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严重精神障碍患者监护人看护管理补贴项目</w:t>
            </w:r>
          </w:p>
        </w:tc>
      </w:tr>
      <w:tr>
        <w:tblPrEx>
          <w:tblCellMar>
            <w:top w:w="0" w:type="dxa"/>
            <w:left w:w="108" w:type="dxa"/>
            <w:bottom w:w="0" w:type="dxa"/>
            <w:right w:w="108" w:type="dxa"/>
          </w:tblCellMar>
        </w:tblPrEx>
        <w:trPr>
          <w:trHeight w:val="306" w:hRule="exact"/>
          <w:jc w:val="center"/>
        </w:trPr>
        <w:tc>
          <w:tcPr>
            <w:tcW w:w="317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80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317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80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317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25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317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8.92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8.92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8.92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5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317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0.49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0.49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0.49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5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317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8.43</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8.43</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8.43</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5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317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5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2196"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393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2196"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目标1：按季度发放。</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目标2：保障严重精神障碍患者生活水平。</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目标3:构建和谐社会。</w:t>
            </w:r>
          </w:p>
        </w:tc>
        <w:tc>
          <w:tcPr>
            <w:tcW w:w="393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219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195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21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金额</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8.92</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8.92</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20.00 </w:t>
            </w:r>
          </w:p>
        </w:tc>
        <w:tc>
          <w:tcPr>
            <w:tcW w:w="195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21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足额发放</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满足需求</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195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21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按季度完成</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年底完成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195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21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匹配资金</w:t>
            </w:r>
          </w:p>
        </w:tc>
        <w:tc>
          <w:tcPr>
            <w:tcW w:w="849"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8.92</w:t>
            </w:r>
          </w:p>
        </w:tc>
        <w:tc>
          <w:tcPr>
            <w:tcW w:w="848" w:type="dxa"/>
            <w:tcBorders>
              <w:top w:val="single" w:color="auto" w:sz="4" w:space="0"/>
              <w:left w:val="nil"/>
              <w:bottom w:val="single" w:color="auto" w:sz="4" w:space="0"/>
              <w:right w:val="single" w:color="auto" w:sz="4" w:space="0"/>
            </w:tcBorders>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8.92</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195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21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减轻看护人经济负担</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195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21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解决社会弱势群体生活问题</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195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r>
        <w:tblPrEx>
          <w:tblCellMar>
            <w:top w:w="0" w:type="dxa"/>
            <w:left w:w="108" w:type="dxa"/>
            <w:bottom w:w="0" w:type="dxa"/>
            <w:right w:w="108" w:type="dxa"/>
          </w:tblCellMar>
        </w:tblPrEx>
        <w:trPr>
          <w:trHeight w:val="306" w:hRule="exact"/>
          <w:jc w:val="center"/>
        </w:trPr>
        <w:tc>
          <w:tcPr>
            <w:tcW w:w="21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部分改善生活水平</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195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21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195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306" w:hRule="exact"/>
          <w:jc w:val="center"/>
        </w:trPr>
        <w:tc>
          <w:tcPr>
            <w:tcW w:w="219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居民满意度</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9.00 </w:t>
            </w:r>
          </w:p>
        </w:tc>
        <w:tc>
          <w:tcPr>
            <w:tcW w:w="195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有待进一步提高</w:t>
            </w:r>
          </w:p>
        </w:tc>
      </w:tr>
      <w:tr>
        <w:tblPrEx>
          <w:tblCellMar>
            <w:top w:w="0" w:type="dxa"/>
            <w:left w:w="108" w:type="dxa"/>
            <w:bottom w:w="0" w:type="dxa"/>
            <w:right w:w="108" w:type="dxa"/>
          </w:tblCellMar>
        </w:tblPrEx>
        <w:trPr>
          <w:trHeight w:val="477" w:hRule="exact"/>
          <w:jc w:val="center"/>
        </w:trPr>
        <w:tc>
          <w:tcPr>
            <w:tcW w:w="8110"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96</w:t>
            </w:r>
          </w:p>
        </w:tc>
        <w:tc>
          <w:tcPr>
            <w:tcW w:w="195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hint="eastAsia"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122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289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9667" w:type="dxa"/>
            <w:gridSpan w:val="12"/>
            <w:tcBorders>
              <w:top w:val="single" w:color="auto" w:sz="4" w:space="0"/>
              <w:left w:val="nil"/>
              <w:bottom w:val="single" w:color="auto" w:sz="4" w:space="0"/>
              <w:right w:val="single" w:color="auto" w:sz="4" w:space="0"/>
            </w:tcBorders>
            <w:vAlign w:val="center"/>
          </w:tcPr>
          <w:p>
            <w:pPr>
              <w:widowControl/>
              <w:tabs>
                <w:tab w:val="left" w:pos="1490"/>
              </w:tabs>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ab/>
            </w:r>
            <w:r>
              <w:rPr>
                <w:rFonts w:hint="eastAsia" w:ascii="仿宋_GB2312" w:hAnsi="宋体" w:eastAsia="仿宋_GB2312" w:cs="宋体"/>
                <w:kern w:val="0"/>
                <w:szCs w:val="21"/>
              </w:rPr>
              <w:t>严重精神障碍患者看护补贴</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44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44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8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9.01</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9.01</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9.01</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8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9.01</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9.01</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9.01</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8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8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8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55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目标1：按季度发放。</w:t>
            </w:r>
            <w:r>
              <w:rPr>
                <w:rFonts w:hint="eastAsia" w:ascii="宋体" w:hAnsi="宋体" w:cs="宋体"/>
                <w:kern w:val="0"/>
                <w:sz w:val="20"/>
                <w:szCs w:val="20"/>
              </w:rPr>
              <w:br w:type="textWrapping"/>
            </w:r>
            <w:r>
              <w:rPr>
                <w:rFonts w:hint="eastAsia" w:ascii="宋体" w:hAnsi="宋体" w:cs="宋体"/>
                <w:kern w:val="0"/>
                <w:sz w:val="20"/>
                <w:szCs w:val="20"/>
              </w:rPr>
              <w:t>目标2：保障严重精神障碍患者生活水平。</w:t>
            </w:r>
            <w:r>
              <w:rPr>
                <w:rFonts w:hint="eastAsia" w:ascii="宋体" w:hAnsi="宋体" w:cs="宋体"/>
                <w:kern w:val="0"/>
                <w:sz w:val="20"/>
                <w:szCs w:val="20"/>
              </w:rPr>
              <w:br w:type="textWrapping"/>
            </w:r>
            <w:r>
              <w:rPr>
                <w:rFonts w:hint="eastAsia" w:ascii="宋体" w:hAnsi="宋体" w:cs="宋体"/>
                <w:kern w:val="0"/>
                <w:sz w:val="20"/>
                <w:szCs w:val="20"/>
              </w:rPr>
              <w:t>目标3:构建和谐社会。</w:t>
            </w:r>
          </w:p>
        </w:tc>
        <w:tc>
          <w:tcPr>
            <w:tcW w:w="5576"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36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sz w:val="18"/>
                <w:szCs w:val="18"/>
              </w:rPr>
              <w:t>9.01</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sz w:val="18"/>
                <w:szCs w:val="18"/>
              </w:rPr>
              <w:t>9.01</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36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足额发放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满足需求</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36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按季度完成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36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匹配资金</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18"/>
                <w:szCs w:val="18"/>
              </w:rPr>
              <w:t>9.01</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18"/>
                <w:szCs w:val="18"/>
              </w:rPr>
              <w:t>9.01</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36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减轻看护人经济负担</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9.00 </w:t>
            </w:r>
          </w:p>
        </w:tc>
        <w:tc>
          <w:tcPr>
            <w:tcW w:w="36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解决社会弱势群体生活问题</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36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部分改善生活水平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9.00 </w:t>
            </w:r>
          </w:p>
        </w:tc>
        <w:tc>
          <w:tcPr>
            <w:tcW w:w="36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9.00 </w:t>
            </w:r>
          </w:p>
        </w:tc>
        <w:tc>
          <w:tcPr>
            <w:tcW w:w="36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9.00 </w:t>
            </w:r>
          </w:p>
        </w:tc>
        <w:tc>
          <w:tcPr>
            <w:tcW w:w="36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96</w:t>
            </w:r>
          </w:p>
        </w:tc>
        <w:tc>
          <w:tcPr>
            <w:tcW w:w="36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pPr>
      <w:r>
        <w:rPr>
          <w:rFonts w:hint="eastAsia" w:ascii="仿宋_GB2312" w:hAnsi="宋体" w:eastAsia="仿宋_GB2312" w:cs="宋体"/>
          <w:color w:val="000000"/>
          <w:kern w:val="0"/>
          <w:sz w:val="32"/>
          <w:szCs w:val="32"/>
        </w:rPr>
        <w:t>4.90（含）-100分为优、80（含）-90分为良、60（含）-80分为中、60分以下为差。</w:t>
      </w:r>
    </w:p>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98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266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9429" w:type="dxa"/>
            <w:gridSpan w:val="12"/>
            <w:tcBorders>
              <w:top w:val="single" w:color="auto" w:sz="4" w:space="0"/>
              <w:left w:val="nil"/>
              <w:bottom w:val="single" w:color="auto" w:sz="4" w:space="0"/>
              <w:right w:val="single" w:color="auto" w:sz="4" w:space="0"/>
            </w:tcBorders>
            <w:vAlign w:val="center"/>
          </w:tcPr>
          <w:p>
            <w:pPr>
              <w:widowControl/>
              <w:tabs>
                <w:tab w:val="left" w:pos="2412"/>
              </w:tabs>
              <w:spacing w:line="240" w:lineRule="exact"/>
              <w:jc w:val="left"/>
              <w:rPr>
                <w:rFonts w:ascii="仿宋_GB2312" w:hAnsi="宋体" w:eastAsia="仿宋_GB2312" w:cs="宋体"/>
                <w:kern w:val="0"/>
                <w:szCs w:val="21"/>
              </w:rPr>
            </w:pPr>
            <w:r>
              <w:rPr>
                <w:rFonts w:hint="eastAsia" w:ascii="仿宋_GB2312" w:hAnsi="宋体" w:eastAsia="仿宋_GB2312" w:cs="宋体"/>
                <w:kern w:val="0"/>
                <w:szCs w:val="21"/>
              </w:rPr>
              <w:tab/>
            </w:r>
            <w:r>
              <w:rPr>
                <w:rFonts w:hint="eastAsia" w:ascii="仿宋_GB2312" w:hAnsi="宋体" w:eastAsia="仿宋_GB2312" w:cs="宋体"/>
                <w:kern w:val="0"/>
                <w:szCs w:val="21"/>
              </w:rPr>
              <w:t>残疾人温馨家园运转经费</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42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42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6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48.8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48.8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48.8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6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6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48.8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48.8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48.8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6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6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533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目标1：按季度发放。</w:t>
            </w:r>
            <w:r>
              <w:rPr>
                <w:rFonts w:hint="eastAsia" w:ascii="宋体" w:hAnsi="宋体" w:cs="宋体"/>
                <w:kern w:val="0"/>
                <w:sz w:val="20"/>
                <w:szCs w:val="20"/>
              </w:rPr>
              <w:br w:type="textWrapping"/>
            </w:r>
            <w:r>
              <w:rPr>
                <w:rFonts w:hint="eastAsia" w:ascii="宋体" w:hAnsi="宋体" w:cs="宋体"/>
                <w:kern w:val="0"/>
                <w:sz w:val="20"/>
                <w:szCs w:val="20"/>
              </w:rPr>
              <w:t>目标2：保障资金按照规定使用。</w:t>
            </w:r>
            <w:r>
              <w:rPr>
                <w:rFonts w:hint="eastAsia" w:ascii="宋体" w:hAnsi="宋体" w:cs="宋体"/>
                <w:kern w:val="0"/>
                <w:sz w:val="20"/>
                <w:szCs w:val="20"/>
              </w:rPr>
              <w:br w:type="textWrapping"/>
            </w:r>
            <w:r>
              <w:rPr>
                <w:rFonts w:hint="eastAsia" w:ascii="宋体" w:hAnsi="宋体" w:cs="宋体"/>
                <w:kern w:val="0"/>
                <w:sz w:val="20"/>
                <w:szCs w:val="20"/>
              </w:rPr>
              <w:t>目标3:构建和谐社会。</w:t>
            </w:r>
          </w:p>
        </w:tc>
        <w:tc>
          <w:tcPr>
            <w:tcW w:w="5338"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33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sz w:val="18"/>
                <w:szCs w:val="18"/>
              </w:rPr>
              <w:t>48.8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sz w:val="18"/>
                <w:szCs w:val="18"/>
              </w:rPr>
              <w:t>48.8</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33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足额发放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满足需求</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33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按季度完成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33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匹配资金</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18"/>
                <w:szCs w:val="18"/>
              </w:rPr>
              <w:t>48.8</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18"/>
                <w:szCs w:val="18"/>
              </w:rPr>
              <w:t>48.8</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33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减轻看护人经济负担</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9.00 </w:t>
            </w:r>
          </w:p>
        </w:tc>
        <w:tc>
          <w:tcPr>
            <w:tcW w:w="33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解决社会弱势群体生活问题</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33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部分改善生活水平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9.00 </w:t>
            </w:r>
          </w:p>
        </w:tc>
        <w:tc>
          <w:tcPr>
            <w:tcW w:w="33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9.00 </w:t>
            </w:r>
          </w:p>
        </w:tc>
        <w:tc>
          <w:tcPr>
            <w:tcW w:w="33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9.00 </w:t>
            </w:r>
          </w:p>
        </w:tc>
        <w:tc>
          <w:tcPr>
            <w:tcW w:w="33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96</w:t>
            </w:r>
          </w:p>
        </w:tc>
        <w:tc>
          <w:tcPr>
            <w:tcW w:w="33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48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16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2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城乡无丧葬补助居民丧葬补贴</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1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0.5</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0.5</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1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0.5</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0.5</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1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3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目标1：按季度发放。</w:t>
            </w:r>
            <w:r>
              <w:rPr>
                <w:rFonts w:hint="eastAsia" w:ascii="宋体" w:hAnsi="宋体" w:cs="宋体"/>
                <w:kern w:val="0"/>
                <w:sz w:val="20"/>
                <w:szCs w:val="20"/>
              </w:rPr>
              <w:br w:type="textWrapping"/>
            </w:r>
            <w:r>
              <w:rPr>
                <w:rFonts w:hint="eastAsia" w:ascii="宋体" w:hAnsi="宋体" w:cs="宋体"/>
                <w:kern w:val="0"/>
                <w:sz w:val="20"/>
                <w:szCs w:val="20"/>
              </w:rPr>
              <w:t>目标2：保障资金按照规定使用。</w:t>
            </w:r>
            <w:r>
              <w:rPr>
                <w:rFonts w:hint="eastAsia" w:ascii="宋体" w:hAnsi="宋体" w:cs="宋体"/>
                <w:kern w:val="0"/>
                <w:sz w:val="20"/>
                <w:szCs w:val="20"/>
              </w:rPr>
              <w:br w:type="textWrapping"/>
            </w:r>
            <w:r>
              <w:rPr>
                <w:rFonts w:hint="eastAsia" w:ascii="宋体" w:hAnsi="宋体" w:cs="宋体"/>
                <w:kern w:val="0"/>
                <w:sz w:val="20"/>
                <w:szCs w:val="20"/>
              </w:rPr>
              <w:t>目标3:构建和谐社会。</w:t>
            </w:r>
          </w:p>
        </w:tc>
        <w:tc>
          <w:tcPr>
            <w:tcW w:w="3838"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8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sz w:val="18"/>
                <w:szCs w:val="18"/>
              </w:rPr>
              <w:t>0.5</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18"/>
                <w:szCs w:val="18"/>
              </w:rPr>
            </w:pPr>
            <w:r>
              <w:rPr>
                <w:rFonts w:hint="eastAsia" w:ascii="宋体" w:hAnsi="宋体" w:cs="宋体"/>
                <w:sz w:val="18"/>
                <w:szCs w:val="18"/>
              </w:rPr>
              <w:t>0.5</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18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足额发放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满足需求</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18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按季度完成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18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匹配资金</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18"/>
                <w:szCs w:val="18"/>
              </w:rPr>
              <w:t>0.5</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18"/>
                <w:szCs w:val="18"/>
              </w:rPr>
              <w:t>0.5</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18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减轻看护人经济负担</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9.00 </w:t>
            </w:r>
          </w:p>
        </w:tc>
        <w:tc>
          <w:tcPr>
            <w:tcW w:w="18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解决社会弱势群体生活问题</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9.00 </w:t>
            </w:r>
          </w:p>
        </w:tc>
        <w:tc>
          <w:tcPr>
            <w:tcW w:w="18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部分改善生活水平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9.00 </w:t>
            </w:r>
          </w:p>
        </w:tc>
        <w:tc>
          <w:tcPr>
            <w:tcW w:w="18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8.00 </w:t>
            </w:r>
          </w:p>
        </w:tc>
        <w:tc>
          <w:tcPr>
            <w:tcW w:w="18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8.00 </w:t>
            </w:r>
          </w:p>
        </w:tc>
        <w:tc>
          <w:tcPr>
            <w:tcW w:w="18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93</w:t>
            </w:r>
          </w:p>
        </w:tc>
        <w:tc>
          <w:tcPr>
            <w:tcW w:w="18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pPr>
      <w:r>
        <w:rPr>
          <w:rFonts w:hint="eastAsia" w:ascii="仿宋_GB2312" w:hAnsi="宋体" w:eastAsia="仿宋_GB2312" w:cs="宋体"/>
          <w:color w:val="000000"/>
          <w:kern w:val="0"/>
          <w:sz w:val="32"/>
          <w:szCs w:val="32"/>
        </w:rPr>
        <w:t>4.90（含）-100分为优、80（含）-90分为良、60（含）-80分为中、60分以下为差。</w:t>
      </w:r>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15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82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59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村居计生专干补贴及奖励资金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3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3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8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6.01</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6.01</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6.01</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8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6.01</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6.01</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6.01</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8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5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sz w:val="20"/>
                <w:szCs w:val="20"/>
              </w:rPr>
              <w:t>保障村居计生专干补贴及奖励资金顺利发放</w:t>
            </w:r>
          </w:p>
        </w:tc>
        <w:tc>
          <w:tcPr>
            <w:tcW w:w="4501"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5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枝条粉碎机台数</w:t>
            </w:r>
          </w:p>
        </w:tc>
        <w:tc>
          <w:tcPr>
            <w:tcW w:w="849" w:type="dxa"/>
            <w:tcBorders>
              <w:top w:val="single" w:color="auto" w:sz="4" w:space="0"/>
              <w:left w:val="nil"/>
              <w:bottom w:val="single" w:color="auto" w:sz="4" w:space="0"/>
              <w:right w:val="single" w:color="auto" w:sz="4" w:space="0"/>
            </w:tcBorders>
          </w:tcPr>
          <w:p>
            <w:pPr>
              <w:rPr>
                <w:rFonts w:asciiTheme="minorEastAsia" w:hAnsiTheme="minorEastAsia" w:eastAsiaTheme="minorEastAsia"/>
                <w:sz w:val="18"/>
                <w:szCs w:val="18"/>
              </w:rPr>
            </w:pPr>
            <w:r>
              <w:rPr>
                <w:rFonts w:hint="eastAsia" w:cs="宋体" w:asciiTheme="minorEastAsia" w:hAnsiTheme="minorEastAsia" w:eastAsiaTheme="minorEastAsia"/>
                <w:kern w:val="0"/>
                <w:sz w:val="18"/>
                <w:szCs w:val="18"/>
              </w:rPr>
              <w:t>6.01</w:t>
            </w:r>
          </w:p>
        </w:tc>
        <w:tc>
          <w:tcPr>
            <w:tcW w:w="848" w:type="dxa"/>
            <w:tcBorders>
              <w:top w:val="single" w:color="auto" w:sz="4" w:space="0"/>
              <w:left w:val="nil"/>
              <w:bottom w:val="single" w:color="auto" w:sz="4" w:space="0"/>
              <w:right w:val="single" w:color="auto" w:sz="4" w:space="0"/>
            </w:tcBorders>
          </w:tcPr>
          <w:p>
            <w:pPr>
              <w:rPr>
                <w:rFonts w:asciiTheme="minorEastAsia" w:hAnsiTheme="minorEastAsia" w:eastAsiaTheme="minorEastAsia"/>
                <w:sz w:val="18"/>
                <w:szCs w:val="18"/>
              </w:rPr>
            </w:pPr>
            <w:r>
              <w:rPr>
                <w:rFonts w:hint="eastAsia" w:cs="宋体" w:asciiTheme="minorEastAsia" w:hAnsiTheme="minorEastAsia" w:eastAsiaTheme="minorEastAsia"/>
                <w:kern w:val="0"/>
                <w:sz w:val="18"/>
                <w:szCs w:val="18"/>
              </w:rPr>
              <w:t>6.01</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5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设施使用效果</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5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5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tcPr>
          <w:p>
            <w:pPr>
              <w:rPr>
                <w:rFonts w:asciiTheme="minorEastAsia" w:hAnsiTheme="minorEastAsia" w:eastAsiaTheme="minorEastAsia"/>
                <w:sz w:val="18"/>
                <w:szCs w:val="18"/>
              </w:rPr>
            </w:pPr>
            <w:r>
              <w:rPr>
                <w:rFonts w:hint="eastAsia" w:cs="宋体" w:asciiTheme="minorEastAsia" w:hAnsiTheme="minorEastAsia" w:eastAsiaTheme="minorEastAsia"/>
                <w:kern w:val="0"/>
                <w:sz w:val="18"/>
                <w:szCs w:val="18"/>
              </w:rPr>
              <w:t>6.01</w:t>
            </w:r>
          </w:p>
        </w:tc>
        <w:tc>
          <w:tcPr>
            <w:tcW w:w="848" w:type="dxa"/>
            <w:tcBorders>
              <w:top w:val="single" w:color="auto" w:sz="4" w:space="0"/>
              <w:left w:val="nil"/>
              <w:bottom w:val="single" w:color="auto" w:sz="4" w:space="0"/>
              <w:right w:val="single" w:color="auto" w:sz="4" w:space="0"/>
            </w:tcBorders>
          </w:tcPr>
          <w:p>
            <w:pPr>
              <w:rPr>
                <w:rFonts w:asciiTheme="minorEastAsia" w:hAnsiTheme="minorEastAsia" w:eastAsiaTheme="minorEastAsia"/>
                <w:sz w:val="18"/>
                <w:szCs w:val="18"/>
              </w:rPr>
            </w:pPr>
            <w:r>
              <w:rPr>
                <w:rFonts w:hint="eastAsia" w:cs="宋体" w:asciiTheme="minorEastAsia" w:hAnsiTheme="minorEastAsia" w:eastAsiaTheme="minorEastAsia"/>
                <w:kern w:val="0"/>
                <w:sz w:val="18"/>
                <w:szCs w:val="18"/>
              </w:rPr>
              <w:t>6.01</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5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5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5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5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5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5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95</w:t>
            </w:r>
          </w:p>
        </w:tc>
        <w:tc>
          <w:tcPr>
            <w:tcW w:w="25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95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62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9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中医药三成示范社区建设</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1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1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6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50</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50</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6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50</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50</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50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6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6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6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3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保障中医药三成示范社区建设资金顺利发放</w:t>
            </w:r>
          </w:p>
        </w:tc>
        <w:tc>
          <w:tcPr>
            <w:tcW w:w="43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按时发放</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18"/>
                <w:szCs w:val="18"/>
              </w:rPr>
            </w:pPr>
            <w:r>
              <w:rPr>
                <w:rFonts w:ascii="宋体" w:hAnsi="宋体" w:cs="宋体"/>
                <w:sz w:val="18"/>
                <w:szCs w:val="18"/>
              </w:rPr>
              <w:t>50</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18"/>
                <w:szCs w:val="18"/>
              </w:rPr>
            </w:pPr>
            <w:r>
              <w:rPr>
                <w:rFonts w:ascii="宋体" w:hAnsi="宋体" w:cs="宋体"/>
                <w:sz w:val="18"/>
                <w:szCs w:val="18"/>
              </w:rPr>
              <w:t>50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23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3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3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经费金额</w:t>
            </w:r>
          </w:p>
        </w:tc>
        <w:tc>
          <w:tcPr>
            <w:tcW w:w="849" w:type="dxa"/>
            <w:tcBorders>
              <w:top w:val="single" w:color="auto" w:sz="4" w:space="0"/>
              <w:left w:val="nil"/>
              <w:bottom w:val="single" w:color="auto" w:sz="4" w:space="0"/>
              <w:right w:val="single" w:color="auto" w:sz="4" w:space="0"/>
            </w:tcBorders>
          </w:tcPr>
          <w:p>
            <w:r>
              <w:rPr>
                <w:rFonts w:ascii="宋体" w:hAnsi="宋体" w:cs="宋体"/>
                <w:sz w:val="18"/>
                <w:szCs w:val="18"/>
              </w:rPr>
              <w:t>50</w:t>
            </w:r>
          </w:p>
        </w:tc>
        <w:tc>
          <w:tcPr>
            <w:tcW w:w="848" w:type="dxa"/>
            <w:tcBorders>
              <w:top w:val="single" w:color="auto" w:sz="4" w:space="0"/>
              <w:left w:val="nil"/>
              <w:bottom w:val="single" w:color="auto" w:sz="4" w:space="0"/>
              <w:right w:val="single" w:color="auto" w:sz="4" w:space="0"/>
            </w:tcBorders>
          </w:tcPr>
          <w:p>
            <w:r>
              <w:rPr>
                <w:rFonts w:ascii="宋体" w:hAnsi="宋体" w:cs="宋体"/>
                <w:sz w:val="18"/>
                <w:szCs w:val="18"/>
              </w:rPr>
              <w:t>50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23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3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3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3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3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3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3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13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81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57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东邵渠镇煤改清洁能源安装变压器工程</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3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3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8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641.23</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641.23</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641.23</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8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641.23</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641.23</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641.23</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8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4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保障东邵渠镇煤改清洁能源安装变压器工程资金顺利发放</w:t>
            </w:r>
          </w:p>
        </w:tc>
        <w:tc>
          <w:tcPr>
            <w:tcW w:w="44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5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按时发放</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18"/>
                <w:szCs w:val="18"/>
              </w:rPr>
            </w:pPr>
            <w:r>
              <w:rPr>
                <w:rFonts w:hint="eastAsia" w:ascii="宋体" w:hAnsi="宋体" w:cs="宋体"/>
                <w:sz w:val="18"/>
                <w:szCs w:val="18"/>
              </w:rPr>
              <w:t>641.23</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18"/>
                <w:szCs w:val="18"/>
              </w:rPr>
            </w:pPr>
            <w:r>
              <w:rPr>
                <w:rFonts w:hint="eastAsia" w:ascii="宋体" w:hAnsi="宋体" w:cs="宋体"/>
                <w:sz w:val="18"/>
                <w:szCs w:val="18"/>
              </w:rPr>
              <w:t>641.23</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25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5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5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经费金额</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18"/>
                <w:szCs w:val="18"/>
              </w:rPr>
              <w:t>641.23</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18"/>
                <w:szCs w:val="18"/>
              </w:rPr>
              <w:t>641.23</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25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5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5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5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5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5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按时发放</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18"/>
                <w:szCs w:val="18"/>
              </w:rPr>
            </w:pPr>
            <w:r>
              <w:rPr>
                <w:rFonts w:ascii="宋体" w:hAnsi="宋体" w:cs="宋体"/>
                <w:sz w:val="18"/>
                <w:szCs w:val="18"/>
              </w:rPr>
              <w:t>50</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18"/>
                <w:szCs w:val="18"/>
              </w:rPr>
            </w:pPr>
            <w:r>
              <w:rPr>
                <w:rFonts w:ascii="宋体" w:hAnsi="宋体" w:cs="宋体"/>
                <w:sz w:val="18"/>
                <w:szCs w:val="18"/>
              </w:rPr>
              <w:t>50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25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29"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5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5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28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96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72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社区公益事业转移支付</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5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5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9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15.6</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15.6</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15.6</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9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15.6</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15.6</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15.6</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9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9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9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63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确保社区公益事业转移支付资金按照规定使用。</w:t>
            </w:r>
          </w:p>
        </w:tc>
        <w:tc>
          <w:tcPr>
            <w:tcW w:w="4638"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6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15.6</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 </w:t>
            </w:r>
            <w:r>
              <w:rPr>
                <w:rFonts w:hint="eastAsia" w:ascii="宋体" w:hAnsi="宋体" w:cs="宋体"/>
                <w:sz w:val="20"/>
                <w:szCs w:val="20"/>
              </w:rPr>
              <w:t>15.6</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6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6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6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15.6</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15.6</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6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7</w:t>
            </w:r>
          </w:p>
        </w:tc>
        <w:tc>
          <w:tcPr>
            <w:tcW w:w="26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6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6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6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6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89</w:t>
            </w:r>
          </w:p>
        </w:tc>
        <w:tc>
          <w:tcPr>
            <w:tcW w:w="26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214"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88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65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治违工作经费</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4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4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8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8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8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5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确保治违工作经费资金按规定使用</w:t>
            </w:r>
          </w:p>
        </w:tc>
        <w:tc>
          <w:tcPr>
            <w:tcW w:w="45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5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38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38</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5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5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5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38</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38</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5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5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5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5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5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5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5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23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91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67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密云区美丽乡村穆家峪镇西穆家峪村等132个村供水及污水前端系统工程</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4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4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9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689.11</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689.11</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689.11</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9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689.11</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689.11</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689.11</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9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9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9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5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保障密云区美丽乡村穆家峪镇西穆家峪村等132个村供水及污水前端系统工程顺利实施</w:t>
            </w:r>
          </w:p>
        </w:tc>
        <w:tc>
          <w:tcPr>
            <w:tcW w:w="45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6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金额</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18"/>
                <w:szCs w:val="18"/>
              </w:rPr>
            </w:pPr>
            <w:r>
              <w:rPr>
                <w:rFonts w:ascii="宋体" w:hAnsi="宋体" w:cs="宋体"/>
                <w:kern w:val="0"/>
                <w:sz w:val="18"/>
                <w:szCs w:val="18"/>
              </w:rPr>
              <w:t>689.11</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 </w:t>
            </w:r>
            <w:r>
              <w:rPr>
                <w:rFonts w:ascii="宋体" w:hAnsi="宋体" w:cs="宋体"/>
                <w:kern w:val="0"/>
                <w:sz w:val="18"/>
                <w:szCs w:val="18"/>
              </w:rPr>
              <w:t>689.11</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26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6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6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补贴</w:t>
            </w:r>
          </w:p>
        </w:tc>
        <w:tc>
          <w:tcPr>
            <w:tcW w:w="849" w:type="dxa"/>
            <w:tcBorders>
              <w:top w:val="single" w:color="auto" w:sz="4" w:space="0"/>
              <w:left w:val="nil"/>
              <w:bottom w:val="single" w:color="auto" w:sz="4" w:space="0"/>
              <w:right w:val="single" w:color="auto" w:sz="4" w:space="0"/>
            </w:tcBorders>
          </w:tcPr>
          <w:p>
            <w:r>
              <w:rPr>
                <w:rFonts w:ascii="宋体" w:hAnsi="宋体" w:cs="宋体"/>
                <w:kern w:val="0"/>
                <w:sz w:val="18"/>
                <w:szCs w:val="18"/>
              </w:rPr>
              <w:t>689.11</w:t>
            </w:r>
          </w:p>
        </w:tc>
        <w:tc>
          <w:tcPr>
            <w:tcW w:w="848" w:type="dxa"/>
            <w:tcBorders>
              <w:top w:val="single" w:color="auto" w:sz="4" w:space="0"/>
              <w:left w:val="nil"/>
              <w:bottom w:val="single" w:color="auto" w:sz="4" w:space="0"/>
              <w:right w:val="single" w:color="auto" w:sz="4" w:space="0"/>
            </w:tcBorders>
          </w:tcPr>
          <w:p>
            <w:r>
              <w:rPr>
                <w:rFonts w:ascii="宋体" w:hAnsi="宋体" w:cs="宋体"/>
                <w:kern w:val="0"/>
                <w:sz w:val="18"/>
                <w:szCs w:val="18"/>
              </w:rPr>
              <w:t>689.11</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26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w:t>
            </w:r>
          </w:p>
        </w:tc>
        <w:tc>
          <w:tcPr>
            <w:tcW w:w="26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w:t>
            </w:r>
          </w:p>
        </w:tc>
        <w:tc>
          <w:tcPr>
            <w:tcW w:w="26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w:t>
            </w:r>
          </w:p>
        </w:tc>
        <w:tc>
          <w:tcPr>
            <w:tcW w:w="26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26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26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w:t>
            </w:r>
          </w:p>
        </w:tc>
        <w:tc>
          <w:tcPr>
            <w:tcW w:w="26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63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31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7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乡村振兴发展资金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8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8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646"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3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714.71</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714.71</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714.71</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714.71</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714.71</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714.71</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9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确保乡村振兴发展资金按规定发放</w:t>
            </w:r>
          </w:p>
        </w:tc>
        <w:tc>
          <w:tcPr>
            <w:tcW w:w="39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0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按时发放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ascii="宋体" w:hAnsi="宋体" w:cs="宋体"/>
                <w:sz w:val="18"/>
                <w:szCs w:val="18"/>
              </w:rPr>
              <w:t>714.71</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ascii="宋体" w:hAnsi="宋体" w:cs="宋体"/>
                <w:sz w:val="18"/>
                <w:szCs w:val="18"/>
              </w:rPr>
              <w:t>714.71</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20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0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0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经费金额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ascii="宋体" w:hAnsi="宋体" w:cs="宋体"/>
                <w:sz w:val="18"/>
                <w:szCs w:val="18"/>
              </w:rPr>
              <w:t>714.71</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ascii="宋体" w:hAnsi="宋体" w:cs="宋体"/>
                <w:sz w:val="18"/>
                <w:szCs w:val="18"/>
              </w:rPr>
              <w:t>714.71</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20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sz w:val="18"/>
                <w:szCs w:val="18"/>
              </w:rPr>
              <w:t>8</w:t>
            </w:r>
          </w:p>
        </w:tc>
        <w:tc>
          <w:tcPr>
            <w:tcW w:w="20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0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0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0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0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0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05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72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49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密云区生活垃圾分类项目</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2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2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7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8.41</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8.41</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8.41</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7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8.41</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8.41</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8.41</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7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7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7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4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目标1：提高人民群众环保意识。</w:t>
            </w:r>
            <w:r>
              <w:rPr>
                <w:rFonts w:hint="eastAsia" w:ascii="宋体" w:hAnsi="宋体" w:cs="宋体"/>
                <w:kern w:val="0"/>
                <w:sz w:val="20"/>
                <w:szCs w:val="20"/>
              </w:rPr>
              <w:br w:type="textWrapping"/>
            </w:r>
            <w:r>
              <w:rPr>
                <w:rFonts w:hint="eastAsia" w:ascii="宋体" w:hAnsi="宋体" w:cs="宋体"/>
                <w:kern w:val="0"/>
                <w:sz w:val="20"/>
                <w:szCs w:val="20"/>
              </w:rPr>
              <w:t>目标2：改善人居环境。</w:t>
            </w:r>
            <w:r>
              <w:rPr>
                <w:rFonts w:hint="eastAsia" w:ascii="宋体" w:hAnsi="宋体" w:cs="宋体"/>
                <w:kern w:val="0"/>
                <w:sz w:val="20"/>
                <w:szCs w:val="20"/>
              </w:rPr>
              <w:br w:type="textWrapping"/>
            </w:r>
            <w:r>
              <w:rPr>
                <w:rFonts w:hint="eastAsia" w:ascii="宋体" w:hAnsi="宋体" w:cs="宋体"/>
                <w:kern w:val="0"/>
                <w:sz w:val="20"/>
                <w:szCs w:val="20"/>
              </w:rPr>
              <w:t>目标3:构建和谐社会。</w:t>
            </w:r>
          </w:p>
        </w:tc>
        <w:tc>
          <w:tcPr>
            <w:tcW w:w="4401"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4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镇域内环境卫生</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18"/>
                <w:szCs w:val="18"/>
              </w:rPr>
            </w:pPr>
            <w:r>
              <w:rPr>
                <w:rFonts w:hint="eastAsia" w:ascii="宋体" w:hAnsi="宋体" w:cs="宋体"/>
                <w:sz w:val="18"/>
                <w:szCs w:val="18"/>
              </w:rPr>
              <w:t>8</w:t>
            </w:r>
            <w:r>
              <w:rPr>
                <w:rFonts w:ascii="宋体" w:hAnsi="宋体" w:cs="宋体"/>
                <w:sz w:val="18"/>
                <w:szCs w:val="18"/>
              </w:rPr>
              <w:t>.41</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18"/>
                <w:szCs w:val="18"/>
              </w:rPr>
            </w:pPr>
            <w:r>
              <w:rPr>
                <w:rFonts w:hint="eastAsia" w:ascii="宋体" w:hAnsi="宋体" w:cs="宋体"/>
                <w:sz w:val="18"/>
                <w:szCs w:val="18"/>
              </w:rPr>
              <w:t>8</w:t>
            </w:r>
            <w:r>
              <w:rPr>
                <w:rFonts w:ascii="宋体" w:hAnsi="宋体" w:cs="宋体"/>
                <w:sz w:val="18"/>
                <w:szCs w:val="18"/>
              </w:rPr>
              <w:t>.41</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24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提高人民生活质量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满足需求</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4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4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资金</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18"/>
                <w:szCs w:val="18"/>
              </w:rPr>
              <w:t>8</w:t>
            </w:r>
            <w:r>
              <w:rPr>
                <w:rFonts w:ascii="宋体" w:hAnsi="宋体" w:cs="宋体"/>
                <w:sz w:val="18"/>
                <w:szCs w:val="18"/>
              </w:rPr>
              <w:t>.41</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18"/>
                <w:szCs w:val="18"/>
              </w:rPr>
              <w:t>8</w:t>
            </w:r>
            <w:r>
              <w:rPr>
                <w:rFonts w:ascii="宋体" w:hAnsi="宋体" w:cs="宋体"/>
                <w:sz w:val="18"/>
                <w:szCs w:val="18"/>
              </w:rPr>
              <w:t>.41</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24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保障社会正常运转</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4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构建和谐社会</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4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改善人居环境</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4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8.00 </w:t>
            </w:r>
          </w:p>
        </w:tc>
        <w:tc>
          <w:tcPr>
            <w:tcW w:w="24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提高工作质量</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9.00 </w:t>
            </w:r>
          </w:p>
        </w:tc>
        <w:tc>
          <w:tcPr>
            <w:tcW w:w="24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提高工作质量</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w:t>
            </w:r>
          </w:p>
        </w:tc>
        <w:tc>
          <w:tcPr>
            <w:tcW w:w="24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70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37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4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2023年北京市密云区市级家庭农场培育创建项目</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0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保障2023年北京市密云区市级家庭农场培育创建项目资金顺利发放</w:t>
            </w:r>
          </w:p>
        </w:tc>
        <w:tc>
          <w:tcPr>
            <w:tcW w:w="40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0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金额</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18"/>
                <w:szCs w:val="18"/>
              </w:rPr>
            </w:pPr>
            <w:r>
              <w:rPr>
                <w:rFonts w:hint="eastAsia" w:ascii="宋体" w:hAnsi="宋体" w:cs="宋体"/>
                <w:sz w:val="18"/>
                <w:szCs w:val="18"/>
              </w:rPr>
              <w:t>12</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18"/>
                <w:szCs w:val="18"/>
              </w:rPr>
            </w:pPr>
            <w:r>
              <w:rPr>
                <w:rFonts w:hint="eastAsia" w:ascii="宋体" w:hAnsi="宋体" w:cs="宋体"/>
                <w:sz w:val="18"/>
                <w:szCs w:val="18"/>
              </w:rPr>
              <w:t>12</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20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0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0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补贴</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18"/>
                <w:szCs w:val="18"/>
              </w:rPr>
              <w:t>12</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18"/>
                <w:szCs w:val="18"/>
              </w:rPr>
              <w:t>12</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20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0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0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0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sz w:val="18"/>
                <w:szCs w:val="18"/>
              </w:rPr>
              <w:t>8</w:t>
            </w:r>
          </w:p>
        </w:tc>
        <w:tc>
          <w:tcPr>
            <w:tcW w:w="20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sz w:val="18"/>
                <w:szCs w:val="18"/>
              </w:rPr>
              <w:t>8</w:t>
            </w:r>
          </w:p>
        </w:tc>
        <w:tc>
          <w:tcPr>
            <w:tcW w:w="20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0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214"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88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65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农产品质量安全基层管理能力提升项目</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4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4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8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8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8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5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保障农产品质量安全监管能力和水平提升项目顺利发放</w:t>
            </w:r>
          </w:p>
        </w:tc>
        <w:tc>
          <w:tcPr>
            <w:tcW w:w="4563"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5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8</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8</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5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5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5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8</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8</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5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5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5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5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5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5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5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03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71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47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村“两委”干部基本报酬补贴-市级负担</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2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2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7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423.2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423.2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423.2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7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423.2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423.2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423.2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7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7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7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3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目标1：按月发放</w:t>
            </w:r>
            <w:r>
              <w:rPr>
                <w:rFonts w:hint="eastAsia" w:ascii="宋体" w:hAnsi="宋体" w:cs="宋体"/>
                <w:kern w:val="0"/>
                <w:sz w:val="20"/>
                <w:szCs w:val="20"/>
              </w:rPr>
              <w:br w:type="textWrapping"/>
            </w:r>
            <w:r>
              <w:rPr>
                <w:rFonts w:hint="eastAsia" w:ascii="宋体" w:hAnsi="宋体" w:cs="宋体"/>
                <w:kern w:val="0"/>
                <w:sz w:val="20"/>
                <w:szCs w:val="20"/>
              </w:rPr>
              <w:t>目标2：提高村干部工作积极性</w:t>
            </w:r>
            <w:r>
              <w:rPr>
                <w:rFonts w:hint="eastAsia" w:ascii="宋体" w:hAnsi="宋体" w:cs="宋体"/>
                <w:kern w:val="0"/>
                <w:sz w:val="20"/>
                <w:szCs w:val="20"/>
              </w:rPr>
              <w:br w:type="textWrapping"/>
            </w:r>
            <w:r>
              <w:rPr>
                <w:rFonts w:hint="eastAsia" w:ascii="宋体" w:hAnsi="宋体" w:cs="宋体"/>
                <w:kern w:val="0"/>
                <w:sz w:val="20"/>
                <w:szCs w:val="20"/>
              </w:rPr>
              <w:t>目标3: 维持干部人员稳定</w:t>
            </w:r>
          </w:p>
        </w:tc>
        <w:tc>
          <w:tcPr>
            <w:tcW w:w="4388"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4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按月发放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423.2 429.31</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kern w:val="0"/>
                <w:sz w:val="20"/>
                <w:szCs w:val="20"/>
              </w:rPr>
              <w:t>423.2</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4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提高村干部工作积极性</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4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4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干部基本报酬</w:t>
            </w:r>
          </w:p>
        </w:tc>
        <w:tc>
          <w:tcPr>
            <w:tcW w:w="849" w:type="dxa"/>
            <w:tcBorders>
              <w:top w:val="single" w:color="auto" w:sz="4" w:space="0"/>
              <w:left w:val="nil"/>
              <w:bottom w:val="single" w:color="auto" w:sz="4" w:space="0"/>
              <w:right w:val="single" w:color="auto" w:sz="4" w:space="0"/>
            </w:tcBorders>
          </w:tcPr>
          <w:p>
            <w:pPr>
              <w:rPr>
                <w:rFonts w:ascii="宋体" w:hAnsi="宋体" w:cs="宋体"/>
                <w:kern w:val="0"/>
                <w:sz w:val="20"/>
                <w:szCs w:val="20"/>
              </w:rPr>
            </w:pPr>
            <w:r>
              <w:rPr>
                <w:rFonts w:hint="eastAsia" w:ascii="宋体" w:hAnsi="宋体" w:cs="宋体"/>
                <w:kern w:val="0"/>
                <w:sz w:val="20"/>
                <w:szCs w:val="20"/>
              </w:rPr>
              <w:t>423.2</w:t>
            </w:r>
          </w:p>
        </w:tc>
        <w:tc>
          <w:tcPr>
            <w:tcW w:w="848" w:type="dxa"/>
            <w:tcBorders>
              <w:top w:val="single" w:color="auto" w:sz="4" w:space="0"/>
              <w:left w:val="nil"/>
              <w:bottom w:val="single" w:color="auto" w:sz="4" w:space="0"/>
              <w:right w:val="single" w:color="auto" w:sz="4" w:space="0"/>
            </w:tcBorders>
          </w:tcPr>
          <w:p>
            <w:r>
              <w:rPr>
                <w:rFonts w:hint="eastAsia"/>
              </w:rPr>
              <w:t>423.2</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4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4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4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4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24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24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w:t>
            </w:r>
          </w:p>
        </w:tc>
        <w:tc>
          <w:tcPr>
            <w:tcW w:w="24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014"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68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45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城乡基层党组织服务群众经费-区负担</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2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2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6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230</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230</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6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230</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230</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6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6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6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3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保障基层党组织党建活动经费按照规定使用</w:t>
            </w:r>
          </w:p>
        </w:tc>
        <w:tc>
          <w:tcPr>
            <w:tcW w:w="4363"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3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230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230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3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提高村干部工作积极性</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3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3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补贴金额</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230</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230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3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3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3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3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3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3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93</w:t>
            </w:r>
          </w:p>
        </w:tc>
        <w:tc>
          <w:tcPr>
            <w:tcW w:w="23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13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81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57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正常离任村党组织书记生活补贴-区负担</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3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3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8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9.27</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9.27</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8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9.27</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9.27</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8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4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提高村干部工作积极性,维持干部人员稳定.</w:t>
            </w:r>
          </w:p>
        </w:tc>
        <w:tc>
          <w:tcPr>
            <w:tcW w:w="4488"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5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9.27</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9.27</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5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提高村干部工作积极性</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5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5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补贴金额</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9.27</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9.27</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5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5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5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5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25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25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w:t>
            </w:r>
          </w:p>
        </w:tc>
        <w:tc>
          <w:tcPr>
            <w:tcW w:w="25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58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26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2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正常离任村党组织书记生活补贴-市负担</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8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8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2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9.27</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9.27</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9.27</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9.27</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93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提高村干部工作积极性,维持干部人员稳定.</w:t>
            </w:r>
          </w:p>
        </w:tc>
        <w:tc>
          <w:tcPr>
            <w:tcW w:w="3938"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9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9.27</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9.27</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提高村干部工作积极性</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补贴金额</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9.27</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9.27</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19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95</w:t>
            </w:r>
          </w:p>
        </w:tc>
        <w:tc>
          <w:tcPr>
            <w:tcW w:w="19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75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42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9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基层党组织服务群众经费-市负担</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4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370.00</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370.00</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370.00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370.00</w:t>
            </w:r>
          </w:p>
        </w:tc>
        <w:tc>
          <w:tcPr>
            <w:tcW w:w="1132"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370.00</w:t>
            </w:r>
          </w:p>
        </w:tc>
        <w:tc>
          <w:tcPr>
            <w:tcW w:w="1127" w:type="dxa"/>
            <w:gridSpan w:val="2"/>
            <w:tcBorders>
              <w:top w:val="nil"/>
              <w:left w:val="nil"/>
              <w:bottom w:val="single" w:color="auto" w:sz="4" w:space="0"/>
              <w:right w:val="single" w:color="auto" w:sz="4" w:space="0"/>
            </w:tcBorders>
            <w:vAlign w:val="center"/>
          </w:tcPr>
          <w:p>
            <w:pPr>
              <w:widowControl/>
              <w:jc w:val="right"/>
              <w:textAlignment w:val="center"/>
              <w:rPr>
                <w:rFonts w:ascii="仿宋_GB2312" w:hAnsi="宋体" w:eastAsia="仿宋_GB2312" w:cs="宋体"/>
                <w:kern w:val="0"/>
                <w:szCs w:val="21"/>
              </w:rPr>
            </w:pPr>
            <w:r>
              <w:rPr>
                <w:rFonts w:hint="eastAsia" w:ascii="宋体" w:hAnsi="宋体" w:cs="宋体"/>
                <w:color w:val="000000"/>
                <w:kern w:val="0"/>
                <w:sz w:val="20"/>
                <w:szCs w:val="20"/>
              </w:rPr>
              <w:t>370.00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1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保障基层党组织党建活动经费按照规定使用</w:t>
            </w:r>
          </w:p>
        </w:tc>
        <w:tc>
          <w:tcPr>
            <w:tcW w:w="4101"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1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370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370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提高村干部工作积极性</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370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370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1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92</w:t>
            </w:r>
          </w:p>
        </w:tc>
        <w:tc>
          <w:tcPr>
            <w:tcW w:w="21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87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54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1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村“两委”干部基本报酬补贴-区负担</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0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0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5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92.31</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92.31</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92.31</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92.31</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92.31</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92.31</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22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目标1：按月发放</w:t>
            </w:r>
            <w:r>
              <w:rPr>
                <w:rFonts w:hint="eastAsia" w:ascii="宋体" w:hAnsi="宋体" w:cs="宋体"/>
                <w:kern w:val="0"/>
                <w:sz w:val="20"/>
                <w:szCs w:val="20"/>
              </w:rPr>
              <w:br w:type="textWrapping"/>
            </w:r>
            <w:r>
              <w:rPr>
                <w:rFonts w:hint="eastAsia" w:ascii="宋体" w:hAnsi="宋体" w:cs="宋体"/>
                <w:kern w:val="0"/>
                <w:sz w:val="20"/>
                <w:szCs w:val="20"/>
              </w:rPr>
              <w:t>目标2：提高村干部工作积极性</w:t>
            </w:r>
            <w:r>
              <w:rPr>
                <w:rFonts w:hint="eastAsia" w:ascii="宋体" w:hAnsi="宋体" w:cs="宋体"/>
                <w:kern w:val="0"/>
                <w:sz w:val="20"/>
                <w:szCs w:val="20"/>
              </w:rPr>
              <w:br w:type="textWrapping"/>
            </w:r>
            <w:r>
              <w:rPr>
                <w:rFonts w:hint="eastAsia" w:ascii="宋体" w:hAnsi="宋体" w:cs="宋体"/>
                <w:kern w:val="0"/>
                <w:sz w:val="20"/>
                <w:szCs w:val="20"/>
              </w:rPr>
              <w:t>目标3: 维持干部人员稳定</w:t>
            </w:r>
          </w:p>
        </w:tc>
        <w:tc>
          <w:tcPr>
            <w:tcW w:w="4226"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2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按月发放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92.31</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92.31</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2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提高村干部工作积极性</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干部基本报酬</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kern w:val="0"/>
                <w:sz w:val="20"/>
                <w:szCs w:val="20"/>
              </w:rPr>
              <w:t>92.31</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kern w:val="0"/>
                <w:sz w:val="20"/>
                <w:szCs w:val="20"/>
              </w:rPr>
              <w:t>92.31</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2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2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2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2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22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95</w:t>
            </w:r>
          </w:p>
        </w:tc>
        <w:tc>
          <w:tcPr>
            <w:tcW w:w="22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97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64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41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2023年高标准农田建设项目（第二批）</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1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1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6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407.59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407.59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407.59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6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407.59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407.59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407.59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6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6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6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32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保障2023年高标准农田建设项目（第二批）资金按规定发放</w:t>
            </w:r>
          </w:p>
        </w:tc>
        <w:tc>
          <w:tcPr>
            <w:tcW w:w="432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3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金额</w:t>
            </w:r>
          </w:p>
        </w:tc>
        <w:tc>
          <w:tcPr>
            <w:tcW w:w="849" w:type="dxa"/>
            <w:tcBorders>
              <w:top w:val="single" w:color="auto" w:sz="4" w:space="0"/>
              <w:left w:val="nil"/>
              <w:bottom w:val="single" w:color="auto" w:sz="4" w:space="0"/>
              <w:right w:val="single" w:color="auto" w:sz="4" w:space="0"/>
            </w:tcBorders>
          </w:tcPr>
          <w:p>
            <w:r>
              <w:rPr>
                <w:rFonts w:ascii="宋体" w:hAnsi="宋体" w:cs="宋体"/>
                <w:color w:val="000000"/>
                <w:kern w:val="0"/>
                <w:sz w:val="20"/>
                <w:szCs w:val="20"/>
              </w:rPr>
              <w:t>407.59</w:t>
            </w:r>
          </w:p>
        </w:tc>
        <w:tc>
          <w:tcPr>
            <w:tcW w:w="848" w:type="dxa"/>
            <w:tcBorders>
              <w:top w:val="single" w:color="auto" w:sz="4" w:space="0"/>
              <w:left w:val="nil"/>
              <w:bottom w:val="single" w:color="auto" w:sz="4" w:space="0"/>
              <w:right w:val="single" w:color="auto" w:sz="4" w:space="0"/>
            </w:tcBorders>
          </w:tcPr>
          <w:p>
            <w:r>
              <w:rPr>
                <w:rFonts w:ascii="宋体" w:hAnsi="宋体" w:cs="宋体"/>
                <w:color w:val="000000"/>
                <w:kern w:val="0"/>
                <w:sz w:val="20"/>
                <w:szCs w:val="20"/>
              </w:rPr>
              <w:t>407.59</w:t>
            </w:r>
            <w:r>
              <w:rPr>
                <w:rFonts w:hint="eastAsia" w:ascii="宋体" w:hAnsi="宋体" w:cs="宋体"/>
                <w:color w:val="000000"/>
                <w:kern w:val="0"/>
                <w:sz w:val="20"/>
                <w:szCs w:val="20"/>
              </w:rPr>
              <w:t>1</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20.00 </w:t>
            </w:r>
          </w:p>
        </w:tc>
        <w:tc>
          <w:tcPr>
            <w:tcW w:w="23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3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 xml:space="preserve">10.00 </w:t>
            </w:r>
          </w:p>
        </w:tc>
        <w:tc>
          <w:tcPr>
            <w:tcW w:w="23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补贴</w:t>
            </w:r>
          </w:p>
        </w:tc>
        <w:tc>
          <w:tcPr>
            <w:tcW w:w="849" w:type="dxa"/>
            <w:tcBorders>
              <w:top w:val="single" w:color="auto" w:sz="4" w:space="0"/>
              <w:left w:val="nil"/>
              <w:bottom w:val="single" w:color="auto" w:sz="4" w:space="0"/>
              <w:right w:val="single" w:color="auto" w:sz="4" w:space="0"/>
            </w:tcBorders>
          </w:tcPr>
          <w:p>
            <w:r>
              <w:rPr>
                <w:rFonts w:ascii="宋体" w:hAnsi="宋体" w:cs="宋体"/>
                <w:color w:val="000000"/>
                <w:kern w:val="0"/>
                <w:sz w:val="20"/>
                <w:szCs w:val="20"/>
              </w:rPr>
              <w:t>407.59</w:t>
            </w:r>
          </w:p>
        </w:tc>
        <w:tc>
          <w:tcPr>
            <w:tcW w:w="848" w:type="dxa"/>
            <w:tcBorders>
              <w:top w:val="single" w:color="auto" w:sz="4" w:space="0"/>
              <w:left w:val="nil"/>
              <w:bottom w:val="single" w:color="auto" w:sz="4" w:space="0"/>
              <w:right w:val="single" w:color="auto" w:sz="4" w:space="0"/>
            </w:tcBorders>
          </w:tcPr>
          <w:p>
            <w:r>
              <w:rPr>
                <w:rFonts w:ascii="宋体" w:hAnsi="宋体" w:cs="宋体"/>
                <w:color w:val="000000"/>
                <w:kern w:val="0"/>
                <w:sz w:val="20"/>
                <w:szCs w:val="20"/>
              </w:rPr>
              <w:t>407.59</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r>
              <w:rPr>
                <w:rFonts w:hint="eastAsia" w:ascii="宋体" w:hAnsi="宋体" w:cs="宋体"/>
                <w:sz w:val="18"/>
                <w:szCs w:val="18"/>
              </w:rPr>
              <w:t>10</w:t>
            </w:r>
          </w:p>
        </w:tc>
        <w:tc>
          <w:tcPr>
            <w:tcW w:w="23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3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7</w:t>
            </w:r>
          </w:p>
        </w:tc>
        <w:tc>
          <w:tcPr>
            <w:tcW w:w="23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3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3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18"/>
                <w:szCs w:val="18"/>
              </w:rPr>
            </w:pPr>
            <w:r>
              <w:rPr>
                <w:rFonts w:hint="eastAsia" w:ascii="宋体" w:hAnsi="宋体" w:cs="宋体"/>
                <w:kern w:val="0"/>
                <w:sz w:val="18"/>
                <w:szCs w:val="18"/>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18"/>
                <w:szCs w:val="18"/>
              </w:rPr>
            </w:pPr>
            <w:r>
              <w:rPr>
                <w:rFonts w:hint="eastAsia" w:ascii="宋体" w:hAnsi="宋体" w:cs="宋体"/>
                <w:kern w:val="0"/>
                <w:sz w:val="18"/>
                <w:szCs w:val="18"/>
              </w:rPr>
              <w:t>8</w:t>
            </w:r>
          </w:p>
        </w:tc>
        <w:tc>
          <w:tcPr>
            <w:tcW w:w="23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18"/>
                <w:szCs w:val="18"/>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89</w:t>
            </w:r>
          </w:p>
        </w:tc>
        <w:tc>
          <w:tcPr>
            <w:tcW w:w="23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764"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43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20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2024年村邮员补贴资金（一、二季度）</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8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8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4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3.66</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3.66</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3.66</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3.66</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3.66</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3.66</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11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目标</w:t>
            </w:r>
            <w:r>
              <w:rPr>
                <w:rStyle w:val="25"/>
                <w:rFonts w:hint="default"/>
              </w:rPr>
              <w:t>1：保障村邮员正常工作。</w:t>
            </w:r>
            <w:r>
              <w:rPr>
                <w:rStyle w:val="25"/>
                <w:rFonts w:hint="default"/>
              </w:rPr>
              <w:br w:type="textWrapping"/>
            </w:r>
            <w:r>
              <w:rPr>
                <w:rStyle w:val="25"/>
                <w:rFonts w:hint="default"/>
              </w:rPr>
              <w:t>目标2：及时准确投送到户，做到不丢失、不短少、不损毁、不积压，不延误信件。</w:t>
            </w:r>
          </w:p>
        </w:tc>
        <w:tc>
          <w:tcPr>
            <w:tcW w:w="4113"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13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村邮员上岗率</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100%</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100%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提高工作效率</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满足需求</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按实际支出拨付</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w:t>
            </w:r>
          </w:p>
        </w:tc>
        <w:tc>
          <w:tcPr>
            <w:tcW w:w="849" w:type="dxa"/>
            <w:tcBorders>
              <w:top w:val="single" w:color="auto" w:sz="4" w:space="0"/>
              <w:left w:val="nil"/>
              <w:bottom w:val="single" w:color="auto" w:sz="4" w:space="0"/>
              <w:right w:val="single" w:color="auto" w:sz="4" w:space="0"/>
            </w:tcBorders>
            <w:vAlign w:val="center"/>
          </w:tcPr>
          <w:p>
            <w:pPr>
              <w:widowControl/>
              <w:jc w:val="right"/>
              <w:textAlignment w:val="center"/>
              <w:rPr>
                <w:rFonts w:ascii="宋体" w:hAnsi="宋体" w:cs="宋体"/>
                <w:sz w:val="20"/>
                <w:szCs w:val="20"/>
              </w:rPr>
            </w:pPr>
            <w:r>
              <w:rPr>
                <w:rFonts w:hint="eastAsia" w:ascii="宋体" w:hAnsi="宋体" w:cs="宋体"/>
                <w:sz w:val="20"/>
                <w:szCs w:val="20"/>
              </w:rPr>
              <w:t>3.66</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3.66</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保障社会正常运转</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构建和谐社会</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服务于和谐社会</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8.00 </w:t>
            </w:r>
          </w:p>
        </w:tc>
        <w:tc>
          <w:tcPr>
            <w:tcW w:w="213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8.00 </w:t>
            </w:r>
          </w:p>
        </w:tc>
        <w:tc>
          <w:tcPr>
            <w:tcW w:w="213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进一步提高工作水平</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96</w:t>
            </w:r>
          </w:p>
        </w:tc>
        <w:tc>
          <w:tcPr>
            <w:tcW w:w="213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92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59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6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密云区农村卫生室标准化设施建设工程剩余资金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1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1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5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2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保障农村卫生室标准化设施建设工程剩余资金顺利发放</w:t>
            </w:r>
          </w:p>
        </w:tc>
        <w:tc>
          <w:tcPr>
            <w:tcW w:w="42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3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24</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24</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3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3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3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24</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24</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3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7</w:t>
            </w:r>
          </w:p>
        </w:tc>
        <w:tc>
          <w:tcPr>
            <w:tcW w:w="23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7</w:t>
            </w:r>
          </w:p>
        </w:tc>
        <w:tc>
          <w:tcPr>
            <w:tcW w:w="23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57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3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3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3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88</w:t>
            </w:r>
          </w:p>
        </w:tc>
        <w:tc>
          <w:tcPr>
            <w:tcW w:w="23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90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57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4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2023年度农村基础设施管护资金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1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1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135.99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135.99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135.99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135.99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135.99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135.99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2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确保2023年度农村基础设施管护资金按规定使用</w:t>
            </w:r>
          </w:p>
        </w:tc>
        <w:tc>
          <w:tcPr>
            <w:tcW w:w="42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2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135.99</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135.99</w:t>
            </w:r>
            <w:r>
              <w:rPr>
                <w:rFonts w:ascii="宋体" w:hAnsi="宋体" w:cs="宋体"/>
                <w:sz w:val="20"/>
                <w:szCs w:val="20"/>
              </w:rPr>
              <w:t>4</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135.99</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135.99</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2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714"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38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5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2024年甘薯产业化项目</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6.58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6.58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6.58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6.58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6.58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6.58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0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保障甘薯产业化项目资金按规定发放</w:t>
            </w:r>
          </w:p>
        </w:tc>
        <w:tc>
          <w:tcPr>
            <w:tcW w:w="40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6.58</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6.58</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6.58</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6.58</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0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0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0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58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26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2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村级公益事业转移支付</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8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8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2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372.4</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372.4</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372.4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372.4</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372.4</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372.4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93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确保村级公益事业转移支付资金按照规定使用。</w:t>
            </w:r>
          </w:p>
        </w:tc>
        <w:tc>
          <w:tcPr>
            <w:tcW w:w="3938"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9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ascii="宋体" w:hAnsi="宋体" w:cs="宋体"/>
                <w:sz w:val="20"/>
                <w:szCs w:val="20"/>
              </w:rPr>
              <w:t>3</w:t>
            </w:r>
            <w:r>
              <w:rPr>
                <w:rFonts w:hint="eastAsia" w:ascii="宋体" w:hAnsi="宋体" w:cs="宋体"/>
                <w:sz w:val="20"/>
                <w:szCs w:val="20"/>
              </w:rPr>
              <w:t>72.4</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ascii="宋体" w:hAnsi="宋体" w:cs="宋体"/>
                <w:sz w:val="20"/>
                <w:szCs w:val="20"/>
              </w:rPr>
              <w:t>3</w:t>
            </w:r>
            <w:r>
              <w:rPr>
                <w:rFonts w:hint="eastAsia" w:ascii="宋体" w:hAnsi="宋体" w:cs="宋体"/>
                <w:sz w:val="20"/>
                <w:szCs w:val="20"/>
              </w:rPr>
              <w:t>72.4</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ascii="宋体" w:hAnsi="宋体" w:cs="宋体"/>
                <w:sz w:val="20"/>
                <w:szCs w:val="20"/>
              </w:rPr>
              <w:t>3</w:t>
            </w:r>
            <w:r>
              <w:rPr>
                <w:rFonts w:hint="eastAsia" w:ascii="宋体" w:hAnsi="宋体" w:cs="宋体"/>
                <w:sz w:val="20"/>
                <w:szCs w:val="20"/>
              </w:rPr>
              <w:t>72.4</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ascii="宋体" w:hAnsi="宋体" w:cs="宋体"/>
                <w:sz w:val="20"/>
                <w:szCs w:val="20"/>
              </w:rPr>
              <w:t>3</w:t>
            </w:r>
            <w:r>
              <w:rPr>
                <w:rFonts w:hint="eastAsia" w:ascii="宋体" w:hAnsi="宋体" w:cs="宋体"/>
                <w:sz w:val="20"/>
                <w:szCs w:val="20"/>
              </w:rPr>
              <w:t>72.4</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19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Pr>
        <w:spacing w:line="480" w:lineRule="exact"/>
        <w:jc w:val="center"/>
        <w:rPr>
          <w:rFonts w:hint="eastAsia" w:ascii="方正小标宋简体" w:hAnsi="黑体" w:eastAsia="方正小标宋简体"/>
          <w:sz w:val="36"/>
          <w:szCs w:val="36"/>
        </w:rPr>
      </w:pPr>
    </w:p>
    <w:p>
      <w:pPr>
        <w:spacing w:line="480" w:lineRule="exact"/>
        <w:jc w:val="center"/>
        <w:rPr>
          <w:rFonts w:hint="eastAsia" w:ascii="方正小标宋简体" w:hAnsi="黑体" w:eastAsia="方正小标宋简体"/>
          <w:sz w:val="36"/>
          <w:szCs w:val="36"/>
        </w:rPr>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714"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38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5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东邵渠镇壮大集体经济-生猪养殖场饲料加工设备购置项目</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0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确保东邵渠镇壮大集体经济-生猪养殖场饲料加工设备购置项目资金按规定发放</w:t>
            </w:r>
          </w:p>
        </w:tc>
        <w:tc>
          <w:tcPr>
            <w:tcW w:w="40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1000</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1000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1000</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1000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0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0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0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92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59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6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2024年农村公厕管护资金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1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1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5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35.58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35.58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35.58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35.58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35.58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35.58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2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目标1：提高人民群众环保意识。</w:t>
            </w:r>
            <w:r>
              <w:rPr>
                <w:rFonts w:hint="eastAsia" w:ascii="宋体" w:hAnsi="宋体" w:cs="宋体"/>
                <w:kern w:val="0"/>
                <w:sz w:val="20"/>
                <w:szCs w:val="20"/>
              </w:rPr>
              <w:br w:type="textWrapping"/>
            </w:r>
            <w:r>
              <w:rPr>
                <w:rFonts w:hint="eastAsia" w:ascii="宋体" w:hAnsi="宋体" w:cs="宋体"/>
                <w:kern w:val="0"/>
                <w:sz w:val="20"/>
                <w:szCs w:val="20"/>
              </w:rPr>
              <w:t>目标2：改善人居环境。</w:t>
            </w:r>
            <w:r>
              <w:rPr>
                <w:rFonts w:hint="eastAsia" w:ascii="宋体" w:hAnsi="宋体" w:cs="宋体"/>
                <w:kern w:val="0"/>
                <w:sz w:val="20"/>
                <w:szCs w:val="20"/>
              </w:rPr>
              <w:br w:type="textWrapping"/>
            </w:r>
            <w:r>
              <w:rPr>
                <w:rFonts w:hint="eastAsia" w:ascii="宋体" w:hAnsi="宋体" w:cs="宋体"/>
                <w:kern w:val="0"/>
                <w:sz w:val="20"/>
                <w:szCs w:val="20"/>
              </w:rPr>
              <w:t>目标3:构建和谐社会。</w:t>
            </w:r>
          </w:p>
        </w:tc>
        <w:tc>
          <w:tcPr>
            <w:tcW w:w="4276"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3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镇域内环境卫生</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35.58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35.58</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3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提高人民生活质量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满足需求</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3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3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资金</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35.58</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35.58</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3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保障社会正常运转</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8.00 </w:t>
            </w:r>
          </w:p>
        </w:tc>
        <w:tc>
          <w:tcPr>
            <w:tcW w:w="23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构建和谐社会</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8.0</w:t>
            </w:r>
          </w:p>
        </w:tc>
        <w:tc>
          <w:tcPr>
            <w:tcW w:w="23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改善人居环境</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8.00 </w:t>
            </w:r>
          </w:p>
        </w:tc>
        <w:tc>
          <w:tcPr>
            <w:tcW w:w="23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8.00 </w:t>
            </w:r>
          </w:p>
        </w:tc>
        <w:tc>
          <w:tcPr>
            <w:tcW w:w="23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提高工作质量</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9.00 </w:t>
            </w:r>
          </w:p>
        </w:tc>
        <w:tc>
          <w:tcPr>
            <w:tcW w:w="23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提高工作质量</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91</w:t>
            </w:r>
          </w:p>
        </w:tc>
        <w:tc>
          <w:tcPr>
            <w:tcW w:w="23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spacing w:line="520" w:lineRule="exact"/>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90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57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4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2023年度农村太阳能浴室管护资金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1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1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73.92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73.92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73.92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73.92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73.92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73.92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2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确保2022年度农村太阳能浴室管护资金按照规定使用。</w:t>
            </w:r>
          </w:p>
        </w:tc>
        <w:tc>
          <w:tcPr>
            <w:tcW w:w="4251"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2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ascii="宋体" w:hAnsi="宋体" w:cs="宋体"/>
                <w:sz w:val="20"/>
                <w:szCs w:val="20"/>
              </w:rPr>
              <w:t>7</w:t>
            </w:r>
            <w:r>
              <w:rPr>
                <w:rFonts w:hint="eastAsia" w:ascii="宋体" w:hAnsi="宋体" w:cs="宋体"/>
                <w:sz w:val="20"/>
                <w:szCs w:val="20"/>
              </w:rPr>
              <w:t>3.92</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ascii="宋体" w:hAnsi="宋体" w:cs="宋体"/>
                <w:sz w:val="20"/>
                <w:szCs w:val="20"/>
              </w:rPr>
              <w:t>7</w:t>
            </w:r>
            <w:r>
              <w:rPr>
                <w:rFonts w:hint="eastAsia" w:ascii="宋体" w:hAnsi="宋体" w:cs="宋体"/>
                <w:sz w:val="20"/>
                <w:szCs w:val="20"/>
              </w:rPr>
              <w:t>3.92</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ascii="宋体" w:hAnsi="宋体" w:cs="宋体"/>
                <w:sz w:val="20"/>
                <w:szCs w:val="20"/>
              </w:rPr>
              <w:t>7</w:t>
            </w:r>
            <w:r>
              <w:rPr>
                <w:rFonts w:hint="eastAsia" w:ascii="宋体" w:hAnsi="宋体" w:cs="宋体"/>
                <w:sz w:val="20"/>
                <w:szCs w:val="20"/>
              </w:rPr>
              <w:t>3.92</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ascii="宋体" w:hAnsi="宋体" w:cs="宋体"/>
                <w:sz w:val="20"/>
                <w:szCs w:val="20"/>
              </w:rPr>
              <w:t>7</w:t>
            </w:r>
            <w:r>
              <w:rPr>
                <w:rFonts w:hint="eastAsia" w:ascii="宋体" w:hAnsi="宋体" w:cs="宋体"/>
                <w:sz w:val="20"/>
                <w:szCs w:val="20"/>
              </w:rPr>
              <w:t>3.92</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2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83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51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27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2024年农村地区保洁员（生活垃圾分类指导员）补贴（第二至四季度）</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0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0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5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192.6</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192.6</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192.6</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192.6</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192.6</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192.6</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1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目标1：提高人民群众环保意识。</w:t>
            </w:r>
            <w:r>
              <w:rPr>
                <w:rFonts w:hint="eastAsia" w:ascii="宋体" w:hAnsi="宋体" w:cs="宋体"/>
                <w:kern w:val="0"/>
                <w:sz w:val="20"/>
                <w:szCs w:val="20"/>
              </w:rPr>
              <w:br w:type="textWrapping"/>
            </w:r>
            <w:r>
              <w:rPr>
                <w:rFonts w:hint="eastAsia" w:ascii="宋体" w:hAnsi="宋体" w:cs="宋体"/>
                <w:kern w:val="0"/>
                <w:sz w:val="20"/>
                <w:szCs w:val="20"/>
              </w:rPr>
              <w:t>目标2：改善人居环境。</w:t>
            </w:r>
            <w:r>
              <w:rPr>
                <w:rFonts w:hint="eastAsia" w:ascii="宋体" w:hAnsi="宋体" w:cs="宋体"/>
                <w:kern w:val="0"/>
                <w:sz w:val="20"/>
                <w:szCs w:val="20"/>
              </w:rPr>
              <w:br w:type="textWrapping"/>
            </w:r>
            <w:r>
              <w:rPr>
                <w:rFonts w:hint="eastAsia" w:ascii="宋体" w:hAnsi="宋体" w:cs="宋体"/>
                <w:kern w:val="0"/>
                <w:sz w:val="20"/>
                <w:szCs w:val="20"/>
              </w:rPr>
              <w:t>目标3:构建和谐社会。</w:t>
            </w:r>
          </w:p>
        </w:tc>
        <w:tc>
          <w:tcPr>
            <w:tcW w:w="4188"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2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镇域内环境卫生</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192.6</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192.6</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2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提高人民生活质量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满足需求</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资金</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192.6</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192.6</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2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保障社会正常运转</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构建和谐社会</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改善人居环境</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8.00 </w:t>
            </w:r>
          </w:p>
        </w:tc>
        <w:tc>
          <w:tcPr>
            <w:tcW w:w="22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提高工作质量</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9.00 </w:t>
            </w:r>
          </w:p>
        </w:tc>
        <w:tc>
          <w:tcPr>
            <w:tcW w:w="22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提高工作质量</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w:t>
            </w:r>
          </w:p>
        </w:tc>
        <w:tc>
          <w:tcPr>
            <w:tcW w:w="22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07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74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51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2024年村邮员补贴资金（三、四季度）</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2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2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7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3.66</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3.66</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3.66</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7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7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3.66</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3.66</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3.66</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7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7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42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目标</w:t>
            </w:r>
            <w:r>
              <w:rPr>
                <w:rStyle w:val="25"/>
                <w:rFonts w:hint="default"/>
              </w:rPr>
              <w:t>1：保障村邮员正常工作。</w:t>
            </w:r>
            <w:r>
              <w:rPr>
                <w:rStyle w:val="25"/>
                <w:rFonts w:hint="default"/>
              </w:rPr>
              <w:br w:type="textWrapping"/>
            </w:r>
            <w:r>
              <w:rPr>
                <w:rStyle w:val="25"/>
                <w:rFonts w:hint="default"/>
              </w:rPr>
              <w:t>目标2：及时准确投送到户，做到不丢失、不短少、不损毁、不积压，不延误信件。</w:t>
            </w:r>
          </w:p>
        </w:tc>
        <w:tc>
          <w:tcPr>
            <w:tcW w:w="4426"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4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村邮员上岗率</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100%</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100%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4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提高工作效率</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满足需求</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4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按实际支出拨付</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4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w:t>
            </w:r>
          </w:p>
        </w:tc>
        <w:tc>
          <w:tcPr>
            <w:tcW w:w="849" w:type="dxa"/>
            <w:tcBorders>
              <w:top w:val="single" w:color="auto" w:sz="4" w:space="0"/>
              <w:left w:val="nil"/>
              <w:bottom w:val="single" w:color="auto" w:sz="4" w:space="0"/>
              <w:right w:val="single" w:color="auto" w:sz="4" w:space="0"/>
            </w:tcBorders>
            <w:vAlign w:val="center"/>
          </w:tcPr>
          <w:p>
            <w:pPr>
              <w:widowControl/>
              <w:jc w:val="right"/>
              <w:textAlignment w:val="center"/>
              <w:rPr>
                <w:rFonts w:ascii="宋体" w:hAnsi="宋体" w:cs="宋体"/>
                <w:sz w:val="20"/>
                <w:szCs w:val="20"/>
              </w:rPr>
            </w:pPr>
            <w:r>
              <w:rPr>
                <w:rFonts w:hint="eastAsia" w:ascii="宋体" w:hAnsi="宋体" w:cs="宋体"/>
                <w:sz w:val="20"/>
                <w:szCs w:val="20"/>
              </w:rPr>
              <w:t>3.66</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3.66</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4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保障社会正常运转</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4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构建和谐社会</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4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服务于和谐社会</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4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8.00 </w:t>
            </w:r>
          </w:p>
        </w:tc>
        <w:tc>
          <w:tcPr>
            <w:tcW w:w="24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8.00 </w:t>
            </w:r>
          </w:p>
        </w:tc>
        <w:tc>
          <w:tcPr>
            <w:tcW w:w="24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进一步提高工作水平</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96</w:t>
            </w:r>
          </w:p>
        </w:tc>
        <w:tc>
          <w:tcPr>
            <w:tcW w:w="24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714"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38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5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2023年度抗震节能农宅建设资金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176</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176</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176</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176</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176</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176</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0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保障抗震节能农宅建设项目资金顺利发放</w:t>
            </w:r>
          </w:p>
        </w:tc>
        <w:tc>
          <w:tcPr>
            <w:tcW w:w="4063"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ind w:right="200"/>
              <w:jc w:val="right"/>
              <w:textAlignment w:val="center"/>
              <w:rPr>
                <w:rFonts w:ascii="宋体" w:hAnsi="宋体" w:cs="宋体"/>
                <w:sz w:val="20"/>
                <w:szCs w:val="20"/>
              </w:rPr>
            </w:pPr>
            <w:r>
              <w:rPr>
                <w:rFonts w:hint="eastAsia" w:ascii="宋体" w:hAnsi="宋体" w:cs="宋体"/>
                <w:sz w:val="20"/>
                <w:szCs w:val="20"/>
              </w:rPr>
              <w:t>176</w:t>
            </w:r>
          </w:p>
        </w:tc>
        <w:tc>
          <w:tcPr>
            <w:tcW w:w="848" w:type="dxa"/>
            <w:tcBorders>
              <w:top w:val="single" w:color="auto" w:sz="4" w:space="0"/>
              <w:left w:val="nil"/>
              <w:bottom w:val="single" w:color="auto" w:sz="4" w:space="0"/>
              <w:right w:val="single" w:color="auto" w:sz="4" w:space="0"/>
            </w:tcBorders>
            <w:vAlign w:val="center"/>
          </w:tcPr>
          <w:p>
            <w:pPr>
              <w:widowControl/>
              <w:ind w:right="200"/>
              <w:jc w:val="right"/>
              <w:textAlignment w:val="center"/>
              <w:rPr>
                <w:rFonts w:ascii="宋体" w:hAnsi="宋体" w:cs="宋体"/>
                <w:sz w:val="20"/>
                <w:szCs w:val="20"/>
              </w:rPr>
            </w:pPr>
            <w:r>
              <w:rPr>
                <w:rFonts w:hint="eastAsia" w:ascii="宋体" w:hAnsi="宋体" w:cs="宋体"/>
                <w:sz w:val="20"/>
                <w:szCs w:val="20"/>
              </w:rPr>
              <w:t>176</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设施使用效果</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176</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176</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0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w:t>
            </w:r>
          </w:p>
        </w:tc>
        <w:tc>
          <w:tcPr>
            <w:tcW w:w="20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w:t>
            </w:r>
          </w:p>
        </w:tc>
        <w:tc>
          <w:tcPr>
            <w:tcW w:w="20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w:t>
            </w:r>
          </w:p>
        </w:tc>
        <w:tc>
          <w:tcPr>
            <w:tcW w:w="20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w:t>
            </w:r>
          </w:p>
        </w:tc>
        <w:tc>
          <w:tcPr>
            <w:tcW w:w="20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0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86</w:t>
            </w:r>
          </w:p>
        </w:tc>
        <w:tc>
          <w:tcPr>
            <w:tcW w:w="20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52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19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6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2024年农村地区保洁员（生活垃圾分类指导员）补贴（第一季度）</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目标1：提高人民群众环保意识。</w:t>
            </w:r>
            <w:r>
              <w:rPr>
                <w:rFonts w:hint="eastAsia" w:ascii="宋体" w:hAnsi="宋体" w:cs="宋体"/>
                <w:kern w:val="0"/>
                <w:sz w:val="20"/>
                <w:szCs w:val="20"/>
              </w:rPr>
              <w:br w:type="textWrapping"/>
            </w:r>
            <w:r>
              <w:rPr>
                <w:rFonts w:hint="eastAsia" w:ascii="宋体" w:hAnsi="宋体" w:cs="宋体"/>
                <w:kern w:val="0"/>
                <w:sz w:val="20"/>
                <w:szCs w:val="20"/>
              </w:rPr>
              <w:t>目标2：改善人居环境。</w:t>
            </w:r>
            <w:r>
              <w:rPr>
                <w:rFonts w:hint="eastAsia" w:ascii="宋体" w:hAnsi="宋体" w:cs="宋体"/>
                <w:kern w:val="0"/>
                <w:sz w:val="20"/>
                <w:szCs w:val="20"/>
              </w:rPr>
              <w:br w:type="textWrapping"/>
            </w:r>
            <w:r>
              <w:rPr>
                <w:rFonts w:hint="eastAsia" w:ascii="宋体" w:hAnsi="宋体" w:cs="宋体"/>
                <w:kern w:val="0"/>
                <w:sz w:val="20"/>
                <w:szCs w:val="20"/>
              </w:rPr>
              <w:t>目标3:构建和谐社会。</w:t>
            </w:r>
          </w:p>
        </w:tc>
        <w:tc>
          <w:tcPr>
            <w:tcW w:w="3876"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镇域内环境卫生</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64.2</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64.2</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提高人民生活质量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满足需求</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资金</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64.2</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64.2</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保障社会正常运转</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构建和谐社会</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改善人居环境</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8.00 </w:t>
            </w:r>
          </w:p>
        </w:tc>
        <w:tc>
          <w:tcPr>
            <w:tcW w:w="19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提高工作质量</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9.00 </w:t>
            </w:r>
          </w:p>
        </w:tc>
        <w:tc>
          <w:tcPr>
            <w:tcW w:w="19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提高工作质量</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w:t>
            </w:r>
          </w:p>
        </w:tc>
        <w:tc>
          <w:tcPr>
            <w:tcW w:w="1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82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49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26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东邵渠镇界牌村甘薯生产、包装车间建设项目</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0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0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4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164.45</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164.45</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164.45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164.45</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164.45</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164.45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1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确保界牌村甘薯生产、包装车间建设项目资金顺利发放</w:t>
            </w:r>
          </w:p>
        </w:tc>
        <w:tc>
          <w:tcPr>
            <w:tcW w:w="41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2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164.45</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164.45</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2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164.45</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164.45</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2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2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764" w:type="dxa"/>
        <w:jc w:val="center"/>
        <w:tblLayout w:type="fixed"/>
        <w:tblCellMar>
          <w:top w:w="0" w:type="dxa"/>
          <w:left w:w="108" w:type="dxa"/>
          <w:bottom w:w="0" w:type="dxa"/>
          <w:right w:w="108" w:type="dxa"/>
        </w:tblCellMar>
      </w:tblPr>
      <w:tblGrid>
        <w:gridCol w:w="585"/>
        <w:gridCol w:w="975"/>
        <w:gridCol w:w="1105"/>
        <w:gridCol w:w="727"/>
        <w:gridCol w:w="1127"/>
        <w:gridCol w:w="86"/>
        <w:gridCol w:w="993"/>
        <w:gridCol w:w="992"/>
        <w:gridCol w:w="188"/>
        <w:gridCol w:w="284"/>
        <w:gridCol w:w="420"/>
        <w:gridCol w:w="143"/>
        <w:gridCol w:w="703"/>
        <w:gridCol w:w="143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20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2024年农村户厕管护资金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3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80"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8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3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80"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8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079"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80"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4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20.43</w:t>
            </w:r>
          </w:p>
        </w:tc>
        <w:tc>
          <w:tcPr>
            <w:tcW w:w="1079"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20.43</w:t>
            </w:r>
          </w:p>
        </w:tc>
        <w:tc>
          <w:tcPr>
            <w:tcW w:w="1180"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20.43</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20.43</w:t>
            </w:r>
          </w:p>
        </w:tc>
        <w:tc>
          <w:tcPr>
            <w:tcW w:w="1079"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20.43</w:t>
            </w:r>
          </w:p>
        </w:tc>
        <w:tc>
          <w:tcPr>
            <w:tcW w:w="1180"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20.43</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079"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80"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079"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80"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13"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16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13"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有效提高环境卫生。</w:t>
            </w:r>
          </w:p>
        </w:tc>
        <w:tc>
          <w:tcPr>
            <w:tcW w:w="4166"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1940"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993"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992"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4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13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1940"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安装户数</w:t>
            </w:r>
          </w:p>
        </w:tc>
        <w:tc>
          <w:tcPr>
            <w:tcW w:w="993"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90%</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 90%</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1940"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提高制热效果</w:t>
            </w:r>
          </w:p>
        </w:tc>
        <w:tc>
          <w:tcPr>
            <w:tcW w:w="993"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9.00 </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1940"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993"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1940"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993" w:type="dxa"/>
            <w:tcBorders>
              <w:top w:val="single" w:color="auto" w:sz="4" w:space="0"/>
              <w:left w:val="nil"/>
              <w:bottom w:val="single" w:color="auto" w:sz="4" w:space="0"/>
              <w:right w:val="single" w:color="auto" w:sz="4" w:space="0"/>
            </w:tcBorders>
            <w:vAlign w:val="center"/>
          </w:tcPr>
          <w:p>
            <w:pPr>
              <w:widowControl/>
              <w:ind w:right="200"/>
              <w:jc w:val="right"/>
              <w:textAlignment w:val="center"/>
              <w:rPr>
                <w:rFonts w:ascii="宋体" w:hAnsi="宋体" w:cs="宋体"/>
                <w:sz w:val="20"/>
                <w:szCs w:val="20"/>
              </w:rPr>
            </w:pPr>
            <w:r>
              <w:rPr>
                <w:rFonts w:hint="eastAsia" w:ascii="宋体" w:hAnsi="宋体" w:cs="宋体"/>
                <w:sz w:val="20"/>
                <w:szCs w:val="20"/>
              </w:rPr>
              <w:t>20.43</w:t>
            </w:r>
          </w:p>
        </w:tc>
        <w:tc>
          <w:tcPr>
            <w:tcW w:w="992" w:type="dxa"/>
            <w:tcBorders>
              <w:top w:val="single" w:color="auto" w:sz="4" w:space="0"/>
              <w:left w:val="nil"/>
              <w:bottom w:val="single" w:color="auto" w:sz="4" w:space="0"/>
              <w:right w:val="single" w:color="auto" w:sz="4" w:space="0"/>
            </w:tcBorders>
            <w:vAlign w:val="center"/>
          </w:tcPr>
          <w:p>
            <w:pPr>
              <w:widowControl/>
              <w:ind w:right="200"/>
              <w:jc w:val="right"/>
              <w:textAlignment w:val="center"/>
              <w:rPr>
                <w:rFonts w:ascii="宋体" w:hAnsi="宋体" w:cs="宋体"/>
                <w:sz w:val="20"/>
                <w:szCs w:val="20"/>
              </w:rPr>
            </w:pPr>
            <w:r>
              <w:rPr>
                <w:rFonts w:hint="eastAsia" w:ascii="宋体" w:hAnsi="宋体" w:cs="宋体"/>
                <w:sz w:val="20"/>
                <w:szCs w:val="20"/>
              </w:rPr>
              <w:t>20.43</w:t>
            </w:r>
          </w:p>
        </w:tc>
        <w:tc>
          <w:tcPr>
            <w:tcW w:w="47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940"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993"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13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940"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993"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13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940"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993"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w:t>
            </w:r>
          </w:p>
        </w:tc>
        <w:tc>
          <w:tcPr>
            <w:tcW w:w="213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940"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993"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7</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1940"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993"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992"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47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6</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590"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47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85</w:t>
            </w:r>
          </w:p>
        </w:tc>
        <w:tc>
          <w:tcPr>
            <w:tcW w:w="213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864"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53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0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村党组织第一书记工作专项经费</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08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08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5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21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目标1：按时发放</w:t>
            </w:r>
            <w:r>
              <w:rPr>
                <w:rFonts w:hint="eastAsia" w:ascii="宋体" w:hAnsi="宋体" w:cs="宋体"/>
                <w:kern w:val="0"/>
                <w:sz w:val="20"/>
                <w:szCs w:val="20"/>
              </w:rPr>
              <w:br w:type="textWrapping"/>
            </w:r>
            <w:r>
              <w:rPr>
                <w:rFonts w:hint="eastAsia" w:ascii="宋体" w:hAnsi="宋体" w:cs="宋体"/>
                <w:kern w:val="0"/>
                <w:sz w:val="20"/>
                <w:szCs w:val="20"/>
              </w:rPr>
              <w:t>目标2：提高村干部工作积极性</w:t>
            </w:r>
            <w:r>
              <w:rPr>
                <w:rFonts w:hint="eastAsia" w:ascii="宋体" w:hAnsi="宋体" w:cs="宋体"/>
                <w:kern w:val="0"/>
                <w:sz w:val="20"/>
                <w:szCs w:val="20"/>
              </w:rPr>
              <w:br w:type="textWrapping"/>
            </w:r>
            <w:r>
              <w:rPr>
                <w:rFonts w:hint="eastAsia" w:ascii="宋体" w:hAnsi="宋体" w:cs="宋体"/>
                <w:kern w:val="0"/>
                <w:sz w:val="20"/>
                <w:szCs w:val="20"/>
              </w:rPr>
              <w:t>目标3: 维持干部人员稳定</w:t>
            </w:r>
          </w:p>
        </w:tc>
        <w:tc>
          <w:tcPr>
            <w:tcW w:w="4213"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23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14</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14</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2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提高村干部工作积极性</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工作专项经费</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kern w:val="0"/>
                <w:sz w:val="20"/>
                <w:szCs w:val="20"/>
              </w:rPr>
              <w:t>14</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kern w:val="0"/>
                <w:sz w:val="20"/>
                <w:szCs w:val="20"/>
              </w:rPr>
              <w:t>14</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2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3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23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23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2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2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94</w:t>
            </w:r>
          </w:p>
        </w:tc>
        <w:tc>
          <w:tcPr>
            <w:tcW w:w="223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814"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48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25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2020年农村路灯运行维护剩余资金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0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0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4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274"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14.54</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14.54</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14.54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14.54</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14.54</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14.54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1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确保农村路灯运行维护剩余资金顺利发放</w:t>
            </w:r>
          </w:p>
        </w:tc>
        <w:tc>
          <w:tcPr>
            <w:tcW w:w="41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1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14.54</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14.54</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1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农村基础设施</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14.54</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14.54</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1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1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94</w:t>
            </w:r>
          </w:p>
        </w:tc>
        <w:tc>
          <w:tcPr>
            <w:tcW w:w="21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spacing w:line="480" w:lineRule="exact"/>
        <w:jc w:val="center"/>
        <w:rPr>
          <w:rFonts w:hint="eastAsia" w:ascii="方正小标宋简体" w:hAnsi="黑体" w:eastAsia="方正小标宋简体"/>
          <w:sz w:val="36"/>
          <w:szCs w:val="36"/>
        </w:rPr>
      </w:pPr>
    </w:p>
    <w:p>
      <w:pPr>
        <w:spacing w:line="480" w:lineRule="exact"/>
        <w:jc w:val="center"/>
        <w:rPr>
          <w:rFonts w:hint="eastAsia" w:ascii="方正小标宋简体" w:hAnsi="黑体" w:eastAsia="方正小标宋简体"/>
          <w:sz w:val="36"/>
          <w:szCs w:val="36"/>
        </w:rPr>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72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39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6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密云区美丽乡村地上工程-东邵渠镇高各庄村（债券资金）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3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134.82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134.82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134.82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134.82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134.82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134.82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0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保障密云区美丽乡村地上工程-东邵渠镇高各庄村工程顺利实施</w:t>
            </w:r>
          </w:p>
        </w:tc>
        <w:tc>
          <w:tcPr>
            <w:tcW w:w="40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1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411"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kern w:val="0"/>
                <w:sz w:val="20"/>
                <w:szCs w:val="20"/>
              </w:rPr>
              <w:t>134.82</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134.82</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1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kern w:val="0"/>
                <w:sz w:val="20"/>
                <w:szCs w:val="20"/>
              </w:rPr>
              <w:t>134.82</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kern w:val="0"/>
                <w:sz w:val="20"/>
                <w:szCs w:val="20"/>
              </w:rPr>
              <w:t>134.82</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1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21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21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w:t>
            </w:r>
          </w:p>
        </w:tc>
        <w:tc>
          <w:tcPr>
            <w:tcW w:w="21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55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22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9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2023年度农民劳模荣誉津贴</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2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0.54</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0.54</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0.54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0.54</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0.54</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0.54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9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确保2022年度农民劳模荣誉津贴按照规定使用.</w:t>
            </w:r>
          </w:p>
        </w:tc>
        <w:tc>
          <w:tcPr>
            <w:tcW w:w="3901"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9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人居环境整治</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0.54</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0.54</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19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提高群众生活质量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改善</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改善</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基层党组织服务群众经费</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0.54</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0.54</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19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提高人居环境质量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19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改善居民生活环境</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19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构建和谐社区</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19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19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19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93</w:t>
            </w:r>
          </w:p>
        </w:tc>
        <w:tc>
          <w:tcPr>
            <w:tcW w:w="19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80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47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24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2024年古树名木管护资金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0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0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4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45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jc w:val="center"/>
              <w:textAlignment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1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确保古树名木管护资金顺利发放</w:t>
            </w:r>
          </w:p>
        </w:tc>
        <w:tc>
          <w:tcPr>
            <w:tcW w:w="41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1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人居环境整治</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1.2</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1.2</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1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提高群众生活质量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改善</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改善</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基层党组织服务群众经费</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1.2</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1.2</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1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提高人居环境质量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改善居民生活环境</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构建和谐社区</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1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1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93</w:t>
            </w:r>
          </w:p>
        </w:tc>
        <w:tc>
          <w:tcPr>
            <w:tcW w:w="21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pPr>
      <w:r>
        <w:rPr>
          <w:rFonts w:hint="eastAsia" w:ascii="仿宋_GB2312" w:hAnsi="宋体" w:eastAsia="仿宋_GB2312" w:cs="宋体"/>
          <w:color w:val="000000"/>
          <w:kern w:val="0"/>
          <w:sz w:val="32"/>
          <w:szCs w:val="32"/>
        </w:rPr>
        <w:t>4.90（含）-100分为优、80（含）-90分为良、60（含）-80分为中、60分以下为差。</w:t>
      </w:r>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864"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53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0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2024年度退耕还林生态林养护资金进度款</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08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08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5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1.6</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21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保障退耕还林生态公益林林木养护费顺利发放</w:t>
            </w:r>
          </w:p>
        </w:tc>
        <w:tc>
          <w:tcPr>
            <w:tcW w:w="4213"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23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1.6</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1.6</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2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7.09</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7.09</w:t>
            </w:r>
          </w:p>
        </w:tc>
        <w:tc>
          <w:tcPr>
            <w:tcW w:w="22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1.6</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1.6</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2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23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23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23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2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2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23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90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57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4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2024年果品安全基地定额奖励补助</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1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1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2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提升果品质量，提升果园现代化管理标准。</w:t>
            </w:r>
          </w:p>
        </w:tc>
        <w:tc>
          <w:tcPr>
            <w:tcW w:w="4251"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2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枝条粉碎机台数</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22</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22</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设施使用效果</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22</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22</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2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2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2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2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2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95</w:t>
            </w:r>
          </w:p>
        </w:tc>
        <w:tc>
          <w:tcPr>
            <w:tcW w:w="22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spacing w:line="480" w:lineRule="exact"/>
        <w:jc w:val="center"/>
        <w:rPr>
          <w:rFonts w:hint="eastAsia" w:ascii="方正小标宋简体" w:hAnsi="黑体" w:eastAsia="方正小标宋简体"/>
          <w:sz w:val="36"/>
          <w:szCs w:val="36"/>
        </w:rPr>
      </w:pPr>
    </w:p>
    <w:p>
      <w:pPr>
        <w:spacing w:line="480" w:lineRule="exact"/>
        <w:jc w:val="center"/>
        <w:rPr>
          <w:rFonts w:hint="eastAsia" w:ascii="方正小标宋简体" w:hAnsi="黑体" w:eastAsia="方正小标宋简体"/>
          <w:sz w:val="36"/>
          <w:szCs w:val="36"/>
        </w:rPr>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73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41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7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2024年度野生动物肇事补偿及保护项目</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4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0.97</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0.97</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0.97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0.97</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0.97</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0.97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0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保障野生动物肇事补偿及保护项目资金顺利发放</w:t>
            </w:r>
          </w:p>
        </w:tc>
        <w:tc>
          <w:tcPr>
            <w:tcW w:w="4088"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1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0.97</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0.97</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1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0.97</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0.97</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1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1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1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1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1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1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1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55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22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9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2024年度退耕还林生态林林木养护项目尾款</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2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9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保障退耕还林生态公益林林木养护费顺利发放</w:t>
            </w:r>
          </w:p>
        </w:tc>
        <w:tc>
          <w:tcPr>
            <w:tcW w:w="3901"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9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1.2</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1.2</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19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19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1.2</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1.2</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19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19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19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19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19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19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91</w:t>
            </w:r>
          </w:p>
        </w:tc>
        <w:tc>
          <w:tcPr>
            <w:tcW w:w="19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70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37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4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2023年平原造林林木养护资金尾款</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7.58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7.58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7.58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7.58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7.58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7.58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0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保障平原造林工程市级林木养护资金顺利发放</w:t>
            </w:r>
          </w:p>
        </w:tc>
        <w:tc>
          <w:tcPr>
            <w:tcW w:w="4051"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0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7.58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7.58</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0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0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0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7.58</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7.58</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0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0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0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0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0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0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92</w:t>
            </w:r>
          </w:p>
        </w:tc>
        <w:tc>
          <w:tcPr>
            <w:tcW w:w="20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75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42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9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2023年度野生动物肇事补偿及保护项目</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4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4.57</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4.57</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4.57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4.57</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4.57</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4.57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1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保障野生动物肇事补偿及保护项目资金顺利发放</w:t>
            </w:r>
          </w:p>
        </w:tc>
        <w:tc>
          <w:tcPr>
            <w:tcW w:w="4101"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1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4.57</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4.57</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4.57</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4.57</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1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1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1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1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90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57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4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2024年度退耕还林生态林养护资金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1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1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4.23</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4.23</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4.23</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4.23</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4.23</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4.23</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2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保障退耕还林生态公益林林木养护费顺利发放</w:t>
            </w:r>
          </w:p>
        </w:tc>
        <w:tc>
          <w:tcPr>
            <w:tcW w:w="4251"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2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4.23</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4.23</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10</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4.23</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4.23</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2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2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2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2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93</w:t>
            </w:r>
          </w:p>
        </w:tc>
        <w:tc>
          <w:tcPr>
            <w:tcW w:w="22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spacing w:line="520" w:lineRule="exact"/>
        <w:ind w:firstLine="640" w:firstLineChars="200"/>
        <w:rPr>
          <w:rFonts w:ascii="仿宋_GB2312" w:hAnsi="宋体" w:eastAsia="仿宋_GB2312" w:cs="宋体"/>
          <w:color w:val="000000"/>
          <w:kern w:val="0"/>
          <w:sz w:val="32"/>
          <w:szCs w:val="32"/>
        </w:rPr>
      </w:pPr>
    </w:p>
    <w:p>
      <w:pPr>
        <w:spacing w:line="520" w:lineRule="exact"/>
        <w:ind w:firstLine="640" w:firstLineChars="200"/>
        <w:rPr>
          <w:rFonts w:ascii="仿宋_GB2312" w:hAnsi="宋体" w:eastAsia="仿宋_GB2312" w:cs="宋体"/>
          <w:color w:val="000000"/>
          <w:kern w:val="0"/>
          <w:sz w:val="32"/>
          <w:szCs w:val="32"/>
        </w:rPr>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1050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217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94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平原造林工程2024年度市级林木养护资金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7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7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21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229.27</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229.27</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229.27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1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229.27</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229.27</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229.27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21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1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21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8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保障平原造林工程市级林木养护资金顺利发放</w:t>
            </w:r>
          </w:p>
        </w:tc>
        <w:tc>
          <w:tcPr>
            <w:tcW w:w="4851"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8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229.27</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229.27</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8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8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8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229.27</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229.27</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8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8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8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8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8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8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92</w:t>
            </w:r>
          </w:p>
        </w:tc>
        <w:tc>
          <w:tcPr>
            <w:tcW w:w="28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97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64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41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2023年度平原造林工程市级林木养护资金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1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1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6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10.75</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10.75</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10.75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6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6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10.75</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10.75</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10.75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6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6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32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保障平原造林工程市级林木养护资金顺利发放</w:t>
            </w:r>
          </w:p>
        </w:tc>
        <w:tc>
          <w:tcPr>
            <w:tcW w:w="4326"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3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10.75</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10.75</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3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3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10</w:t>
            </w:r>
          </w:p>
        </w:tc>
        <w:tc>
          <w:tcPr>
            <w:tcW w:w="23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10.75</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10.75</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3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3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3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3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3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3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92</w:t>
            </w:r>
          </w:p>
        </w:tc>
        <w:tc>
          <w:tcPr>
            <w:tcW w:w="23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spacing w:line="480" w:lineRule="exact"/>
        <w:jc w:val="center"/>
      </w:pPr>
    </w:p>
    <w:p>
      <w:pPr>
        <w:spacing w:line="480" w:lineRule="exact"/>
        <w:jc w:val="center"/>
      </w:pPr>
    </w:p>
    <w:p>
      <w:pPr>
        <w:spacing w:line="480" w:lineRule="exact"/>
        <w:jc w:val="both"/>
      </w:pPr>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62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29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6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2024年平原生态林养护经营新移交地块养护资金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8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8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2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98.68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98.68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98.68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98.68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98.68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98.68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9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保障平原造林工程市级林木养护资金顺利发放</w:t>
            </w:r>
          </w:p>
        </w:tc>
        <w:tc>
          <w:tcPr>
            <w:tcW w:w="3976"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0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98.68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98.68</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0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0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0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98.68</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98.68</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0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0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0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0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0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0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92</w:t>
            </w:r>
          </w:p>
        </w:tc>
        <w:tc>
          <w:tcPr>
            <w:tcW w:w="20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52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19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6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2024年度山区生态公益林生态补偿金剩余资金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0.29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0.29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0.29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0.29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0.29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0.29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保障24年度山区生态公益林生态补偿金剩余资金顺利发放</w:t>
            </w:r>
          </w:p>
        </w:tc>
        <w:tc>
          <w:tcPr>
            <w:tcW w:w="38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0.29</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0.29</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0.29</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0.29</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19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19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19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w:t>
            </w:r>
          </w:p>
        </w:tc>
        <w:tc>
          <w:tcPr>
            <w:tcW w:w="1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93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61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7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修缮镇级森林防火队伍专用房屋</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1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1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6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6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6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6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6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2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确保修缮镇级森林防火队伍专用房屋资金顺利拨付</w:t>
            </w:r>
          </w:p>
        </w:tc>
        <w:tc>
          <w:tcPr>
            <w:tcW w:w="42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3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3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3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3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9</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r>
              <w:rPr>
                <w:rFonts w:hint="eastAsia" w:ascii="宋体" w:hAnsi="宋体" w:cs="宋体"/>
                <w:sz w:val="20"/>
                <w:szCs w:val="20"/>
              </w:rPr>
              <w:t>10</w:t>
            </w:r>
          </w:p>
        </w:tc>
        <w:tc>
          <w:tcPr>
            <w:tcW w:w="23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3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3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3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3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3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95</w:t>
            </w:r>
          </w:p>
        </w:tc>
        <w:tc>
          <w:tcPr>
            <w:tcW w:w="23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75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42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9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建设森林防火区防穿越隔离设施</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4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1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保障建设森林防火区防穿越隔离设施资金顺利发放</w:t>
            </w:r>
          </w:p>
        </w:tc>
        <w:tc>
          <w:tcPr>
            <w:tcW w:w="41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1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9</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9</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1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95</w:t>
            </w:r>
          </w:p>
        </w:tc>
        <w:tc>
          <w:tcPr>
            <w:tcW w:w="21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Pr>
        <w:spacing w:line="480" w:lineRule="exact"/>
        <w:jc w:val="center"/>
        <w:rPr>
          <w:rFonts w:hint="eastAsia" w:ascii="方正小标宋简体" w:hAnsi="黑体" w:eastAsia="方正小标宋简体"/>
          <w:sz w:val="36"/>
          <w:szCs w:val="36"/>
        </w:rPr>
      </w:pPr>
    </w:p>
    <w:p>
      <w:pPr>
        <w:spacing w:line="480" w:lineRule="exact"/>
        <w:jc w:val="center"/>
        <w:rPr>
          <w:rFonts w:hint="eastAsia" w:ascii="方正小标宋简体" w:hAnsi="黑体" w:eastAsia="方正小标宋简体"/>
          <w:sz w:val="36"/>
          <w:szCs w:val="36"/>
        </w:rPr>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896"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568"/>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336"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部分重点省区界和重点林区开设防火隔离带和清理可燃物</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11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118"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568"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68"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68"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68"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68"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245"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确保部分重点省区界和重点林区开设防火隔离带和清理可燃物资金顺利拨付</w:t>
            </w:r>
          </w:p>
        </w:tc>
        <w:tc>
          <w:tcPr>
            <w:tcW w:w="4245"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27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271"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设施使用效果</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71"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71"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9</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9</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71"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271"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271"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271"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271"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2271"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2271"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58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26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2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2023年度山区生态公益林生态补偿金剩余资金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8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81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2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0.18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0.18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0.18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0.18</w:t>
            </w: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0.18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0.18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6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93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保障2023年山区生态公益林生态补偿资金顺利发放</w:t>
            </w:r>
          </w:p>
        </w:tc>
        <w:tc>
          <w:tcPr>
            <w:tcW w:w="3938"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9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0.18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0.18</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0.18</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0.18</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19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19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196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196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95</w:t>
            </w:r>
          </w:p>
        </w:tc>
        <w:tc>
          <w:tcPr>
            <w:tcW w:w="196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784"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45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22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2024年度河长制奖补资金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00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00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45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5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5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5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5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13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确保2024年度河长制奖补资金顺利拨付</w:t>
            </w:r>
          </w:p>
        </w:tc>
        <w:tc>
          <w:tcPr>
            <w:tcW w:w="413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15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15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5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5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20</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20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5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5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5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5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15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15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95</w:t>
            </w:r>
          </w:p>
        </w:tc>
        <w:tc>
          <w:tcPr>
            <w:tcW w:w="215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85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52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29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密云区东邵渠镇洳河河道清淤治理项目（剩余资金）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30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307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5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4</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5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52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20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确保密云区东邵渠镇洳河河道清淤治理项目资金按照规定使用。</w:t>
            </w:r>
          </w:p>
        </w:tc>
        <w:tc>
          <w:tcPr>
            <w:tcW w:w="4201"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2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4</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2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4</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4</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2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7</w:t>
            </w:r>
          </w:p>
        </w:tc>
        <w:tc>
          <w:tcPr>
            <w:tcW w:w="22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2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22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89</w:t>
            </w:r>
          </w:p>
        </w:tc>
        <w:tc>
          <w:tcPr>
            <w:tcW w:w="222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Pr>
        <w:pStyle w:val="3"/>
        <w:spacing w:before="156" w:after="156"/>
      </w:pPr>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764"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43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20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密云区2023年山区村庄供水站规范化考核运营补贴</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8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8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4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23.25</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23.25</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23.25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23.25</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23.25</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23.25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4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43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11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保障密云区2023年山区村庄供水站规范化考核运营补贴按规定发放</w:t>
            </w:r>
          </w:p>
        </w:tc>
        <w:tc>
          <w:tcPr>
            <w:tcW w:w="411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13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23.25</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23.25</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23.25</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23.25</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13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7</w:t>
            </w:r>
          </w:p>
        </w:tc>
        <w:tc>
          <w:tcPr>
            <w:tcW w:w="213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13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13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89</w:t>
            </w:r>
          </w:p>
        </w:tc>
        <w:tc>
          <w:tcPr>
            <w:tcW w:w="213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72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39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6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2024年农村管水员补贴（保险费）</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9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9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3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0.26</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0.26</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0.26</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0.26</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0.26</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0.26</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0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保障2024农村管水员补贴（保险费）顺利发放</w:t>
            </w:r>
          </w:p>
        </w:tc>
        <w:tc>
          <w:tcPr>
            <w:tcW w:w="4076"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1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按月发放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0.26 </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0.26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1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保障2024农村管水员补贴（保险费）顺利发放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村管水员补贴</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0.26 </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0.26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1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1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21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21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97</w:t>
            </w:r>
          </w:p>
        </w:tc>
        <w:tc>
          <w:tcPr>
            <w:tcW w:w="21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514"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186"/>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54"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2024年中央财政衔接推进乡村振兴补助资金项目</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36"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1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1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30</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1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86"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确保2024年中央财政衔接推进乡村振兴补助资金项目资金按规定使用</w:t>
            </w:r>
          </w:p>
        </w:tc>
        <w:tc>
          <w:tcPr>
            <w:tcW w:w="3863"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8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ascii="宋体" w:hAnsi="宋体" w:cs="宋体"/>
                <w:sz w:val="20"/>
                <w:szCs w:val="20"/>
              </w:rPr>
              <w:t>30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ascii="宋体" w:hAnsi="宋体" w:cs="宋体"/>
                <w:kern w:val="0"/>
                <w:sz w:val="20"/>
                <w:szCs w:val="20"/>
              </w:rPr>
              <w:t>30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18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8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8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ascii="宋体" w:hAnsi="宋体" w:cs="宋体"/>
                <w:sz w:val="20"/>
                <w:szCs w:val="20"/>
              </w:rPr>
              <w:t>30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ascii="宋体" w:hAnsi="宋体" w:cs="宋体"/>
                <w:sz w:val="20"/>
                <w:szCs w:val="20"/>
              </w:rPr>
              <w:t>30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8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8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7</w:t>
            </w:r>
          </w:p>
        </w:tc>
        <w:tc>
          <w:tcPr>
            <w:tcW w:w="18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889"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8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889"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89</w:t>
            </w:r>
          </w:p>
        </w:tc>
        <w:tc>
          <w:tcPr>
            <w:tcW w:w="1889"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67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34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11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密云向平谷引水连通工程（密云区引清济洳项目）临时拆迁补偿费</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8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8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3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37.69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37.69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37.69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37.69</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37.69</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37.69</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3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3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402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确保密云向平谷引水连通工程（密云区引清济洳项目）临时拆迁补偿费按照规定使用。</w:t>
            </w:r>
          </w:p>
        </w:tc>
        <w:tc>
          <w:tcPr>
            <w:tcW w:w="4026"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20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ascii="宋体" w:hAnsi="宋体" w:cs="宋体"/>
                <w:sz w:val="20"/>
                <w:szCs w:val="20"/>
              </w:rPr>
              <w:t>37.69</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ascii="宋体" w:hAnsi="宋体" w:cs="宋体"/>
                <w:sz w:val="20"/>
                <w:szCs w:val="20"/>
              </w:rPr>
              <w:t>37.69</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20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0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0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tcPr>
          <w:p>
            <w:r>
              <w:rPr>
                <w:rFonts w:ascii="宋体" w:hAnsi="宋体" w:cs="宋体"/>
                <w:sz w:val="20"/>
                <w:szCs w:val="20"/>
              </w:rPr>
              <w:t>37.69</w:t>
            </w:r>
          </w:p>
        </w:tc>
        <w:tc>
          <w:tcPr>
            <w:tcW w:w="848" w:type="dxa"/>
            <w:tcBorders>
              <w:top w:val="single" w:color="auto" w:sz="4" w:space="0"/>
              <w:left w:val="nil"/>
              <w:bottom w:val="single" w:color="auto" w:sz="4" w:space="0"/>
              <w:right w:val="single" w:color="auto" w:sz="4" w:space="0"/>
            </w:tcBorders>
          </w:tcPr>
          <w:p>
            <w:r>
              <w:rPr>
                <w:rFonts w:ascii="宋体" w:hAnsi="宋体" w:cs="宋体"/>
                <w:sz w:val="20"/>
                <w:szCs w:val="20"/>
              </w:rPr>
              <w:t>37.69</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20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0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9</w:t>
            </w:r>
          </w:p>
        </w:tc>
        <w:tc>
          <w:tcPr>
            <w:tcW w:w="20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20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0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20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92</w:t>
            </w:r>
          </w:p>
        </w:tc>
        <w:tc>
          <w:tcPr>
            <w:tcW w:w="20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Pr>
        <w:spacing w:line="480" w:lineRule="exact"/>
        <w:jc w:val="center"/>
        <w:rPr>
          <w:rFonts w:hint="eastAsia" w:ascii="方正小标宋简体" w:hAnsi="黑体" w:eastAsia="方正小标宋简体"/>
          <w:sz w:val="36"/>
          <w:szCs w:val="36"/>
        </w:rPr>
      </w:pPr>
    </w:p>
    <w:p>
      <w:pPr>
        <w:spacing w:line="480" w:lineRule="exact"/>
        <w:jc w:val="center"/>
        <w:rPr>
          <w:rFonts w:hint="eastAsia" w:ascii="方正小标宋简体" w:hAnsi="黑体" w:eastAsia="方正小标宋简体"/>
          <w:sz w:val="36"/>
          <w:szCs w:val="36"/>
        </w:rPr>
      </w:pPr>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60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27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4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2024年疏整促项目-工作经费</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8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8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2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239.77</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239.77</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239.77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239.77</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239.77</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239.77</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9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确保24年疏整促项目-工作经费顺利拨付</w:t>
            </w:r>
          </w:p>
        </w:tc>
        <w:tc>
          <w:tcPr>
            <w:tcW w:w="39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9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ascii="宋体" w:hAnsi="宋体" w:cs="宋体"/>
                <w:sz w:val="20"/>
                <w:szCs w:val="20"/>
              </w:rPr>
              <w:t>239.77</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ascii="宋体" w:hAnsi="宋体" w:cs="宋体"/>
                <w:sz w:val="20"/>
                <w:szCs w:val="20"/>
              </w:rPr>
              <w:t>239.77</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19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生态质量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69"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补贴</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ascii="宋体" w:hAnsi="宋体" w:cs="宋体"/>
                <w:sz w:val="20"/>
                <w:szCs w:val="20"/>
              </w:rPr>
              <w:t>239.77</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ascii="宋体" w:hAnsi="宋体" w:cs="宋体"/>
                <w:sz w:val="20"/>
                <w:szCs w:val="20"/>
              </w:rPr>
              <w:t>239.77</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19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8</w:t>
            </w:r>
          </w:p>
        </w:tc>
        <w:tc>
          <w:tcPr>
            <w:tcW w:w="19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19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52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19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6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2024年疏整促项目-东邵渠镇东邵渠村道桥建设项目</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4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26.68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26.68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26.68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26.68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26.68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26.68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9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确保2024年疏整促项目-东邵渠镇东邵渠村道桥建设项目资金按规定使用</w:t>
            </w:r>
          </w:p>
        </w:tc>
        <w:tc>
          <w:tcPr>
            <w:tcW w:w="387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26.68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26.68</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26.68</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26.68</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7</w:t>
            </w:r>
          </w:p>
        </w:tc>
        <w:tc>
          <w:tcPr>
            <w:tcW w:w="19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0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0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89</w:t>
            </w:r>
          </w:p>
        </w:tc>
        <w:tc>
          <w:tcPr>
            <w:tcW w:w="190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539"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211"/>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7979"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扶持企业奖励资金</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6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2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731.25</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731.25</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731.25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731.25</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731.25</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731.25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11"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888"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促进本镇招商环境进一步提高。</w:t>
            </w:r>
          </w:p>
        </w:tc>
        <w:tc>
          <w:tcPr>
            <w:tcW w:w="3888"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9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731.25</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731.25</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19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促进本镇招商环境进一步提高</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731.25</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731.25</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w:t>
            </w:r>
          </w:p>
        </w:tc>
        <w:tc>
          <w:tcPr>
            <w:tcW w:w="1914"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19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1914"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95</w:t>
            </w:r>
          </w:p>
        </w:tc>
        <w:tc>
          <w:tcPr>
            <w:tcW w:w="1914"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tabs>
          <w:tab w:val="left" w:pos="10920"/>
        </w:tabs>
        <w:jc w:val="left"/>
        <w:rPr>
          <w:rFonts w:ascii="仿宋_GB2312" w:hAnsi="宋体" w:eastAsia="仿宋_GB2312" w:cs="宋体"/>
          <w:color w:val="000000"/>
          <w:kern w:val="0"/>
          <w:sz w:val="32"/>
          <w:szCs w:val="32"/>
        </w:rPr>
      </w:pPr>
      <w:r>
        <w:rPr>
          <w:rFonts w:ascii="仿宋_GB2312" w:hAnsi="宋体" w:eastAsia="仿宋_GB2312" w:cs="宋体"/>
          <w:color w:val="000000"/>
          <w:kern w:val="0"/>
          <w:sz w:val="32"/>
          <w:szCs w:val="32"/>
        </w:rPr>
        <w:tab/>
      </w: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spacing w:before="156" w:after="156"/>
      </w:pPr>
    </w:p>
    <w:p/>
    <w:p/>
    <w:p/>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577"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249"/>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17"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兼职安全生产巡查员岗位津贴</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7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799"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2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6.48</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6.48</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6.48</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4.32</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4.32</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4.32</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2.16</w:t>
            </w: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2.16</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2.16</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49"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926"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根据北京市密云区人民政府办公室印发《关于密云区行政村、社区设立兼职安全生产巡查员的工作方案》（密政办字〔2018〕48号）文件要求，需拨付行政村、社区兼职安全生产巡查员岗位津贴资金。</w:t>
            </w:r>
          </w:p>
        </w:tc>
        <w:tc>
          <w:tcPr>
            <w:tcW w:w="3926"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9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上岗率</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sz w:val="20"/>
                <w:szCs w:val="20"/>
              </w:rPr>
              <w:t>100%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19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提高工作效率</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满足需求</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按实际支出拨付</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满足</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w:t>
            </w:r>
          </w:p>
        </w:tc>
        <w:tc>
          <w:tcPr>
            <w:tcW w:w="849" w:type="dxa"/>
            <w:tcBorders>
              <w:top w:val="single" w:color="auto" w:sz="4" w:space="0"/>
              <w:left w:val="nil"/>
              <w:bottom w:val="single" w:color="auto" w:sz="4" w:space="0"/>
              <w:right w:val="single" w:color="auto" w:sz="4" w:space="0"/>
            </w:tcBorders>
            <w:vAlign w:val="center"/>
          </w:tcPr>
          <w:p>
            <w:pPr>
              <w:widowControl/>
              <w:jc w:val="right"/>
              <w:textAlignment w:val="center"/>
              <w:rPr>
                <w:rFonts w:ascii="宋体" w:hAnsi="宋体" w:cs="宋体"/>
                <w:sz w:val="20"/>
                <w:szCs w:val="20"/>
              </w:rPr>
            </w:pPr>
            <w:r>
              <w:rPr>
                <w:rFonts w:hint="eastAsia" w:ascii="宋体" w:hAnsi="宋体" w:cs="宋体"/>
                <w:kern w:val="0"/>
                <w:sz w:val="20"/>
                <w:szCs w:val="20"/>
              </w:rPr>
              <w:t>6.48</w:t>
            </w:r>
          </w:p>
        </w:tc>
        <w:tc>
          <w:tcPr>
            <w:tcW w:w="848" w:type="dxa"/>
            <w:tcBorders>
              <w:top w:val="single" w:color="auto" w:sz="4" w:space="0"/>
              <w:left w:val="nil"/>
              <w:bottom w:val="single" w:color="auto" w:sz="4" w:space="0"/>
              <w:right w:val="single" w:color="auto" w:sz="4" w:space="0"/>
            </w:tcBorders>
            <w:vAlign w:val="center"/>
          </w:tcPr>
          <w:p>
            <w:pPr>
              <w:widowControl/>
              <w:jc w:val="right"/>
              <w:textAlignment w:val="center"/>
              <w:rPr>
                <w:rFonts w:ascii="宋体" w:hAnsi="宋体" w:cs="宋体"/>
                <w:sz w:val="20"/>
                <w:szCs w:val="20"/>
              </w:rPr>
            </w:pPr>
            <w:r>
              <w:rPr>
                <w:rFonts w:hint="eastAsia" w:ascii="宋体" w:hAnsi="宋体" w:cs="宋体"/>
                <w:kern w:val="0"/>
                <w:sz w:val="20"/>
                <w:szCs w:val="20"/>
              </w:rPr>
              <w:t>6.48</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保障社会正常运转</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构建和谐社会</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52"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服务于和谐社会</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8.00 </w:t>
            </w:r>
          </w:p>
        </w:tc>
        <w:tc>
          <w:tcPr>
            <w:tcW w:w="19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8.00 </w:t>
            </w:r>
          </w:p>
        </w:tc>
        <w:tc>
          <w:tcPr>
            <w:tcW w:w="19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进一步提高工作水平</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8.00 </w:t>
            </w:r>
          </w:p>
        </w:tc>
        <w:tc>
          <w:tcPr>
            <w:tcW w:w="1952"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进一步提高工作水平</w:t>
            </w: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94</w:t>
            </w:r>
          </w:p>
        </w:tc>
        <w:tc>
          <w:tcPr>
            <w:tcW w:w="195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
    <w:p/>
    <w:p/>
    <w:p>
      <w:pPr>
        <w:spacing w:line="480" w:lineRule="exact"/>
        <w:jc w:val="center"/>
        <w:rPr>
          <w:rFonts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pPr>
        <w:spacing w:line="480" w:lineRule="exact"/>
        <w:jc w:val="center"/>
        <w:rPr>
          <w:rFonts w:ascii="仿宋_GB2312" w:hAnsi="宋体" w:eastAsia="仿宋_GB2312"/>
          <w:sz w:val="28"/>
          <w:szCs w:val="28"/>
        </w:rPr>
      </w:pPr>
      <w:r>
        <w:rPr>
          <w:rFonts w:hint="eastAsia" w:ascii="仿宋_GB2312" w:hAnsi="宋体" w:eastAsia="仿宋_GB2312"/>
          <w:sz w:val="28"/>
          <w:szCs w:val="28"/>
        </w:rPr>
        <w:t>（  2024  年度）</w:t>
      </w:r>
    </w:p>
    <w:p>
      <w:pPr>
        <w:spacing w:line="240" w:lineRule="exact"/>
        <w:rPr>
          <w:rFonts w:ascii="仿宋_GB2312" w:hAnsi="宋体" w:eastAsia="仿宋_GB2312"/>
          <w:sz w:val="30"/>
          <w:szCs w:val="30"/>
        </w:rPr>
      </w:pPr>
    </w:p>
    <w:tbl>
      <w:tblPr>
        <w:tblStyle w:val="13"/>
        <w:tblW w:w="9602" w:type="dxa"/>
        <w:jc w:val="center"/>
        <w:tblLayout w:type="fixed"/>
        <w:tblCellMar>
          <w:top w:w="0" w:type="dxa"/>
          <w:left w:w="108" w:type="dxa"/>
          <w:bottom w:w="0" w:type="dxa"/>
          <w:right w:w="108" w:type="dxa"/>
        </w:tblCellMar>
      </w:tblPr>
      <w:tblGrid>
        <w:gridCol w:w="585"/>
        <w:gridCol w:w="975"/>
        <w:gridCol w:w="1105"/>
        <w:gridCol w:w="727"/>
        <w:gridCol w:w="1127"/>
        <w:gridCol w:w="283"/>
        <w:gridCol w:w="849"/>
        <w:gridCol w:w="848"/>
        <w:gridCol w:w="279"/>
        <w:gridCol w:w="284"/>
        <w:gridCol w:w="420"/>
        <w:gridCol w:w="143"/>
        <w:gridCol w:w="703"/>
        <w:gridCol w:w="1274"/>
      </w:tblGrid>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项目名称</w:t>
            </w:r>
          </w:p>
        </w:tc>
        <w:tc>
          <w:tcPr>
            <w:tcW w:w="8042" w:type="dxa"/>
            <w:gridSpan w:val="1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2022年地质灾害治理项目</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主管部门</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实施单位</w:t>
            </w:r>
          </w:p>
        </w:tc>
        <w:tc>
          <w:tcPr>
            <w:tcW w:w="28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东邵渠镇人民政府</w:t>
            </w:r>
          </w:p>
        </w:tc>
      </w:tr>
      <w:tr>
        <w:tblPrEx>
          <w:tblCellMar>
            <w:top w:w="0" w:type="dxa"/>
            <w:left w:w="108" w:type="dxa"/>
            <w:bottom w:w="0" w:type="dxa"/>
            <w:right w:w="108" w:type="dxa"/>
          </w:tblCellMar>
        </w:tblPrEx>
        <w:trPr>
          <w:trHeight w:val="306" w:hRule="exact"/>
          <w:jc w:val="center"/>
        </w:trPr>
        <w:tc>
          <w:tcPr>
            <w:tcW w:w="1560"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项目负责人</w:t>
            </w:r>
          </w:p>
        </w:tc>
        <w:tc>
          <w:tcPr>
            <w:tcW w:w="4091"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郑小双</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联系电话</w:t>
            </w:r>
          </w:p>
        </w:tc>
        <w:tc>
          <w:tcPr>
            <w:tcW w:w="2824" w:type="dxa"/>
            <w:gridSpan w:val="5"/>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61061051</w:t>
            </w:r>
          </w:p>
        </w:tc>
      </w:tr>
      <w:tr>
        <w:tblPrEx>
          <w:tblCellMar>
            <w:top w:w="0" w:type="dxa"/>
            <w:left w:w="108" w:type="dxa"/>
            <w:bottom w:w="0" w:type="dxa"/>
            <w:right w:w="108" w:type="dxa"/>
          </w:tblCellMar>
        </w:tblPrEx>
        <w:trPr>
          <w:trHeight w:val="567" w:hRule="exact"/>
          <w:jc w:val="center"/>
        </w:trPr>
        <w:tc>
          <w:tcPr>
            <w:tcW w:w="156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算数</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执行数</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执行率</w:t>
            </w:r>
          </w:p>
        </w:tc>
        <w:tc>
          <w:tcPr>
            <w:tcW w:w="12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年度资金总额</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35</w:t>
            </w: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35</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r>
        <w:tblPrEx>
          <w:tblCellMar>
            <w:top w:w="0" w:type="dxa"/>
            <w:left w:w="108" w:type="dxa"/>
            <w:bottom w:w="0" w:type="dxa"/>
            <w:right w:w="108" w:type="dxa"/>
          </w:tblCellMar>
        </w:tblPrEx>
        <w:trPr>
          <w:trHeight w:val="601"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其中：当年财政</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拨款</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67"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35</w:t>
            </w:r>
          </w:p>
        </w:tc>
        <w:tc>
          <w:tcPr>
            <w:tcW w:w="1132" w:type="dxa"/>
            <w:gridSpan w:val="2"/>
            <w:tcBorders>
              <w:top w:val="nil"/>
              <w:left w:val="nil"/>
              <w:bottom w:val="single" w:color="auto" w:sz="4" w:space="0"/>
              <w:right w:val="single" w:color="auto" w:sz="4" w:space="0"/>
            </w:tcBorders>
            <w:vAlign w:val="center"/>
          </w:tcPr>
          <w:p>
            <w:pPr>
              <w:widowControl/>
              <w:spacing w:line="240" w:lineRule="exact"/>
              <w:rPr>
                <w:rFonts w:ascii="仿宋_GB2312" w:hAnsi="宋体" w:eastAsia="仿宋_GB2312" w:cs="宋体"/>
                <w:kern w:val="0"/>
                <w:szCs w:val="21"/>
              </w:rPr>
            </w:pPr>
            <w:r>
              <w:rPr>
                <w:rFonts w:hint="eastAsia" w:ascii="仿宋_GB2312" w:hAnsi="宋体" w:eastAsia="仿宋_GB2312" w:cs="宋体"/>
                <w:kern w:val="0"/>
                <w:szCs w:val="21"/>
              </w:rPr>
              <w:t>35</w:t>
            </w: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35</w:t>
            </w: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100</w:t>
            </w:r>
          </w:p>
        </w:tc>
        <w:tc>
          <w:tcPr>
            <w:tcW w:w="12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306" w:hRule="exact"/>
          <w:jc w:val="center"/>
        </w:trPr>
        <w:tc>
          <w:tcPr>
            <w:tcW w:w="156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832"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1127"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32"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27"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704" w:type="dxa"/>
            <w:gridSpan w:val="2"/>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274" w:type="dxa"/>
            <w:tcBorders>
              <w:top w:val="nil"/>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w:t>
            </w:r>
          </w:p>
        </w:tc>
      </w:tr>
      <w:tr>
        <w:tblPrEx>
          <w:tblCellMar>
            <w:top w:w="0" w:type="dxa"/>
            <w:left w:w="108" w:type="dxa"/>
            <w:bottom w:w="0" w:type="dxa"/>
            <w:right w:w="108" w:type="dxa"/>
          </w:tblCellMar>
        </w:tblPrEx>
        <w:trPr>
          <w:trHeight w:val="548" w:hRule="exact"/>
          <w:jc w:val="center"/>
        </w:trPr>
        <w:tc>
          <w:tcPr>
            <w:tcW w:w="585" w:type="dxa"/>
            <w:vMerge w:val="restart"/>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年度总体目标</w:t>
            </w:r>
          </w:p>
        </w:tc>
        <w:tc>
          <w:tcPr>
            <w:tcW w:w="5066" w:type="dxa"/>
            <w:gridSpan w:val="6"/>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预期目标</w:t>
            </w:r>
          </w:p>
        </w:tc>
        <w:tc>
          <w:tcPr>
            <w:tcW w:w="3951" w:type="dxa"/>
            <w:gridSpan w:val="7"/>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实际完成情况</w:t>
            </w:r>
          </w:p>
        </w:tc>
      </w:tr>
      <w:tr>
        <w:tblPrEx>
          <w:tblCellMar>
            <w:top w:w="0" w:type="dxa"/>
            <w:left w:w="108" w:type="dxa"/>
            <w:bottom w:w="0" w:type="dxa"/>
            <w:right w:w="108" w:type="dxa"/>
          </w:tblCellMar>
        </w:tblPrEx>
        <w:trPr>
          <w:trHeight w:val="1597" w:hRule="exact"/>
          <w:jc w:val="center"/>
        </w:trPr>
        <w:tc>
          <w:tcPr>
            <w:tcW w:w="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5066" w:type="dxa"/>
            <w:gridSpan w:val="6"/>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确保2022年地质灾害治理项目按照规定使用。</w:t>
            </w:r>
          </w:p>
        </w:tc>
        <w:tc>
          <w:tcPr>
            <w:tcW w:w="3951" w:type="dxa"/>
            <w:gridSpan w:val="7"/>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r>
      <w:tr>
        <w:tblPrEx>
          <w:tblCellMar>
            <w:top w:w="0" w:type="dxa"/>
            <w:left w:w="108" w:type="dxa"/>
            <w:bottom w:w="0" w:type="dxa"/>
            <w:right w:w="108" w:type="dxa"/>
          </w:tblCellMar>
        </w:tblPrEx>
        <w:trPr>
          <w:trHeight w:val="830" w:hRule="exact"/>
          <w:jc w:val="center"/>
        </w:trPr>
        <w:tc>
          <w:tcPr>
            <w:tcW w:w="5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97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一级指标</w:t>
            </w:r>
          </w:p>
        </w:tc>
        <w:tc>
          <w:tcPr>
            <w:tcW w:w="1105"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二级指标</w:t>
            </w:r>
          </w:p>
        </w:tc>
        <w:tc>
          <w:tcPr>
            <w:tcW w:w="2137" w:type="dxa"/>
            <w:gridSpan w:val="3"/>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三级指标</w:t>
            </w:r>
          </w:p>
        </w:tc>
        <w:tc>
          <w:tcPr>
            <w:tcW w:w="84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指标值</w:t>
            </w:r>
          </w:p>
        </w:tc>
        <w:tc>
          <w:tcPr>
            <w:tcW w:w="848"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实际</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完成值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分值</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得分</w:t>
            </w:r>
          </w:p>
        </w:tc>
        <w:tc>
          <w:tcPr>
            <w:tcW w:w="19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偏差原因分析及改进</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措施</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产出指标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数量指标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按时发放</w:t>
            </w:r>
          </w:p>
        </w:tc>
        <w:tc>
          <w:tcPr>
            <w:tcW w:w="849"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35</w:t>
            </w:r>
          </w:p>
        </w:tc>
        <w:tc>
          <w:tcPr>
            <w:tcW w:w="848" w:type="dxa"/>
            <w:tcBorders>
              <w:top w:val="single" w:color="auto" w:sz="4" w:space="0"/>
              <w:left w:val="nil"/>
              <w:bottom w:val="single" w:color="auto" w:sz="4" w:space="0"/>
              <w:right w:val="single" w:color="auto" w:sz="4" w:space="0"/>
            </w:tcBorders>
            <w:vAlign w:val="center"/>
          </w:tcPr>
          <w:p>
            <w:pPr>
              <w:widowControl/>
              <w:textAlignment w:val="center"/>
              <w:rPr>
                <w:rFonts w:ascii="宋体" w:hAnsi="宋体" w:cs="宋体"/>
                <w:sz w:val="20"/>
                <w:szCs w:val="20"/>
              </w:rPr>
            </w:pPr>
            <w:r>
              <w:rPr>
                <w:rFonts w:hint="eastAsia" w:ascii="宋体" w:hAnsi="宋体" w:cs="宋体"/>
                <w:sz w:val="20"/>
                <w:szCs w:val="20"/>
              </w:rPr>
              <w:t>35</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20.00 </w:t>
            </w:r>
          </w:p>
        </w:tc>
        <w:tc>
          <w:tcPr>
            <w:tcW w:w="19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质量指标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工程质量</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提高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时效指标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年底完成</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年底完成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按计划拨付</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成本指标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经费金额</w:t>
            </w:r>
          </w:p>
        </w:tc>
        <w:tc>
          <w:tcPr>
            <w:tcW w:w="849" w:type="dxa"/>
            <w:tcBorders>
              <w:top w:val="single" w:color="auto" w:sz="4" w:space="0"/>
              <w:left w:val="nil"/>
              <w:bottom w:val="single" w:color="auto" w:sz="4" w:space="0"/>
              <w:right w:val="single" w:color="auto" w:sz="4" w:space="0"/>
            </w:tcBorders>
          </w:tcPr>
          <w:p>
            <w:r>
              <w:rPr>
                <w:rFonts w:hint="eastAsia" w:ascii="宋体" w:hAnsi="宋体" w:cs="宋体"/>
                <w:sz w:val="20"/>
                <w:szCs w:val="20"/>
              </w:rPr>
              <w:t>35</w:t>
            </w:r>
          </w:p>
        </w:tc>
        <w:tc>
          <w:tcPr>
            <w:tcW w:w="848" w:type="dxa"/>
            <w:tcBorders>
              <w:top w:val="single" w:color="auto" w:sz="4" w:space="0"/>
              <w:left w:val="nil"/>
              <w:bottom w:val="single" w:color="auto" w:sz="4" w:space="0"/>
              <w:right w:val="single" w:color="auto" w:sz="4" w:space="0"/>
            </w:tcBorders>
          </w:tcPr>
          <w:p>
            <w:r>
              <w:rPr>
                <w:rFonts w:hint="eastAsia" w:ascii="宋体" w:hAnsi="宋体" w:cs="宋体"/>
                <w:sz w:val="20"/>
                <w:szCs w:val="20"/>
              </w:rPr>
              <w:t>35</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 xml:space="preserve">10.00 </w:t>
            </w:r>
          </w:p>
        </w:tc>
        <w:tc>
          <w:tcPr>
            <w:tcW w:w="19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效益指标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经济效益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维持生活水平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社会效益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提高服务水平</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生态效益</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构建和谐村庄</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完成</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77"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有待进一步提高</w:t>
            </w: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具有可持续性影响</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100.00%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306" w:hRule="exact"/>
          <w:jc w:val="center"/>
        </w:trPr>
        <w:tc>
          <w:tcPr>
            <w:tcW w:w="5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c>
          <w:tcPr>
            <w:tcW w:w="97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满意度</w:t>
            </w:r>
          </w:p>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指标</w:t>
            </w:r>
          </w:p>
        </w:tc>
        <w:tc>
          <w:tcPr>
            <w:tcW w:w="110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服务对象满意度指标</w:t>
            </w:r>
          </w:p>
        </w:tc>
        <w:tc>
          <w:tcPr>
            <w:tcW w:w="2137" w:type="dxa"/>
            <w:gridSpan w:val="3"/>
            <w:tcBorders>
              <w:top w:val="single" w:color="auto" w:sz="4" w:space="0"/>
              <w:left w:val="nil"/>
              <w:bottom w:val="single" w:color="auto" w:sz="4" w:space="0"/>
              <w:right w:val="single" w:color="auto" w:sz="4" w:space="0"/>
            </w:tcBorders>
            <w:vAlign w:val="center"/>
          </w:tcPr>
          <w:p>
            <w:pPr>
              <w:widowControl/>
              <w:jc w:val="left"/>
              <w:textAlignment w:val="center"/>
              <w:rPr>
                <w:rFonts w:ascii="宋体" w:hAnsi="宋体" w:cs="宋体"/>
                <w:sz w:val="20"/>
                <w:szCs w:val="20"/>
              </w:rPr>
            </w:pPr>
            <w:r>
              <w:rPr>
                <w:rFonts w:hint="eastAsia" w:ascii="宋体" w:hAnsi="宋体" w:cs="宋体"/>
                <w:kern w:val="0"/>
                <w:sz w:val="20"/>
                <w:szCs w:val="20"/>
              </w:rPr>
              <w:t>居民满意度</w:t>
            </w:r>
          </w:p>
        </w:tc>
        <w:tc>
          <w:tcPr>
            <w:tcW w:w="849"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w:t>
            </w:r>
          </w:p>
        </w:tc>
        <w:tc>
          <w:tcPr>
            <w:tcW w:w="848" w:type="dxa"/>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98.00%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10</w:t>
            </w:r>
          </w:p>
        </w:tc>
        <w:tc>
          <w:tcPr>
            <w:tcW w:w="563" w:type="dxa"/>
            <w:gridSpan w:val="2"/>
            <w:tcBorders>
              <w:top w:val="single" w:color="auto" w:sz="4" w:space="0"/>
              <w:left w:val="nil"/>
              <w:bottom w:val="single" w:color="auto" w:sz="4" w:space="0"/>
              <w:right w:val="single" w:color="auto" w:sz="4" w:space="0"/>
            </w:tcBorders>
            <w:vAlign w:val="center"/>
          </w:tcPr>
          <w:p>
            <w:pPr>
              <w:widowControl/>
              <w:jc w:val="center"/>
              <w:textAlignment w:val="center"/>
              <w:rPr>
                <w:rFonts w:ascii="宋体" w:hAnsi="宋体" w:cs="宋体"/>
                <w:sz w:val="20"/>
                <w:szCs w:val="20"/>
              </w:rPr>
            </w:pPr>
            <w:r>
              <w:rPr>
                <w:rFonts w:hint="eastAsia" w:ascii="宋体" w:hAnsi="宋体" w:cs="宋体"/>
                <w:kern w:val="0"/>
                <w:sz w:val="20"/>
                <w:szCs w:val="20"/>
              </w:rPr>
              <w:t>8</w:t>
            </w:r>
          </w:p>
        </w:tc>
        <w:tc>
          <w:tcPr>
            <w:tcW w:w="1977" w:type="dxa"/>
            <w:gridSpan w:val="2"/>
            <w:tcBorders>
              <w:top w:val="single" w:color="auto" w:sz="4" w:space="0"/>
              <w:left w:val="nil"/>
              <w:bottom w:val="single" w:color="auto" w:sz="4" w:space="0"/>
              <w:right w:val="single" w:color="auto" w:sz="4" w:space="0"/>
            </w:tcBorders>
            <w:vAlign w:val="center"/>
          </w:tcPr>
          <w:p>
            <w:pPr>
              <w:jc w:val="center"/>
              <w:rPr>
                <w:rFonts w:ascii="宋体" w:hAnsi="宋体" w:cs="宋体"/>
                <w:sz w:val="20"/>
                <w:szCs w:val="20"/>
              </w:rPr>
            </w:pPr>
          </w:p>
        </w:tc>
      </w:tr>
      <w:tr>
        <w:tblPrEx>
          <w:tblCellMar>
            <w:top w:w="0" w:type="dxa"/>
            <w:left w:w="108" w:type="dxa"/>
            <w:bottom w:w="0" w:type="dxa"/>
            <w:right w:w="108" w:type="dxa"/>
          </w:tblCellMar>
        </w:tblPrEx>
        <w:trPr>
          <w:trHeight w:val="477" w:hRule="exact"/>
          <w:jc w:val="center"/>
        </w:trPr>
        <w:tc>
          <w:tcPr>
            <w:tcW w:w="6499" w:type="dxa"/>
            <w:gridSpan w:val="8"/>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63"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color w:val="000000"/>
                <w:kern w:val="0"/>
                <w:szCs w:val="21"/>
              </w:rPr>
            </w:pPr>
            <w:r>
              <w:rPr>
                <w:rFonts w:hint="eastAsia" w:ascii="仿宋_GB2312" w:hAnsi="宋体" w:eastAsia="仿宋_GB2312" w:cs="宋体"/>
                <w:color w:val="000000"/>
                <w:kern w:val="0"/>
                <w:szCs w:val="21"/>
              </w:rPr>
              <w:t>90</w:t>
            </w:r>
          </w:p>
        </w:tc>
        <w:tc>
          <w:tcPr>
            <w:tcW w:w="1977" w:type="dxa"/>
            <w:gridSpan w:val="2"/>
            <w:tcBorders>
              <w:top w:val="single" w:color="auto" w:sz="4" w:space="0"/>
              <w:left w:val="nil"/>
              <w:bottom w:val="single" w:color="auto" w:sz="4" w:space="0"/>
              <w:right w:val="single" w:color="auto" w:sz="4" w:space="0"/>
            </w:tcBorders>
            <w:vAlign w:val="center"/>
          </w:tcPr>
          <w:p>
            <w:pPr>
              <w:widowControl/>
              <w:spacing w:line="240" w:lineRule="exact"/>
              <w:jc w:val="center"/>
              <w:rPr>
                <w:rFonts w:ascii="仿宋_GB2312" w:hAnsi="宋体" w:eastAsia="仿宋_GB2312" w:cs="宋体"/>
                <w:kern w:val="0"/>
                <w:szCs w:val="21"/>
              </w:rPr>
            </w:pPr>
          </w:p>
        </w:tc>
      </w:tr>
    </w:tbl>
    <w:p>
      <w:pPr>
        <w:rPr>
          <w:rFonts w:ascii="仿宋_GB2312" w:eastAsia="仿宋_GB2312"/>
          <w:vanish/>
          <w:sz w:val="32"/>
          <w:szCs w:val="32"/>
        </w:rPr>
      </w:pPr>
    </w:p>
    <w:p>
      <w:pPr>
        <w:widowControl/>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pPr>
        <w:widowControl/>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pPr>
        <w:widowControl/>
        <w:spacing w:line="520" w:lineRule="exact"/>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pPr>
        <w:spacing w:line="520" w:lineRule="exact"/>
        <w:ind w:firstLine="640" w:firstLineChars="200"/>
        <w:jc w:val="left"/>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pPr>
        <w:spacing w:line="52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pPr>
        <w:pStyle w:val="3"/>
        <w:tabs>
          <w:tab w:val="left" w:pos="10080"/>
        </w:tabs>
        <w:spacing w:before="156" w:after="156"/>
      </w:pPr>
      <w:r>
        <w:tab/>
      </w:r>
    </w:p>
    <w:p/>
    <w:p>
      <w:pPr>
        <w:spacing w:line="480" w:lineRule="exact"/>
        <w:jc w:val="center"/>
      </w:pPr>
    </w:p>
    <w:sectPr>
      <w:pgSz w:w="16838" w:h="11906" w:orient="landscape"/>
      <w:pgMar w:top="1134" w:right="1134" w:bottom="1134" w:left="1134"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仿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6"/>
      </w:rPr>
    </w:pPr>
    <w:r>
      <w:fldChar w:fldCharType="begin"/>
    </w:r>
    <w:r>
      <w:rPr>
        <w:rStyle w:val="16"/>
      </w:rPr>
      <w:instrText xml:space="preserve">PAGE  </w:instrText>
    </w:r>
    <w:r>
      <w:fldChar w:fldCharType="separate"/>
    </w:r>
    <w:r>
      <w:rPr>
        <w:rStyle w:val="16"/>
      </w:rPr>
      <w:t>1</w: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spacing w:before="120" w:after="120"/>
      <w:rPr>
        <w:rStyle w:val="16"/>
      </w:rPr>
    </w:pPr>
    <w:r>
      <w:fldChar w:fldCharType="begin"/>
    </w:r>
    <w:r>
      <w:rPr>
        <w:rStyle w:val="16"/>
      </w:rPr>
      <w:instrText xml:space="preserve">PAGE  </w:instrText>
    </w:r>
    <w:r>
      <w:fldChar w:fldCharType="separate"/>
    </w:r>
    <w:r>
      <w:rPr>
        <w:rStyle w:val="16"/>
      </w:rPr>
      <w:t>7</w:t>
    </w:r>
    <w:r>
      <w:fldChar w:fldCharType="end"/>
    </w:r>
  </w:p>
  <w:p>
    <w:pPr>
      <w:pStyle w:val="9"/>
      <w:spacing w:before="120" w:after="120"/>
    </w:pPr>
  </w:p>
  <w:p>
    <w:pPr>
      <w:spacing w:before="120" w:after="120"/>
    </w:pPr>
  </w:p>
  <w:p>
    <w:pPr>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spacing w:before="120" w:after="120"/>
      <w:rPr>
        <w:rStyle w:val="16"/>
      </w:rPr>
    </w:pPr>
    <w:r>
      <w:fldChar w:fldCharType="begin"/>
    </w:r>
    <w:r>
      <w:rPr>
        <w:rStyle w:val="16"/>
      </w:rPr>
      <w:instrText xml:space="preserve">PAGE  </w:instrText>
    </w:r>
    <w:r>
      <w:fldChar w:fldCharType="separate"/>
    </w:r>
    <w:r>
      <w:rPr>
        <w:rStyle w:val="16"/>
      </w:rPr>
      <w:t>15</w:t>
    </w:r>
    <w:r>
      <w:fldChar w:fldCharType="end"/>
    </w:r>
  </w:p>
  <w:p>
    <w:pPr>
      <w:pStyle w:val="9"/>
      <w:spacing w:before="120" w:after="120"/>
    </w:pPr>
  </w:p>
  <w:p>
    <w:pPr>
      <w:spacing w:before="120" w:after="120"/>
    </w:pPr>
  </w:p>
  <w:p>
    <w:pPr>
      <w:spacing w:before="120" w:after="12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ZDIwMTNkNzRkOGQ3ZDg5YTBkMDAwNTJiNjc4NWVlMjcifQ=="/>
  </w:docVars>
  <w:rsids>
    <w:rsidRoot w:val="00100246"/>
    <w:rsid w:val="0000333B"/>
    <w:rsid w:val="00003B03"/>
    <w:rsid w:val="000040E6"/>
    <w:rsid w:val="00006AD2"/>
    <w:rsid w:val="00010A99"/>
    <w:rsid w:val="00011D72"/>
    <w:rsid w:val="000212EA"/>
    <w:rsid w:val="00023A3B"/>
    <w:rsid w:val="00027CD5"/>
    <w:rsid w:val="00031B8E"/>
    <w:rsid w:val="00033EC1"/>
    <w:rsid w:val="00034224"/>
    <w:rsid w:val="00036143"/>
    <w:rsid w:val="000366F5"/>
    <w:rsid w:val="00040275"/>
    <w:rsid w:val="00042001"/>
    <w:rsid w:val="0004719C"/>
    <w:rsid w:val="00047F6E"/>
    <w:rsid w:val="00051B00"/>
    <w:rsid w:val="00054CEA"/>
    <w:rsid w:val="000601B1"/>
    <w:rsid w:val="00063034"/>
    <w:rsid w:val="00066E19"/>
    <w:rsid w:val="0006752F"/>
    <w:rsid w:val="00071797"/>
    <w:rsid w:val="00071860"/>
    <w:rsid w:val="0007258E"/>
    <w:rsid w:val="0007305B"/>
    <w:rsid w:val="00077A9E"/>
    <w:rsid w:val="00077F4A"/>
    <w:rsid w:val="00077FE5"/>
    <w:rsid w:val="00080447"/>
    <w:rsid w:val="00084399"/>
    <w:rsid w:val="00085663"/>
    <w:rsid w:val="00090721"/>
    <w:rsid w:val="00095948"/>
    <w:rsid w:val="00095C26"/>
    <w:rsid w:val="00096504"/>
    <w:rsid w:val="00096B86"/>
    <w:rsid w:val="000A1770"/>
    <w:rsid w:val="000A283C"/>
    <w:rsid w:val="000A3570"/>
    <w:rsid w:val="000A41CD"/>
    <w:rsid w:val="000B15B7"/>
    <w:rsid w:val="000B332F"/>
    <w:rsid w:val="000B4ACB"/>
    <w:rsid w:val="000B6B9E"/>
    <w:rsid w:val="000B70F1"/>
    <w:rsid w:val="000C4611"/>
    <w:rsid w:val="000D1B61"/>
    <w:rsid w:val="000D6854"/>
    <w:rsid w:val="000E0B26"/>
    <w:rsid w:val="000E3291"/>
    <w:rsid w:val="000E729F"/>
    <w:rsid w:val="000F08FE"/>
    <w:rsid w:val="000F0C5A"/>
    <w:rsid w:val="000F1825"/>
    <w:rsid w:val="000F208B"/>
    <w:rsid w:val="000F2729"/>
    <w:rsid w:val="000F2A48"/>
    <w:rsid w:val="000F3586"/>
    <w:rsid w:val="000F49BE"/>
    <w:rsid w:val="000F5BC5"/>
    <w:rsid w:val="000F6A90"/>
    <w:rsid w:val="00100246"/>
    <w:rsid w:val="0010682D"/>
    <w:rsid w:val="001073C6"/>
    <w:rsid w:val="00107DB5"/>
    <w:rsid w:val="00113613"/>
    <w:rsid w:val="0011483D"/>
    <w:rsid w:val="00115724"/>
    <w:rsid w:val="001217E1"/>
    <w:rsid w:val="00126690"/>
    <w:rsid w:val="00130995"/>
    <w:rsid w:val="00131FF9"/>
    <w:rsid w:val="00132320"/>
    <w:rsid w:val="00133060"/>
    <w:rsid w:val="00133D1F"/>
    <w:rsid w:val="00135B6A"/>
    <w:rsid w:val="0013691F"/>
    <w:rsid w:val="001369A7"/>
    <w:rsid w:val="00140DAB"/>
    <w:rsid w:val="001428C5"/>
    <w:rsid w:val="0014622A"/>
    <w:rsid w:val="001503D8"/>
    <w:rsid w:val="001529D3"/>
    <w:rsid w:val="00152A63"/>
    <w:rsid w:val="001543D9"/>
    <w:rsid w:val="00157540"/>
    <w:rsid w:val="0017111F"/>
    <w:rsid w:val="001714F6"/>
    <w:rsid w:val="0017334D"/>
    <w:rsid w:val="00173CF6"/>
    <w:rsid w:val="00174973"/>
    <w:rsid w:val="00176899"/>
    <w:rsid w:val="00180DAD"/>
    <w:rsid w:val="0018370E"/>
    <w:rsid w:val="001852E1"/>
    <w:rsid w:val="00187A2D"/>
    <w:rsid w:val="00191568"/>
    <w:rsid w:val="00193021"/>
    <w:rsid w:val="001A0336"/>
    <w:rsid w:val="001A0B8A"/>
    <w:rsid w:val="001A4277"/>
    <w:rsid w:val="001A7D2E"/>
    <w:rsid w:val="001B1DF9"/>
    <w:rsid w:val="001B1E93"/>
    <w:rsid w:val="001B21E8"/>
    <w:rsid w:val="001B257D"/>
    <w:rsid w:val="001B375E"/>
    <w:rsid w:val="001B4A46"/>
    <w:rsid w:val="001B5E87"/>
    <w:rsid w:val="001B5E91"/>
    <w:rsid w:val="001B69BF"/>
    <w:rsid w:val="001B7988"/>
    <w:rsid w:val="001C60D6"/>
    <w:rsid w:val="001D3429"/>
    <w:rsid w:val="001D78D9"/>
    <w:rsid w:val="001E00CA"/>
    <w:rsid w:val="001E0556"/>
    <w:rsid w:val="001E2355"/>
    <w:rsid w:val="001E2379"/>
    <w:rsid w:val="001E2397"/>
    <w:rsid w:val="001E29A9"/>
    <w:rsid w:val="001F5857"/>
    <w:rsid w:val="00201051"/>
    <w:rsid w:val="002012CF"/>
    <w:rsid w:val="00206B23"/>
    <w:rsid w:val="00206CBF"/>
    <w:rsid w:val="00206EC3"/>
    <w:rsid w:val="0021047C"/>
    <w:rsid w:val="00211E4E"/>
    <w:rsid w:val="00213D1C"/>
    <w:rsid w:val="00214C3A"/>
    <w:rsid w:val="00217517"/>
    <w:rsid w:val="00220B5A"/>
    <w:rsid w:val="00222628"/>
    <w:rsid w:val="002253CB"/>
    <w:rsid w:val="002267A6"/>
    <w:rsid w:val="002274A7"/>
    <w:rsid w:val="00230C3B"/>
    <w:rsid w:val="002326DE"/>
    <w:rsid w:val="00234314"/>
    <w:rsid w:val="00236CAB"/>
    <w:rsid w:val="0024077B"/>
    <w:rsid w:val="00241724"/>
    <w:rsid w:val="0024390C"/>
    <w:rsid w:val="002441F4"/>
    <w:rsid w:val="00244204"/>
    <w:rsid w:val="002448A4"/>
    <w:rsid w:val="00245A0A"/>
    <w:rsid w:val="0024667A"/>
    <w:rsid w:val="00246C42"/>
    <w:rsid w:val="002507E7"/>
    <w:rsid w:val="002515CC"/>
    <w:rsid w:val="00251728"/>
    <w:rsid w:val="00253EC4"/>
    <w:rsid w:val="00254515"/>
    <w:rsid w:val="002568B8"/>
    <w:rsid w:val="00261B30"/>
    <w:rsid w:val="0026297F"/>
    <w:rsid w:val="00263B00"/>
    <w:rsid w:val="0026479D"/>
    <w:rsid w:val="002673C4"/>
    <w:rsid w:val="0027112B"/>
    <w:rsid w:val="00271C3F"/>
    <w:rsid w:val="00272460"/>
    <w:rsid w:val="00273070"/>
    <w:rsid w:val="0027394A"/>
    <w:rsid w:val="00274BBD"/>
    <w:rsid w:val="00274D50"/>
    <w:rsid w:val="002760D5"/>
    <w:rsid w:val="00276289"/>
    <w:rsid w:val="0028081D"/>
    <w:rsid w:val="00281FCC"/>
    <w:rsid w:val="0028458C"/>
    <w:rsid w:val="002911BD"/>
    <w:rsid w:val="00291B50"/>
    <w:rsid w:val="00291C98"/>
    <w:rsid w:val="00294DE9"/>
    <w:rsid w:val="002A126A"/>
    <w:rsid w:val="002A1488"/>
    <w:rsid w:val="002A24DB"/>
    <w:rsid w:val="002A4C2B"/>
    <w:rsid w:val="002A6CB8"/>
    <w:rsid w:val="002B19D0"/>
    <w:rsid w:val="002B3682"/>
    <w:rsid w:val="002B5464"/>
    <w:rsid w:val="002C0443"/>
    <w:rsid w:val="002C12FB"/>
    <w:rsid w:val="002C24BC"/>
    <w:rsid w:val="002D03C6"/>
    <w:rsid w:val="002D0FDF"/>
    <w:rsid w:val="002D2CD3"/>
    <w:rsid w:val="002D3955"/>
    <w:rsid w:val="002D4411"/>
    <w:rsid w:val="002D68A9"/>
    <w:rsid w:val="002E06AE"/>
    <w:rsid w:val="002E4A75"/>
    <w:rsid w:val="002E4B75"/>
    <w:rsid w:val="002E68DD"/>
    <w:rsid w:val="002F17C2"/>
    <w:rsid w:val="002F2ECE"/>
    <w:rsid w:val="002F32EE"/>
    <w:rsid w:val="002F4054"/>
    <w:rsid w:val="002F504D"/>
    <w:rsid w:val="002F5574"/>
    <w:rsid w:val="00301D20"/>
    <w:rsid w:val="00302B19"/>
    <w:rsid w:val="00303428"/>
    <w:rsid w:val="003053C4"/>
    <w:rsid w:val="003058A3"/>
    <w:rsid w:val="00307DA5"/>
    <w:rsid w:val="0031169D"/>
    <w:rsid w:val="0031170D"/>
    <w:rsid w:val="00311B9C"/>
    <w:rsid w:val="00313B27"/>
    <w:rsid w:val="00313E14"/>
    <w:rsid w:val="00314A05"/>
    <w:rsid w:val="003167DD"/>
    <w:rsid w:val="00320C8B"/>
    <w:rsid w:val="003218ED"/>
    <w:rsid w:val="00321BD8"/>
    <w:rsid w:val="0032444F"/>
    <w:rsid w:val="00325687"/>
    <w:rsid w:val="00332C14"/>
    <w:rsid w:val="003334EB"/>
    <w:rsid w:val="00334FCB"/>
    <w:rsid w:val="00335079"/>
    <w:rsid w:val="003352CE"/>
    <w:rsid w:val="003400FB"/>
    <w:rsid w:val="00341969"/>
    <w:rsid w:val="00341D8E"/>
    <w:rsid w:val="003502B9"/>
    <w:rsid w:val="00351B8F"/>
    <w:rsid w:val="00353226"/>
    <w:rsid w:val="00353717"/>
    <w:rsid w:val="00354630"/>
    <w:rsid w:val="00354D97"/>
    <w:rsid w:val="003568DE"/>
    <w:rsid w:val="003634E7"/>
    <w:rsid w:val="00364B20"/>
    <w:rsid w:val="003652A3"/>
    <w:rsid w:val="003658C5"/>
    <w:rsid w:val="00365A24"/>
    <w:rsid w:val="00370551"/>
    <w:rsid w:val="003712DB"/>
    <w:rsid w:val="00373DDC"/>
    <w:rsid w:val="00382603"/>
    <w:rsid w:val="00382A86"/>
    <w:rsid w:val="00383BCC"/>
    <w:rsid w:val="00385243"/>
    <w:rsid w:val="0038577D"/>
    <w:rsid w:val="003925D4"/>
    <w:rsid w:val="0039318C"/>
    <w:rsid w:val="00393366"/>
    <w:rsid w:val="003937DC"/>
    <w:rsid w:val="00393D75"/>
    <w:rsid w:val="0039481F"/>
    <w:rsid w:val="00395099"/>
    <w:rsid w:val="00395586"/>
    <w:rsid w:val="003A069C"/>
    <w:rsid w:val="003A0A39"/>
    <w:rsid w:val="003A29D3"/>
    <w:rsid w:val="003A2F2D"/>
    <w:rsid w:val="003A3CA8"/>
    <w:rsid w:val="003A43AC"/>
    <w:rsid w:val="003A4EB6"/>
    <w:rsid w:val="003A7AE9"/>
    <w:rsid w:val="003A7BC5"/>
    <w:rsid w:val="003A7FF5"/>
    <w:rsid w:val="003B022A"/>
    <w:rsid w:val="003B0352"/>
    <w:rsid w:val="003B2241"/>
    <w:rsid w:val="003B2433"/>
    <w:rsid w:val="003B4437"/>
    <w:rsid w:val="003B48C4"/>
    <w:rsid w:val="003B5E20"/>
    <w:rsid w:val="003B6DAD"/>
    <w:rsid w:val="003B735F"/>
    <w:rsid w:val="003C02C5"/>
    <w:rsid w:val="003C030C"/>
    <w:rsid w:val="003C55FC"/>
    <w:rsid w:val="003D0EC3"/>
    <w:rsid w:val="003D5349"/>
    <w:rsid w:val="003D7274"/>
    <w:rsid w:val="003E18A3"/>
    <w:rsid w:val="003E3A16"/>
    <w:rsid w:val="003E4D82"/>
    <w:rsid w:val="003E5BC1"/>
    <w:rsid w:val="003F0D1B"/>
    <w:rsid w:val="003F1DD6"/>
    <w:rsid w:val="003F3C02"/>
    <w:rsid w:val="003F7771"/>
    <w:rsid w:val="00400D10"/>
    <w:rsid w:val="00401087"/>
    <w:rsid w:val="004018E7"/>
    <w:rsid w:val="00402E26"/>
    <w:rsid w:val="00403043"/>
    <w:rsid w:val="00405701"/>
    <w:rsid w:val="0040697D"/>
    <w:rsid w:val="004110BC"/>
    <w:rsid w:val="0041271F"/>
    <w:rsid w:val="0041688E"/>
    <w:rsid w:val="004170EF"/>
    <w:rsid w:val="0042093C"/>
    <w:rsid w:val="004233DD"/>
    <w:rsid w:val="00424405"/>
    <w:rsid w:val="00425483"/>
    <w:rsid w:val="00425B25"/>
    <w:rsid w:val="00425D24"/>
    <w:rsid w:val="004268E5"/>
    <w:rsid w:val="00426A4D"/>
    <w:rsid w:val="00427687"/>
    <w:rsid w:val="00432A27"/>
    <w:rsid w:val="00433231"/>
    <w:rsid w:val="004334CA"/>
    <w:rsid w:val="0043506A"/>
    <w:rsid w:val="00435830"/>
    <w:rsid w:val="0043619C"/>
    <w:rsid w:val="004422C8"/>
    <w:rsid w:val="004436B7"/>
    <w:rsid w:val="00443B43"/>
    <w:rsid w:val="0044475D"/>
    <w:rsid w:val="00444D1E"/>
    <w:rsid w:val="0044571A"/>
    <w:rsid w:val="0044705D"/>
    <w:rsid w:val="00447135"/>
    <w:rsid w:val="0045090E"/>
    <w:rsid w:val="00452ED1"/>
    <w:rsid w:val="00453E36"/>
    <w:rsid w:val="00457286"/>
    <w:rsid w:val="00461FA5"/>
    <w:rsid w:val="00462218"/>
    <w:rsid w:val="00463566"/>
    <w:rsid w:val="0046356D"/>
    <w:rsid w:val="00464182"/>
    <w:rsid w:val="00464798"/>
    <w:rsid w:val="0046549E"/>
    <w:rsid w:val="00465E97"/>
    <w:rsid w:val="00471C52"/>
    <w:rsid w:val="0047460C"/>
    <w:rsid w:val="00474FF2"/>
    <w:rsid w:val="00476EE8"/>
    <w:rsid w:val="00480098"/>
    <w:rsid w:val="004803C7"/>
    <w:rsid w:val="00484A93"/>
    <w:rsid w:val="00485E12"/>
    <w:rsid w:val="004865DA"/>
    <w:rsid w:val="0048779C"/>
    <w:rsid w:val="00487AB7"/>
    <w:rsid w:val="00487ED0"/>
    <w:rsid w:val="00491D09"/>
    <w:rsid w:val="0049682C"/>
    <w:rsid w:val="004A168E"/>
    <w:rsid w:val="004A4EC7"/>
    <w:rsid w:val="004B0003"/>
    <w:rsid w:val="004B10FC"/>
    <w:rsid w:val="004B2CBB"/>
    <w:rsid w:val="004C020A"/>
    <w:rsid w:val="004C03A3"/>
    <w:rsid w:val="004C44B8"/>
    <w:rsid w:val="004C4C00"/>
    <w:rsid w:val="004C50F7"/>
    <w:rsid w:val="004C7629"/>
    <w:rsid w:val="004D0D5D"/>
    <w:rsid w:val="004D3921"/>
    <w:rsid w:val="004D4B59"/>
    <w:rsid w:val="004E27DD"/>
    <w:rsid w:val="004E2CA9"/>
    <w:rsid w:val="004E3350"/>
    <w:rsid w:val="004E5292"/>
    <w:rsid w:val="004F2C5B"/>
    <w:rsid w:val="004F641B"/>
    <w:rsid w:val="004F71F3"/>
    <w:rsid w:val="005052FA"/>
    <w:rsid w:val="005069E1"/>
    <w:rsid w:val="00507E59"/>
    <w:rsid w:val="00510BC5"/>
    <w:rsid w:val="005122B5"/>
    <w:rsid w:val="00516674"/>
    <w:rsid w:val="005215A9"/>
    <w:rsid w:val="0052381C"/>
    <w:rsid w:val="005346B3"/>
    <w:rsid w:val="00535851"/>
    <w:rsid w:val="0054051C"/>
    <w:rsid w:val="00543934"/>
    <w:rsid w:val="00546A84"/>
    <w:rsid w:val="00547BE2"/>
    <w:rsid w:val="00550A38"/>
    <w:rsid w:val="0055353D"/>
    <w:rsid w:val="00555E0A"/>
    <w:rsid w:val="0056187C"/>
    <w:rsid w:val="00563CDC"/>
    <w:rsid w:val="00567301"/>
    <w:rsid w:val="00572441"/>
    <w:rsid w:val="00572B32"/>
    <w:rsid w:val="005752D6"/>
    <w:rsid w:val="005769C7"/>
    <w:rsid w:val="00576B03"/>
    <w:rsid w:val="00581E1A"/>
    <w:rsid w:val="00585656"/>
    <w:rsid w:val="00591655"/>
    <w:rsid w:val="00591BEC"/>
    <w:rsid w:val="00592AD9"/>
    <w:rsid w:val="005940EA"/>
    <w:rsid w:val="00594448"/>
    <w:rsid w:val="0059759C"/>
    <w:rsid w:val="005A1D6F"/>
    <w:rsid w:val="005A4D82"/>
    <w:rsid w:val="005A52A6"/>
    <w:rsid w:val="005B0DEC"/>
    <w:rsid w:val="005B252B"/>
    <w:rsid w:val="005B368E"/>
    <w:rsid w:val="005B6E69"/>
    <w:rsid w:val="005C0015"/>
    <w:rsid w:val="005C1E82"/>
    <w:rsid w:val="005C2BCE"/>
    <w:rsid w:val="005C2CA5"/>
    <w:rsid w:val="005C7062"/>
    <w:rsid w:val="005C7788"/>
    <w:rsid w:val="005D10B9"/>
    <w:rsid w:val="005D18DA"/>
    <w:rsid w:val="005D2445"/>
    <w:rsid w:val="005D372E"/>
    <w:rsid w:val="005D3B4D"/>
    <w:rsid w:val="005D45C3"/>
    <w:rsid w:val="005D6051"/>
    <w:rsid w:val="005E00DC"/>
    <w:rsid w:val="005E3BBC"/>
    <w:rsid w:val="005E3EC6"/>
    <w:rsid w:val="005E4E07"/>
    <w:rsid w:val="005E4E46"/>
    <w:rsid w:val="005E5275"/>
    <w:rsid w:val="005E5E67"/>
    <w:rsid w:val="005E7DC8"/>
    <w:rsid w:val="005E7EC9"/>
    <w:rsid w:val="005F1930"/>
    <w:rsid w:val="005F19FA"/>
    <w:rsid w:val="005F44FB"/>
    <w:rsid w:val="005F5982"/>
    <w:rsid w:val="005F6591"/>
    <w:rsid w:val="005F7087"/>
    <w:rsid w:val="00611BE4"/>
    <w:rsid w:val="0061219B"/>
    <w:rsid w:val="00615A68"/>
    <w:rsid w:val="006175D0"/>
    <w:rsid w:val="00617718"/>
    <w:rsid w:val="00621419"/>
    <w:rsid w:val="00621E0C"/>
    <w:rsid w:val="0062320F"/>
    <w:rsid w:val="00623337"/>
    <w:rsid w:val="00625A39"/>
    <w:rsid w:val="00626446"/>
    <w:rsid w:val="00626BE8"/>
    <w:rsid w:val="00626E2E"/>
    <w:rsid w:val="00626E34"/>
    <w:rsid w:val="00631827"/>
    <w:rsid w:val="00632804"/>
    <w:rsid w:val="00632B63"/>
    <w:rsid w:val="0063517B"/>
    <w:rsid w:val="006376DA"/>
    <w:rsid w:val="00637FBF"/>
    <w:rsid w:val="00642912"/>
    <w:rsid w:val="0064371D"/>
    <w:rsid w:val="006459DA"/>
    <w:rsid w:val="00646961"/>
    <w:rsid w:val="00647031"/>
    <w:rsid w:val="006502E8"/>
    <w:rsid w:val="00652751"/>
    <w:rsid w:val="00654A2B"/>
    <w:rsid w:val="0065675C"/>
    <w:rsid w:val="0065793F"/>
    <w:rsid w:val="0066263B"/>
    <w:rsid w:val="0066713A"/>
    <w:rsid w:val="00667AC5"/>
    <w:rsid w:val="0067195C"/>
    <w:rsid w:val="006724F7"/>
    <w:rsid w:val="0067511A"/>
    <w:rsid w:val="0067539B"/>
    <w:rsid w:val="00675543"/>
    <w:rsid w:val="00675AA0"/>
    <w:rsid w:val="00677396"/>
    <w:rsid w:val="00677AD9"/>
    <w:rsid w:val="00681970"/>
    <w:rsid w:val="006835E5"/>
    <w:rsid w:val="00690306"/>
    <w:rsid w:val="006905EE"/>
    <w:rsid w:val="00690641"/>
    <w:rsid w:val="00690D88"/>
    <w:rsid w:val="00691844"/>
    <w:rsid w:val="0069191B"/>
    <w:rsid w:val="00691B12"/>
    <w:rsid w:val="006921F4"/>
    <w:rsid w:val="00692C73"/>
    <w:rsid w:val="00693DDF"/>
    <w:rsid w:val="00694F74"/>
    <w:rsid w:val="00696F9E"/>
    <w:rsid w:val="006A00EC"/>
    <w:rsid w:val="006A374A"/>
    <w:rsid w:val="006A505E"/>
    <w:rsid w:val="006A513E"/>
    <w:rsid w:val="006A5265"/>
    <w:rsid w:val="006B0CB9"/>
    <w:rsid w:val="006B2609"/>
    <w:rsid w:val="006B2750"/>
    <w:rsid w:val="006B3678"/>
    <w:rsid w:val="006B7390"/>
    <w:rsid w:val="006C0084"/>
    <w:rsid w:val="006C107D"/>
    <w:rsid w:val="006C2F09"/>
    <w:rsid w:val="006C3600"/>
    <w:rsid w:val="006C4534"/>
    <w:rsid w:val="006C5205"/>
    <w:rsid w:val="006C75F6"/>
    <w:rsid w:val="006D1A3D"/>
    <w:rsid w:val="006D3F53"/>
    <w:rsid w:val="006D60AF"/>
    <w:rsid w:val="006E3974"/>
    <w:rsid w:val="006E4722"/>
    <w:rsid w:val="006F62B9"/>
    <w:rsid w:val="006F7C53"/>
    <w:rsid w:val="00701651"/>
    <w:rsid w:val="007049BF"/>
    <w:rsid w:val="00704E79"/>
    <w:rsid w:val="00707A26"/>
    <w:rsid w:val="0071120F"/>
    <w:rsid w:val="00713D69"/>
    <w:rsid w:val="00716380"/>
    <w:rsid w:val="0071679C"/>
    <w:rsid w:val="00722165"/>
    <w:rsid w:val="00724B1C"/>
    <w:rsid w:val="00727856"/>
    <w:rsid w:val="007312B6"/>
    <w:rsid w:val="00735633"/>
    <w:rsid w:val="00741ED2"/>
    <w:rsid w:val="007428F0"/>
    <w:rsid w:val="007432B7"/>
    <w:rsid w:val="00744815"/>
    <w:rsid w:val="007450D9"/>
    <w:rsid w:val="007512EF"/>
    <w:rsid w:val="007551AC"/>
    <w:rsid w:val="007569C8"/>
    <w:rsid w:val="0075798F"/>
    <w:rsid w:val="0076101C"/>
    <w:rsid w:val="00763CAC"/>
    <w:rsid w:val="00763D87"/>
    <w:rsid w:val="007670B2"/>
    <w:rsid w:val="00767BE0"/>
    <w:rsid w:val="00771795"/>
    <w:rsid w:val="00774925"/>
    <w:rsid w:val="00774B24"/>
    <w:rsid w:val="00774EA3"/>
    <w:rsid w:val="00775EF8"/>
    <w:rsid w:val="00776479"/>
    <w:rsid w:val="00781B55"/>
    <w:rsid w:val="00781ECD"/>
    <w:rsid w:val="007843B6"/>
    <w:rsid w:val="00784775"/>
    <w:rsid w:val="00784E59"/>
    <w:rsid w:val="007852AA"/>
    <w:rsid w:val="007872BD"/>
    <w:rsid w:val="00790DF6"/>
    <w:rsid w:val="0079279F"/>
    <w:rsid w:val="00793E69"/>
    <w:rsid w:val="007A063C"/>
    <w:rsid w:val="007A16B0"/>
    <w:rsid w:val="007A19EA"/>
    <w:rsid w:val="007A5B96"/>
    <w:rsid w:val="007A6092"/>
    <w:rsid w:val="007A60B7"/>
    <w:rsid w:val="007A64A6"/>
    <w:rsid w:val="007A6C4D"/>
    <w:rsid w:val="007A6EE1"/>
    <w:rsid w:val="007A7C89"/>
    <w:rsid w:val="007B1487"/>
    <w:rsid w:val="007B2A43"/>
    <w:rsid w:val="007B326F"/>
    <w:rsid w:val="007B6A58"/>
    <w:rsid w:val="007B6C06"/>
    <w:rsid w:val="007B7076"/>
    <w:rsid w:val="007B7B78"/>
    <w:rsid w:val="007C11E1"/>
    <w:rsid w:val="007C2FB1"/>
    <w:rsid w:val="007C32B1"/>
    <w:rsid w:val="007C4376"/>
    <w:rsid w:val="007C7A22"/>
    <w:rsid w:val="007C7C62"/>
    <w:rsid w:val="007D1076"/>
    <w:rsid w:val="007D12B7"/>
    <w:rsid w:val="007D21A7"/>
    <w:rsid w:val="007D2A49"/>
    <w:rsid w:val="007D2E8A"/>
    <w:rsid w:val="007D4A11"/>
    <w:rsid w:val="007D5E38"/>
    <w:rsid w:val="007D7AC4"/>
    <w:rsid w:val="007D7E3D"/>
    <w:rsid w:val="007E0340"/>
    <w:rsid w:val="007E1D4A"/>
    <w:rsid w:val="007E53C0"/>
    <w:rsid w:val="007E677C"/>
    <w:rsid w:val="007E7703"/>
    <w:rsid w:val="007F1E5E"/>
    <w:rsid w:val="007F40F9"/>
    <w:rsid w:val="007F4558"/>
    <w:rsid w:val="007F53A3"/>
    <w:rsid w:val="007F64DF"/>
    <w:rsid w:val="007F70EE"/>
    <w:rsid w:val="008031C9"/>
    <w:rsid w:val="00803D22"/>
    <w:rsid w:val="008050EF"/>
    <w:rsid w:val="0080652C"/>
    <w:rsid w:val="0080715F"/>
    <w:rsid w:val="008113D6"/>
    <w:rsid w:val="00812BA7"/>
    <w:rsid w:val="00813A87"/>
    <w:rsid w:val="00813F63"/>
    <w:rsid w:val="00815F57"/>
    <w:rsid w:val="0081760B"/>
    <w:rsid w:val="008218AC"/>
    <w:rsid w:val="00825359"/>
    <w:rsid w:val="00825E13"/>
    <w:rsid w:val="00826341"/>
    <w:rsid w:val="00826F07"/>
    <w:rsid w:val="00830860"/>
    <w:rsid w:val="00830FAB"/>
    <w:rsid w:val="008337CB"/>
    <w:rsid w:val="00834A3C"/>
    <w:rsid w:val="00835AEC"/>
    <w:rsid w:val="008360A0"/>
    <w:rsid w:val="00837658"/>
    <w:rsid w:val="00837CD4"/>
    <w:rsid w:val="00837F78"/>
    <w:rsid w:val="008400EE"/>
    <w:rsid w:val="00840791"/>
    <w:rsid w:val="0084297A"/>
    <w:rsid w:val="00845576"/>
    <w:rsid w:val="00847DA8"/>
    <w:rsid w:val="00847FFC"/>
    <w:rsid w:val="00850708"/>
    <w:rsid w:val="00851024"/>
    <w:rsid w:val="008526D7"/>
    <w:rsid w:val="0085300F"/>
    <w:rsid w:val="00857C95"/>
    <w:rsid w:val="0086238C"/>
    <w:rsid w:val="00862946"/>
    <w:rsid w:val="008655DC"/>
    <w:rsid w:val="0086732D"/>
    <w:rsid w:val="00870183"/>
    <w:rsid w:val="00871E93"/>
    <w:rsid w:val="00875726"/>
    <w:rsid w:val="00877F10"/>
    <w:rsid w:val="00877F3C"/>
    <w:rsid w:val="00881462"/>
    <w:rsid w:val="00881C3C"/>
    <w:rsid w:val="0088225D"/>
    <w:rsid w:val="00882F8D"/>
    <w:rsid w:val="00884FB0"/>
    <w:rsid w:val="00885221"/>
    <w:rsid w:val="008853A5"/>
    <w:rsid w:val="00885F37"/>
    <w:rsid w:val="008861DC"/>
    <w:rsid w:val="0089009E"/>
    <w:rsid w:val="008944DA"/>
    <w:rsid w:val="00894D78"/>
    <w:rsid w:val="008953B8"/>
    <w:rsid w:val="008968A2"/>
    <w:rsid w:val="008A0741"/>
    <w:rsid w:val="008A1D57"/>
    <w:rsid w:val="008A3371"/>
    <w:rsid w:val="008A6A18"/>
    <w:rsid w:val="008B033F"/>
    <w:rsid w:val="008B2091"/>
    <w:rsid w:val="008B4003"/>
    <w:rsid w:val="008B694A"/>
    <w:rsid w:val="008B7443"/>
    <w:rsid w:val="008C179E"/>
    <w:rsid w:val="008C2379"/>
    <w:rsid w:val="008C4FF7"/>
    <w:rsid w:val="008C5C4C"/>
    <w:rsid w:val="008C7056"/>
    <w:rsid w:val="008C706D"/>
    <w:rsid w:val="008D3145"/>
    <w:rsid w:val="008D3526"/>
    <w:rsid w:val="008E1A54"/>
    <w:rsid w:val="008E1F95"/>
    <w:rsid w:val="008E36B6"/>
    <w:rsid w:val="008E3779"/>
    <w:rsid w:val="008E4267"/>
    <w:rsid w:val="008E440B"/>
    <w:rsid w:val="008E4847"/>
    <w:rsid w:val="008E5FF1"/>
    <w:rsid w:val="008E63D2"/>
    <w:rsid w:val="008E6E14"/>
    <w:rsid w:val="008F1528"/>
    <w:rsid w:val="008F1AE5"/>
    <w:rsid w:val="008F2A73"/>
    <w:rsid w:val="008F55D9"/>
    <w:rsid w:val="00905688"/>
    <w:rsid w:val="009057DE"/>
    <w:rsid w:val="00905F97"/>
    <w:rsid w:val="00906FA3"/>
    <w:rsid w:val="00910735"/>
    <w:rsid w:val="0091239D"/>
    <w:rsid w:val="00912825"/>
    <w:rsid w:val="009129B8"/>
    <w:rsid w:val="00912B99"/>
    <w:rsid w:val="00912C78"/>
    <w:rsid w:val="0091524C"/>
    <w:rsid w:val="00917C83"/>
    <w:rsid w:val="009218AB"/>
    <w:rsid w:val="00924929"/>
    <w:rsid w:val="009272EB"/>
    <w:rsid w:val="00927892"/>
    <w:rsid w:val="009319B9"/>
    <w:rsid w:val="009351E9"/>
    <w:rsid w:val="00937862"/>
    <w:rsid w:val="00942279"/>
    <w:rsid w:val="0094467A"/>
    <w:rsid w:val="00950A17"/>
    <w:rsid w:val="00951B89"/>
    <w:rsid w:val="00951D16"/>
    <w:rsid w:val="009524EB"/>
    <w:rsid w:val="0095282E"/>
    <w:rsid w:val="009559A8"/>
    <w:rsid w:val="009577EF"/>
    <w:rsid w:val="00962013"/>
    <w:rsid w:val="00962E62"/>
    <w:rsid w:val="00963942"/>
    <w:rsid w:val="009650AC"/>
    <w:rsid w:val="0096716C"/>
    <w:rsid w:val="009672B2"/>
    <w:rsid w:val="00971C66"/>
    <w:rsid w:val="00972363"/>
    <w:rsid w:val="00983471"/>
    <w:rsid w:val="0098391C"/>
    <w:rsid w:val="0098419C"/>
    <w:rsid w:val="009843EF"/>
    <w:rsid w:val="009846E2"/>
    <w:rsid w:val="009867F2"/>
    <w:rsid w:val="00991347"/>
    <w:rsid w:val="00994909"/>
    <w:rsid w:val="009952CD"/>
    <w:rsid w:val="00996018"/>
    <w:rsid w:val="0099738E"/>
    <w:rsid w:val="009A09DF"/>
    <w:rsid w:val="009A1E08"/>
    <w:rsid w:val="009A3562"/>
    <w:rsid w:val="009A493E"/>
    <w:rsid w:val="009A531F"/>
    <w:rsid w:val="009A6931"/>
    <w:rsid w:val="009B01D8"/>
    <w:rsid w:val="009B1F9A"/>
    <w:rsid w:val="009B1FA9"/>
    <w:rsid w:val="009B349F"/>
    <w:rsid w:val="009B4293"/>
    <w:rsid w:val="009B6715"/>
    <w:rsid w:val="009C4CA9"/>
    <w:rsid w:val="009C7B74"/>
    <w:rsid w:val="009D0BE2"/>
    <w:rsid w:val="009D114E"/>
    <w:rsid w:val="009D210F"/>
    <w:rsid w:val="009D2672"/>
    <w:rsid w:val="009D276E"/>
    <w:rsid w:val="009D309C"/>
    <w:rsid w:val="009D37B1"/>
    <w:rsid w:val="009D4717"/>
    <w:rsid w:val="009D694D"/>
    <w:rsid w:val="009E264E"/>
    <w:rsid w:val="009F0C98"/>
    <w:rsid w:val="009F0F81"/>
    <w:rsid w:val="009F1C9F"/>
    <w:rsid w:val="009F2543"/>
    <w:rsid w:val="009F256D"/>
    <w:rsid w:val="009F2CA3"/>
    <w:rsid w:val="009F3325"/>
    <w:rsid w:val="009F341E"/>
    <w:rsid w:val="009F57CE"/>
    <w:rsid w:val="009F70F8"/>
    <w:rsid w:val="00A103BB"/>
    <w:rsid w:val="00A107E9"/>
    <w:rsid w:val="00A117CA"/>
    <w:rsid w:val="00A12225"/>
    <w:rsid w:val="00A14C18"/>
    <w:rsid w:val="00A14F36"/>
    <w:rsid w:val="00A16B03"/>
    <w:rsid w:val="00A16EDB"/>
    <w:rsid w:val="00A25045"/>
    <w:rsid w:val="00A25898"/>
    <w:rsid w:val="00A27BFE"/>
    <w:rsid w:val="00A3071D"/>
    <w:rsid w:val="00A31470"/>
    <w:rsid w:val="00A3182E"/>
    <w:rsid w:val="00A31A89"/>
    <w:rsid w:val="00A32F06"/>
    <w:rsid w:val="00A33700"/>
    <w:rsid w:val="00A34934"/>
    <w:rsid w:val="00A34EFE"/>
    <w:rsid w:val="00A36546"/>
    <w:rsid w:val="00A4069C"/>
    <w:rsid w:val="00A413B5"/>
    <w:rsid w:val="00A429CB"/>
    <w:rsid w:val="00A437B9"/>
    <w:rsid w:val="00A440AE"/>
    <w:rsid w:val="00A44E87"/>
    <w:rsid w:val="00A44FA0"/>
    <w:rsid w:val="00A5063C"/>
    <w:rsid w:val="00A52749"/>
    <w:rsid w:val="00A5422E"/>
    <w:rsid w:val="00A56EC1"/>
    <w:rsid w:val="00A625F4"/>
    <w:rsid w:val="00A6350C"/>
    <w:rsid w:val="00A6370B"/>
    <w:rsid w:val="00A63A73"/>
    <w:rsid w:val="00A6655C"/>
    <w:rsid w:val="00A66CBB"/>
    <w:rsid w:val="00A6704E"/>
    <w:rsid w:val="00A67EA4"/>
    <w:rsid w:val="00A70EE7"/>
    <w:rsid w:val="00A71C8C"/>
    <w:rsid w:val="00A764E2"/>
    <w:rsid w:val="00A773FF"/>
    <w:rsid w:val="00A83AA1"/>
    <w:rsid w:val="00A8576A"/>
    <w:rsid w:val="00A906F4"/>
    <w:rsid w:val="00A9343A"/>
    <w:rsid w:val="00A940D9"/>
    <w:rsid w:val="00A9706C"/>
    <w:rsid w:val="00A97B34"/>
    <w:rsid w:val="00AA1B5C"/>
    <w:rsid w:val="00AA44F7"/>
    <w:rsid w:val="00AA7A27"/>
    <w:rsid w:val="00AB18F3"/>
    <w:rsid w:val="00AB3FB0"/>
    <w:rsid w:val="00AB465D"/>
    <w:rsid w:val="00AB6268"/>
    <w:rsid w:val="00AB713D"/>
    <w:rsid w:val="00AC0241"/>
    <w:rsid w:val="00AC114C"/>
    <w:rsid w:val="00AC1478"/>
    <w:rsid w:val="00AC1726"/>
    <w:rsid w:val="00AC3746"/>
    <w:rsid w:val="00AC5128"/>
    <w:rsid w:val="00AC5BAC"/>
    <w:rsid w:val="00AC6C2D"/>
    <w:rsid w:val="00AC6E17"/>
    <w:rsid w:val="00AC723B"/>
    <w:rsid w:val="00AD2FF3"/>
    <w:rsid w:val="00AD58A0"/>
    <w:rsid w:val="00AD7764"/>
    <w:rsid w:val="00AD7FE2"/>
    <w:rsid w:val="00AE1284"/>
    <w:rsid w:val="00AE1B18"/>
    <w:rsid w:val="00AE33EF"/>
    <w:rsid w:val="00AE7339"/>
    <w:rsid w:val="00AE73DC"/>
    <w:rsid w:val="00AF1269"/>
    <w:rsid w:val="00AF1B0B"/>
    <w:rsid w:val="00AF242C"/>
    <w:rsid w:val="00AF367F"/>
    <w:rsid w:val="00AF3CC4"/>
    <w:rsid w:val="00B0103E"/>
    <w:rsid w:val="00B02142"/>
    <w:rsid w:val="00B05903"/>
    <w:rsid w:val="00B10E83"/>
    <w:rsid w:val="00B1163C"/>
    <w:rsid w:val="00B12C7A"/>
    <w:rsid w:val="00B12E10"/>
    <w:rsid w:val="00B13843"/>
    <w:rsid w:val="00B22BC3"/>
    <w:rsid w:val="00B22D14"/>
    <w:rsid w:val="00B25865"/>
    <w:rsid w:val="00B26D40"/>
    <w:rsid w:val="00B27150"/>
    <w:rsid w:val="00B272B6"/>
    <w:rsid w:val="00B2771B"/>
    <w:rsid w:val="00B325B3"/>
    <w:rsid w:val="00B336E9"/>
    <w:rsid w:val="00B33AE5"/>
    <w:rsid w:val="00B35BE5"/>
    <w:rsid w:val="00B46965"/>
    <w:rsid w:val="00B46D3D"/>
    <w:rsid w:val="00B47708"/>
    <w:rsid w:val="00B54ED0"/>
    <w:rsid w:val="00B55D47"/>
    <w:rsid w:val="00B57662"/>
    <w:rsid w:val="00B6204E"/>
    <w:rsid w:val="00B649EC"/>
    <w:rsid w:val="00B728DD"/>
    <w:rsid w:val="00B72D43"/>
    <w:rsid w:val="00B74121"/>
    <w:rsid w:val="00B74D4F"/>
    <w:rsid w:val="00B80ABA"/>
    <w:rsid w:val="00B81DFC"/>
    <w:rsid w:val="00B859FF"/>
    <w:rsid w:val="00B85C1B"/>
    <w:rsid w:val="00B85FF0"/>
    <w:rsid w:val="00B86150"/>
    <w:rsid w:val="00B878F9"/>
    <w:rsid w:val="00B9044A"/>
    <w:rsid w:val="00B929DA"/>
    <w:rsid w:val="00B93341"/>
    <w:rsid w:val="00B960F3"/>
    <w:rsid w:val="00B96A31"/>
    <w:rsid w:val="00BA05E6"/>
    <w:rsid w:val="00BA45CB"/>
    <w:rsid w:val="00BA4626"/>
    <w:rsid w:val="00BA51B0"/>
    <w:rsid w:val="00BA6319"/>
    <w:rsid w:val="00BB173C"/>
    <w:rsid w:val="00BB58F6"/>
    <w:rsid w:val="00BC03B0"/>
    <w:rsid w:val="00BC06A3"/>
    <w:rsid w:val="00BC0CEA"/>
    <w:rsid w:val="00BC2220"/>
    <w:rsid w:val="00BC26B9"/>
    <w:rsid w:val="00BC26FA"/>
    <w:rsid w:val="00BC4E01"/>
    <w:rsid w:val="00BC73F6"/>
    <w:rsid w:val="00BD1177"/>
    <w:rsid w:val="00BD1374"/>
    <w:rsid w:val="00BD3531"/>
    <w:rsid w:val="00BD4E35"/>
    <w:rsid w:val="00BD5A5F"/>
    <w:rsid w:val="00BD5E8B"/>
    <w:rsid w:val="00BE34CA"/>
    <w:rsid w:val="00BF116A"/>
    <w:rsid w:val="00BF18F6"/>
    <w:rsid w:val="00BF2E46"/>
    <w:rsid w:val="00BF58CA"/>
    <w:rsid w:val="00BF77BC"/>
    <w:rsid w:val="00C013F5"/>
    <w:rsid w:val="00C02058"/>
    <w:rsid w:val="00C052D9"/>
    <w:rsid w:val="00C05743"/>
    <w:rsid w:val="00C0623C"/>
    <w:rsid w:val="00C06A07"/>
    <w:rsid w:val="00C07E3E"/>
    <w:rsid w:val="00C119E8"/>
    <w:rsid w:val="00C132B6"/>
    <w:rsid w:val="00C20FA9"/>
    <w:rsid w:val="00C21A6C"/>
    <w:rsid w:val="00C21B88"/>
    <w:rsid w:val="00C22CAE"/>
    <w:rsid w:val="00C236CA"/>
    <w:rsid w:val="00C24A10"/>
    <w:rsid w:val="00C27003"/>
    <w:rsid w:val="00C27597"/>
    <w:rsid w:val="00C27617"/>
    <w:rsid w:val="00C32BD4"/>
    <w:rsid w:val="00C33E48"/>
    <w:rsid w:val="00C3618B"/>
    <w:rsid w:val="00C403FB"/>
    <w:rsid w:val="00C4316E"/>
    <w:rsid w:val="00C441A2"/>
    <w:rsid w:val="00C5076B"/>
    <w:rsid w:val="00C50931"/>
    <w:rsid w:val="00C512D4"/>
    <w:rsid w:val="00C51A93"/>
    <w:rsid w:val="00C51CF4"/>
    <w:rsid w:val="00C531E2"/>
    <w:rsid w:val="00C53204"/>
    <w:rsid w:val="00C53849"/>
    <w:rsid w:val="00C572ED"/>
    <w:rsid w:val="00C57E34"/>
    <w:rsid w:val="00C612F7"/>
    <w:rsid w:val="00C61574"/>
    <w:rsid w:val="00C64659"/>
    <w:rsid w:val="00C65FEA"/>
    <w:rsid w:val="00C662E9"/>
    <w:rsid w:val="00C66C2D"/>
    <w:rsid w:val="00C7190B"/>
    <w:rsid w:val="00C76852"/>
    <w:rsid w:val="00C77210"/>
    <w:rsid w:val="00C777FA"/>
    <w:rsid w:val="00C77989"/>
    <w:rsid w:val="00C811F4"/>
    <w:rsid w:val="00C81E51"/>
    <w:rsid w:val="00C8244F"/>
    <w:rsid w:val="00C87B73"/>
    <w:rsid w:val="00C900D2"/>
    <w:rsid w:val="00C90D54"/>
    <w:rsid w:val="00C92444"/>
    <w:rsid w:val="00C92712"/>
    <w:rsid w:val="00C92FBB"/>
    <w:rsid w:val="00C93327"/>
    <w:rsid w:val="00C97B4D"/>
    <w:rsid w:val="00C97EBD"/>
    <w:rsid w:val="00CA5602"/>
    <w:rsid w:val="00CA5CA9"/>
    <w:rsid w:val="00CA78E2"/>
    <w:rsid w:val="00CB1BBE"/>
    <w:rsid w:val="00CB65DB"/>
    <w:rsid w:val="00CB6BD9"/>
    <w:rsid w:val="00CB7E72"/>
    <w:rsid w:val="00CC24FE"/>
    <w:rsid w:val="00CC293A"/>
    <w:rsid w:val="00CC307D"/>
    <w:rsid w:val="00CC3C0E"/>
    <w:rsid w:val="00CC7D0D"/>
    <w:rsid w:val="00CD1BB9"/>
    <w:rsid w:val="00CE0E96"/>
    <w:rsid w:val="00CE19F6"/>
    <w:rsid w:val="00CE6B76"/>
    <w:rsid w:val="00CE7D3C"/>
    <w:rsid w:val="00CF366B"/>
    <w:rsid w:val="00CF5D9D"/>
    <w:rsid w:val="00CF606C"/>
    <w:rsid w:val="00CF7423"/>
    <w:rsid w:val="00D001F5"/>
    <w:rsid w:val="00D03E80"/>
    <w:rsid w:val="00D05066"/>
    <w:rsid w:val="00D07B52"/>
    <w:rsid w:val="00D1505F"/>
    <w:rsid w:val="00D15B9F"/>
    <w:rsid w:val="00D15DD6"/>
    <w:rsid w:val="00D25548"/>
    <w:rsid w:val="00D2601F"/>
    <w:rsid w:val="00D27759"/>
    <w:rsid w:val="00D30028"/>
    <w:rsid w:val="00D325D3"/>
    <w:rsid w:val="00D339F4"/>
    <w:rsid w:val="00D408D6"/>
    <w:rsid w:val="00D46C82"/>
    <w:rsid w:val="00D511DD"/>
    <w:rsid w:val="00D51EE3"/>
    <w:rsid w:val="00D54E9C"/>
    <w:rsid w:val="00D55C2A"/>
    <w:rsid w:val="00D564A2"/>
    <w:rsid w:val="00D571C1"/>
    <w:rsid w:val="00D602F4"/>
    <w:rsid w:val="00D628BD"/>
    <w:rsid w:val="00D6457E"/>
    <w:rsid w:val="00D64FB1"/>
    <w:rsid w:val="00D656CD"/>
    <w:rsid w:val="00D6604A"/>
    <w:rsid w:val="00D70898"/>
    <w:rsid w:val="00D742E2"/>
    <w:rsid w:val="00D7580E"/>
    <w:rsid w:val="00D824D9"/>
    <w:rsid w:val="00D84397"/>
    <w:rsid w:val="00D855EC"/>
    <w:rsid w:val="00D87698"/>
    <w:rsid w:val="00D87DAF"/>
    <w:rsid w:val="00D9124A"/>
    <w:rsid w:val="00D92C75"/>
    <w:rsid w:val="00D9446D"/>
    <w:rsid w:val="00D957DD"/>
    <w:rsid w:val="00DA2994"/>
    <w:rsid w:val="00DA38E1"/>
    <w:rsid w:val="00DB01DA"/>
    <w:rsid w:val="00DB020F"/>
    <w:rsid w:val="00DB08E8"/>
    <w:rsid w:val="00DB0DED"/>
    <w:rsid w:val="00DB22ED"/>
    <w:rsid w:val="00DB2650"/>
    <w:rsid w:val="00DB3073"/>
    <w:rsid w:val="00DB3BA9"/>
    <w:rsid w:val="00DB50FE"/>
    <w:rsid w:val="00DB5EDA"/>
    <w:rsid w:val="00DC2349"/>
    <w:rsid w:val="00DC2624"/>
    <w:rsid w:val="00DC2DEC"/>
    <w:rsid w:val="00DC3026"/>
    <w:rsid w:val="00DC35C8"/>
    <w:rsid w:val="00DC36B6"/>
    <w:rsid w:val="00DC5C34"/>
    <w:rsid w:val="00DD1EDB"/>
    <w:rsid w:val="00DD57AA"/>
    <w:rsid w:val="00DE1578"/>
    <w:rsid w:val="00DE5ED8"/>
    <w:rsid w:val="00DE683C"/>
    <w:rsid w:val="00DE7F67"/>
    <w:rsid w:val="00DF0529"/>
    <w:rsid w:val="00DF09EF"/>
    <w:rsid w:val="00DF0D0F"/>
    <w:rsid w:val="00DF13D6"/>
    <w:rsid w:val="00DF27D6"/>
    <w:rsid w:val="00DF2BEA"/>
    <w:rsid w:val="00DF4488"/>
    <w:rsid w:val="00DF5B98"/>
    <w:rsid w:val="00DF6FA8"/>
    <w:rsid w:val="00DF701E"/>
    <w:rsid w:val="00DF7BE5"/>
    <w:rsid w:val="00E002E7"/>
    <w:rsid w:val="00E00D49"/>
    <w:rsid w:val="00E019A8"/>
    <w:rsid w:val="00E03A46"/>
    <w:rsid w:val="00E03C6D"/>
    <w:rsid w:val="00E0476F"/>
    <w:rsid w:val="00E04899"/>
    <w:rsid w:val="00E06234"/>
    <w:rsid w:val="00E0796F"/>
    <w:rsid w:val="00E10948"/>
    <w:rsid w:val="00E213F1"/>
    <w:rsid w:val="00E24371"/>
    <w:rsid w:val="00E243AB"/>
    <w:rsid w:val="00E26641"/>
    <w:rsid w:val="00E2778F"/>
    <w:rsid w:val="00E278B0"/>
    <w:rsid w:val="00E27F70"/>
    <w:rsid w:val="00E32251"/>
    <w:rsid w:val="00E33023"/>
    <w:rsid w:val="00E331F3"/>
    <w:rsid w:val="00E3498D"/>
    <w:rsid w:val="00E42425"/>
    <w:rsid w:val="00E42590"/>
    <w:rsid w:val="00E43E55"/>
    <w:rsid w:val="00E4554E"/>
    <w:rsid w:val="00E46D22"/>
    <w:rsid w:val="00E4768F"/>
    <w:rsid w:val="00E522BF"/>
    <w:rsid w:val="00E53C0E"/>
    <w:rsid w:val="00E54F7E"/>
    <w:rsid w:val="00E560CE"/>
    <w:rsid w:val="00E564C7"/>
    <w:rsid w:val="00E5674E"/>
    <w:rsid w:val="00E57D90"/>
    <w:rsid w:val="00E61748"/>
    <w:rsid w:val="00E63783"/>
    <w:rsid w:val="00E64E93"/>
    <w:rsid w:val="00E650E2"/>
    <w:rsid w:val="00E6547E"/>
    <w:rsid w:val="00E671B9"/>
    <w:rsid w:val="00E6758B"/>
    <w:rsid w:val="00E75CAD"/>
    <w:rsid w:val="00E75FD9"/>
    <w:rsid w:val="00E76922"/>
    <w:rsid w:val="00E83E64"/>
    <w:rsid w:val="00E8595B"/>
    <w:rsid w:val="00E86241"/>
    <w:rsid w:val="00E87A21"/>
    <w:rsid w:val="00E87C6B"/>
    <w:rsid w:val="00E915EC"/>
    <w:rsid w:val="00E9423F"/>
    <w:rsid w:val="00E951E4"/>
    <w:rsid w:val="00E96EA4"/>
    <w:rsid w:val="00EA11B1"/>
    <w:rsid w:val="00EA2224"/>
    <w:rsid w:val="00EA333C"/>
    <w:rsid w:val="00EA6B1F"/>
    <w:rsid w:val="00EA7194"/>
    <w:rsid w:val="00EB1329"/>
    <w:rsid w:val="00EB2987"/>
    <w:rsid w:val="00EB2D75"/>
    <w:rsid w:val="00EB34BE"/>
    <w:rsid w:val="00EB4199"/>
    <w:rsid w:val="00EB50AA"/>
    <w:rsid w:val="00EB571A"/>
    <w:rsid w:val="00EB5AC0"/>
    <w:rsid w:val="00EC2804"/>
    <w:rsid w:val="00EC3AC4"/>
    <w:rsid w:val="00EC5590"/>
    <w:rsid w:val="00EC6117"/>
    <w:rsid w:val="00EC6138"/>
    <w:rsid w:val="00ED1DCF"/>
    <w:rsid w:val="00ED3AD5"/>
    <w:rsid w:val="00ED43C9"/>
    <w:rsid w:val="00ED45D6"/>
    <w:rsid w:val="00ED65D8"/>
    <w:rsid w:val="00EE2C60"/>
    <w:rsid w:val="00EE2E58"/>
    <w:rsid w:val="00EE487A"/>
    <w:rsid w:val="00EE734C"/>
    <w:rsid w:val="00EF1BC7"/>
    <w:rsid w:val="00EF43F8"/>
    <w:rsid w:val="00EF5DC5"/>
    <w:rsid w:val="00EF6907"/>
    <w:rsid w:val="00EF6D91"/>
    <w:rsid w:val="00F01F54"/>
    <w:rsid w:val="00F041D7"/>
    <w:rsid w:val="00F04D4D"/>
    <w:rsid w:val="00F11DD8"/>
    <w:rsid w:val="00F12745"/>
    <w:rsid w:val="00F133A0"/>
    <w:rsid w:val="00F13634"/>
    <w:rsid w:val="00F13766"/>
    <w:rsid w:val="00F20A77"/>
    <w:rsid w:val="00F22C60"/>
    <w:rsid w:val="00F231A4"/>
    <w:rsid w:val="00F23252"/>
    <w:rsid w:val="00F27813"/>
    <w:rsid w:val="00F27B2A"/>
    <w:rsid w:val="00F31762"/>
    <w:rsid w:val="00F345D3"/>
    <w:rsid w:val="00F356ED"/>
    <w:rsid w:val="00F359B5"/>
    <w:rsid w:val="00F368A0"/>
    <w:rsid w:val="00F4144F"/>
    <w:rsid w:val="00F433F3"/>
    <w:rsid w:val="00F47F64"/>
    <w:rsid w:val="00F50E49"/>
    <w:rsid w:val="00F522D9"/>
    <w:rsid w:val="00F52F54"/>
    <w:rsid w:val="00F53584"/>
    <w:rsid w:val="00F53658"/>
    <w:rsid w:val="00F61B24"/>
    <w:rsid w:val="00F62DE5"/>
    <w:rsid w:val="00F63F80"/>
    <w:rsid w:val="00F63F8A"/>
    <w:rsid w:val="00F6514E"/>
    <w:rsid w:val="00F6777A"/>
    <w:rsid w:val="00F703DC"/>
    <w:rsid w:val="00F71D06"/>
    <w:rsid w:val="00F73B46"/>
    <w:rsid w:val="00F73D01"/>
    <w:rsid w:val="00F7642B"/>
    <w:rsid w:val="00F76A43"/>
    <w:rsid w:val="00F80334"/>
    <w:rsid w:val="00F80D44"/>
    <w:rsid w:val="00F8139D"/>
    <w:rsid w:val="00F81419"/>
    <w:rsid w:val="00F83DF9"/>
    <w:rsid w:val="00F84EC4"/>
    <w:rsid w:val="00F85DA0"/>
    <w:rsid w:val="00F92BB2"/>
    <w:rsid w:val="00F930AF"/>
    <w:rsid w:val="00F9352C"/>
    <w:rsid w:val="00F975B0"/>
    <w:rsid w:val="00FA15F1"/>
    <w:rsid w:val="00FA19F5"/>
    <w:rsid w:val="00FA4A69"/>
    <w:rsid w:val="00FA649A"/>
    <w:rsid w:val="00FB1248"/>
    <w:rsid w:val="00FB1A4B"/>
    <w:rsid w:val="00FB208D"/>
    <w:rsid w:val="00FB3CF4"/>
    <w:rsid w:val="00FB4377"/>
    <w:rsid w:val="00FB4A27"/>
    <w:rsid w:val="00FB4A49"/>
    <w:rsid w:val="00FB69B3"/>
    <w:rsid w:val="00FB79BF"/>
    <w:rsid w:val="00FC296F"/>
    <w:rsid w:val="00FC6B22"/>
    <w:rsid w:val="00FC6FBE"/>
    <w:rsid w:val="00FD1162"/>
    <w:rsid w:val="00FD1AC3"/>
    <w:rsid w:val="00FD2232"/>
    <w:rsid w:val="00FD4AE7"/>
    <w:rsid w:val="00FD65A9"/>
    <w:rsid w:val="00FD7508"/>
    <w:rsid w:val="00FD775D"/>
    <w:rsid w:val="00FD7E62"/>
    <w:rsid w:val="00FE16B1"/>
    <w:rsid w:val="00FE1E51"/>
    <w:rsid w:val="00FE2496"/>
    <w:rsid w:val="00FE6A2B"/>
    <w:rsid w:val="00FF0275"/>
    <w:rsid w:val="00FF07B3"/>
    <w:rsid w:val="00FF1E37"/>
    <w:rsid w:val="021567F9"/>
    <w:rsid w:val="02F120AB"/>
    <w:rsid w:val="04C3537C"/>
    <w:rsid w:val="079004AC"/>
    <w:rsid w:val="08FA44AB"/>
    <w:rsid w:val="0BA148CA"/>
    <w:rsid w:val="0C1165C4"/>
    <w:rsid w:val="0DD136FE"/>
    <w:rsid w:val="0F8E2C57"/>
    <w:rsid w:val="1059665E"/>
    <w:rsid w:val="10AC13BA"/>
    <w:rsid w:val="11566F0F"/>
    <w:rsid w:val="11BB40A7"/>
    <w:rsid w:val="145A6C1B"/>
    <w:rsid w:val="167A2FF9"/>
    <w:rsid w:val="1AE7573C"/>
    <w:rsid w:val="1AEC0734"/>
    <w:rsid w:val="1BF7ACAF"/>
    <w:rsid w:val="1DEF20B0"/>
    <w:rsid w:val="1F3025BA"/>
    <w:rsid w:val="214243FA"/>
    <w:rsid w:val="21AD613C"/>
    <w:rsid w:val="257A14F5"/>
    <w:rsid w:val="27196C26"/>
    <w:rsid w:val="28FC02D5"/>
    <w:rsid w:val="29EF086F"/>
    <w:rsid w:val="2BFC3EB7"/>
    <w:rsid w:val="2E4D619F"/>
    <w:rsid w:val="2EFFE297"/>
    <w:rsid w:val="301437CA"/>
    <w:rsid w:val="349D1F0A"/>
    <w:rsid w:val="34DD0473"/>
    <w:rsid w:val="366B5955"/>
    <w:rsid w:val="37460B3B"/>
    <w:rsid w:val="3C684897"/>
    <w:rsid w:val="3EBD3DF3"/>
    <w:rsid w:val="425D428F"/>
    <w:rsid w:val="433E495C"/>
    <w:rsid w:val="489F2FD7"/>
    <w:rsid w:val="4AC27CB3"/>
    <w:rsid w:val="4BF72BEF"/>
    <w:rsid w:val="4BFA011B"/>
    <w:rsid w:val="4CBE2078"/>
    <w:rsid w:val="4FA90297"/>
    <w:rsid w:val="4FC41A43"/>
    <w:rsid w:val="51DB3C59"/>
    <w:rsid w:val="52F656AA"/>
    <w:rsid w:val="550C0952"/>
    <w:rsid w:val="55762E42"/>
    <w:rsid w:val="571FBEEF"/>
    <w:rsid w:val="57A7B272"/>
    <w:rsid w:val="58470068"/>
    <w:rsid w:val="58747CAC"/>
    <w:rsid w:val="5A1720F9"/>
    <w:rsid w:val="5B111481"/>
    <w:rsid w:val="5B9C37C2"/>
    <w:rsid w:val="5BA7C654"/>
    <w:rsid w:val="60A54109"/>
    <w:rsid w:val="61D01CDF"/>
    <w:rsid w:val="64C0607C"/>
    <w:rsid w:val="65756C86"/>
    <w:rsid w:val="673335DC"/>
    <w:rsid w:val="674D385B"/>
    <w:rsid w:val="676F09E1"/>
    <w:rsid w:val="67FFEE2D"/>
    <w:rsid w:val="6A173B78"/>
    <w:rsid w:val="6A421FE5"/>
    <w:rsid w:val="6CBB0E7E"/>
    <w:rsid w:val="6CFF7739"/>
    <w:rsid w:val="747FB7C8"/>
    <w:rsid w:val="75DBD105"/>
    <w:rsid w:val="798524E4"/>
    <w:rsid w:val="7A7F1C49"/>
    <w:rsid w:val="7B5B7AE6"/>
    <w:rsid w:val="7B7B6628"/>
    <w:rsid w:val="7BA7071E"/>
    <w:rsid w:val="7BDF6DA8"/>
    <w:rsid w:val="7BF9697D"/>
    <w:rsid w:val="7C26103C"/>
    <w:rsid w:val="7C7EDC1A"/>
    <w:rsid w:val="7CCED98D"/>
    <w:rsid w:val="7D08410F"/>
    <w:rsid w:val="7DADA56C"/>
    <w:rsid w:val="7DB96DED"/>
    <w:rsid w:val="7DD3AD81"/>
    <w:rsid w:val="7DD7653B"/>
    <w:rsid w:val="7EBFF7F0"/>
    <w:rsid w:val="7F7FE70F"/>
    <w:rsid w:val="7FAFC612"/>
    <w:rsid w:val="7FE3327D"/>
    <w:rsid w:val="7FFF772F"/>
    <w:rsid w:val="95F35EF6"/>
    <w:rsid w:val="9BFFD860"/>
    <w:rsid w:val="AC5F73DE"/>
    <w:rsid w:val="AFFF5479"/>
    <w:rsid w:val="B5DDD2C8"/>
    <w:rsid w:val="B9DFABD9"/>
    <w:rsid w:val="BB3CB3C4"/>
    <w:rsid w:val="BC0D83FC"/>
    <w:rsid w:val="BF3BDEFB"/>
    <w:rsid w:val="C75F6086"/>
    <w:rsid w:val="C7F7ED2D"/>
    <w:rsid w:val="CFAF854E"/>
    <w:rsid w:val="D8D7928E"/>
    <w:rsid w:val="D8FE3136"/>
    <w:rsid w:val="DDDE60B7"/>
    <w:rsid w:val="DE9F6A22"/>
    <w:rsid w:val="DF4FCE6A"/>
    <w:rsid w:val="E4FED278"/>
    <w:rsid w:val="E9F5EC41"/>
    <w:rsid w:val="EDAA365C"/>
    <w:rsid w:val="EDADFC12"/>
    <w:rsid w:val="F2FD229B"/>
    <w:rsid w:val="F36C5521"/>
    <w:rsid w:val="F535A059"/>
    <w:rsid w:val="F5AF8BF0"/>
    <w:rsid w:val="F7F709E9"/>
    <w:rsid w:val="F7FF3690"/>
    <w:rsid w:val="F9BD3900"/>
    <w:rsid w:val="FBEB605E"/>
    <w:rsid w:val="FC8B9876"/>
    <w:rsid w:val="FEDFF218"/>
    <w:rsid w:val="FEDFFFFF"/>
    <w:rsid w:val="FEE011F4"/>
    <w:rsid w:val="FFC7571C"/>
    <w:rsid w:val="FFF7F9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75" w:afterAutospacing="1" w:line="560" w:lineRule="exact"/>
      <w:jc w:val="center"/>
      <w:textAlignment w:val="center"/>
      <w:outlineLvl w:val="0"/>
    </w:pPr>
    <w:rPr>
      <w:rFonts w:hint="eastAsia" w:ascii="黑体" w:hAnsi="黑体" w:eastAsia="黑体" w:cs="黑体"/>
      <w:color w:val="000000" w:themeColor="text1"/>
      <w:kern w:val="44"/>
      <w:sz w:val="32"/>
      <w:szCs w:val="32"/>
      <w:lang w:bidi="ar"/>
    </w:rPr>
  </w:style>
  <w:style w:type="paragraph" w:styleId="3">
    <w:name w:val="heading 2"/>
    <w:basedOn w:val="1"/>
    <w:next w:val="1"/>
    <w:qFormat/>
    <w:uiPriority w:val="0"/>
    <w:pPr>
      <w:keepNext/>
      <w:keepLines/>
      <w:spacing w:before="100" w:beforeAutospacing="1" w:after="100" w:afterAutospacing="1"/>
      <w:outlineLvl w:val="1"/>
    </w:pPr>
    <w:rPr>
      <w:rFonts w:ascii="Cambria" w:hAnsi="Cambria" w:eastAsia="黑体"/>
      <w:b/>
      <w:bCs/>
      <w:kern w:val="0"/>
      <w:sz w:val="36"/>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ind w:firstLine="200" w:firstLineChars="200"/>
    </w:pPr>
  </w:style>
  <w:style w:type="paragraph" w:styleId="5">
    <w:name w:val="Body Text"/>
    <w:basedOn w:val="1"/>
    <w:link w:val="23"/>
    <w:qFormat/>
    <w:uiPriority w:val="0"/>
    <w:pPr>
      <w:spacing w:after="120"/>
    </w:pPr>
  </w:style>
  <w:style w:type="paragraph" w:styleId="6">
    <w:name w:val="Body Text Indent"/>
    <w:basedOn w:val="1"/>
    <w:qFormat/>
    <w:uiPriority w:val="0"/>
    <w:pPr>
      <w:ind w:firstLine="645"/>
    </w:pPr>
    <w:rPr>
      <w:rFonts w:ascii="仿宋_GB2312" w:hAnsi="Calibri" w:eastAsia="仿宋_GB2312"/>
      <w:sz w:val="32"/>
      <w:szCs w:val="32"/>
    </w:rPr>
  </w:style>
  <w:style w:type="paragraph" w:styleId="7">
    <w:name w:val="Date"/>
    <w:basedOn w:val="1"/>
    <w:next w:val="1"/>
    <w:qFormat/>
    <w:uiPriority w:val="0"/>
    <w:pPr>
      <w:ind w:left="100" w:leftChars="2500"/>
    </w:pPr>
  </w:style>
  <w:style w:type="paragraph" w:styleId="8">
    <w:name w:val="Balloon Text"/>
    <w:basedOn w:val="1"/>
    <w:semiHidden/>
    <w:qFormat/>
    <w:uiPriority w:val="0"/>
    <w:rPr>
      <w:sz w:val="18"/>
      <w:szCs w:val="18"/>
    </w:rPr>
  </w:style>
  <w:style w:type="paragraph" w:styleId="9">
    <w:name w:val="footer"/>
    <w:basedOn w:val="1"/>
    <w:link w:val="21"/>
    <w:qFormat/>
    <w:uiPriority w:val="0"/>
    <w:pPr>
      <w:tabs>
        <w:tab w:val="center" w:pos="4153"/>
        <w:tab w:val="right" w:pos="8306"/>
      </w:tabs>
      <w:snapToGrid w:val="0"/>
      <w:jc w:val="left"/>
    </w:pPr>
    <w:rPr>
      <w:sz w:val="18"/>
      <w:szCs w:val="18"/>
    </w:rPr>
  </w:style>
  <w:style w:type="paragraph" w:styleId="10">
    <w:name w:val="header"/>
    <w:basedOn w:val="1"/>
    <w:link w:val="22"/>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宋体"/>
      <w:kern w:val="0"/>
      <w:sz w:val="24"/>
    </w:rPr>
  </w:style>
  <w:style w:type="paragraph" w:styleId="12">
    <w:name w:val="Normal (Web)"/>
    <w:basedOn w:val="1"/>
    <w:unhideWhenUsed/>
    <w:qFormat/>
    <w:uiPriority w:val="0"/>
    <w:pPr>
      <w:spacing w:before="100" w:beforeAutospacing="1" w:after="100" w:afterAutospacing="1"/>
      <w:ind w:right="238"/>
      <w:jc w:val="left"/>
    </w:pPr>
    <w:rPr>
      <w:b/>
      <w:kern w:val="0"/>
      <w:sz w:val="24"/>
      <w:szCs w:val="20"/>
    </w:rPr>
  </w:style>
  <w:style w:type="character" w:styleId="15">
    <w:name w:val="Strong"/>
    <w:qFormat/>
    <w:uiPriority w:val="0"/>
    <w:rPr>
      <w:b/>
    </w:rPr>
  </w:style>
  <w:style w:type="character" w:styleId="16">
    <w:name w:val="page number"/>
    <w:qFormat/>
    <w:uiPriority w:val="0"/>
  </w:style>
  <w:style w:type="paragraph" w:customStyle="1" w:styleId="17">
    <w:name w:val="Char Char Char Char Char Char Char"/>
    <w:basedOn w:val="1"/>
    <w:qFormat/>
    <w:uiPriority w:val="0"/>
    <w:rPr>
      <w:rFonts w:ascii="Tahoma" w:hAnsi="Tahoma"/>
      <w:sz w:val="24"/>
      <w:szCs w:val="20"/>
    </w:rPr>
  </w:style>
  <w:style w:type="paragraph" w:customStyle="1" w:styleId="18">
    <w:name w:val="Char1 Char Char Char"/>
    <w:basedOn w:val="1"/>
    <w:qFormat/>
    <w:uiPriority w:val="0"/>
    <w:pPr>
      <w:widowControl/>
      <w:spacing w:after="160" w:line="240" w:lineRule="exact"/>
      <w:jc w:val="left"/>
    </w:pPr>
    <w:rPr>
      <w:szCs w:val="20"/>
    </w:rPr>
  </w:style>
  <w:style w:type="paragraph" w:customStyle="1" w:styleId="19">
    <w:name w:val="Char"/>
    <w:basedOn w:val="1"/>
    <w:qFormat/>
    <w:uiPriority w:val="0"/>
    <w:rPr>
      <w:rFonts w:ascii="Tahoma" w:hAnsi="Tahoma"/>
      <w:sz w:val="24"/>
      <w:szCs w:val="20"/>
    </w:rPr>
  </w:style>
  <w:style w:type="paragraph" w:customStyle="1" w:styleId="20">
    <w:name w:val="Char Char3 Char Char"/>
    <w:basedOn w:val="1"/>
    <w:qFormat/>
    <w:uiPriority w:val="0"/>
    <w:rPr>
      <w:szCs w:val="21"/>
    </w:rPr>
  </w:style>
  <w:style w:type="character" w:customStyle="1" w:styleId="21">
    <w:name w:val="页脚 Char"/>
    <w:link w:val="9"/>
    <w:qFormat/>
    <w:uiPriority w:val="0"/>
    <w:rPr>
      <w:rFonts w:eastAsia="宋体"/>
      <w:kern w:val="2"/>
      <w:sz w:val="18"/>
      <w:szCs w:val="18"/>
      <w:lang w:val="en-US" w:eastAsia="zh-CN" w:bidi="ar-SA"/>
    </w:rPr>
  </w:style>
  <w:style w:type="character" w:customStyle="1" w:styleId="22">
    <w:name w:val="页眉 Char"/>
    <w:link w:val="10"/>
    <w:qFormat/>
    <w:uiPriority w:val="0"/>
    <w:rPr>
      <w:rFonts w:ascii="Calibri" w:hAnsi="Calibri" w:eastAsia="宋体"/>
      <w:kern w:val="2"/>
      <w:sz w:val="18"/>
      <w:szCs w:val="18"/>
      <w:lang w:val="en-US" w:eastAsia="zh-CN" w:bidi="ar-SA"/>
    </w:rPr>
  </w:style>
  <w:style w:type="character" w:customStyle="1" w:styleId="23">
    <w:name w:val="正文文本 Char"/>
    <w:basedOn w:val="14"/>
    <w:link w:val="5"/>
    <w:qFormat/>
    <w:uiPriority w:val="0"/>
    <w:rPr>
      <w:kern w:val="2"/>
      <w:sz w:val="21"/>
      <w:szCs w:val="24"/>
    </w:rPr>
  </w:style>
  <w:style w:type="paragraph" w:customStyle="1" w:styleId="24">
    <w:name w:val="Body text|1"/>
    <w:basedOn w:val="1"/>
    <w:qFormat/>
    <w:uiPriority w:val="0"/>
    <w:pPr>
      <w:spacing w:line="391" w:lineRule="auto"/>
      <w:ind w:firstLine="400"/>
    </w:pPr>
    <w:rPr>
      <w:rFonts w:ascii="宋体" w:hAnsi="宋体" w:cs="宋体"/>
      <w:sz w:val="30"/>
      <w:szCs w:val="30"/>
      <w:lang w:val="zh-TW" w:eastAsia="zh-TW" w:bidi="zh-TW"/>
    </w:rPr>
  </w:style>
  <w:style w:type="character" w:customStyle="1" w:styleId="25">
    <w:name w:val="font21"/>
    <w:basedOn w:val="14"/>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267</Pages>
  <Words>17435</Words>
  <Characters>99386</Characters>
  <Lines>828</Lines>
  <Paragraphs>233</Paragraphs>
  <TotalTime>24</TotalTime>
  <ScaleCrop>false</ScaleCrop>
  <LinksUpToDate>false</LinksUpToDate>
  <CharactersWithSpaces>116588</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2017-07-12T23:16:00Z</dcterms:created>
  <dc:creator>常程</dc:creator>
  <cp:lastModifiedBy>Lyr</cp:lastModifiedBy>
  <cp:lastPrinted>2020-08-08T19:39:00Z</cp:lastPrinted>
  <dcterms:modified xsi:type="dcterms:W3CDTF">2025-08-05T06:22:54Z</dcterms:modified>
  <dc:title>北京市财政局关于做好向市人大常委会报送2015年度市级部门决算（草案）</dc:title>
  <cp:revision>515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435078ACFECC4A5A8A519EF4C3681114_13</vt:lpwstr>
  </property>
  <property fmtid="{D5CDD505-2E9C-101B-9397-08002B2CF9AE}" pid="4" name="KSOTemplateDocerSaveRecord">
    <vt:lpwstr>eyJoZGlkIjoiMzFhMDlmODM4NDM3ZTUzZTJhOWRjZWIxNmVkMjQxNTMiLCJ1c2VySWQiOiIxMTQwMjc4MDE0In0=</vt:lpwstr>
  </property>
</Properties>
</file>