
<file path=[Content_Types].xml><?xml version="1.0" encoding="utf-8"?>
<Types xmlns="http://schemas.openxmlformats.org/package/2006/content-types">
  <Default Extension="xml" ContentType="application/xml"/>
  <Default Extension="xls" ContentType="application/vnd.ms-excel"/>
  <Default Extension="xlsx" ContentType="application/vnd.openxmlformats-officedocument.spreadsheetml.shee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A78EE9">
      <w:pPr>
        <w:jc w:val="center"/>
        <w:rPr>
          <w:rFonts w:ascii="仿宋_GB2312" w:eastAsia="仿宋_GB2312"/>
          <w:b/>
          <w:sz w:val="32"/>
          <w:szCs w:val="32"/>
        </w:rPr>
      </w:pPr>
    </w:p>
    <w:p w14:paraId="54C4F743">
      <w:pPr>
        <w:jc w:val="center"/>
        <w:rPr>
          <w:rFonts w:ascii="黑体" w:eastAsia="黑体"/>
          <w:sz w:val="72"/>
          <w:szCs w:val="72"/>
        </w:rPr>
      </w:pPr>
    </w:p>
    <w:p w14:paraId="1C9522FB">
      <w:pPr>
        <w:jc w:val="center"/>
        <w:rPr>
          <w:rFonts w:ascii="黑体" w:eastAsia="黑体"/>
          <w:sz w:val="72"/>
          <w:szCs w:val="72"/>
        </w:rPr>
      </w:pPr>
    </w:p>
    <w:p w14:paraId="0D5DD10C">
      <w:pPr>
        <w:jc w:val="center"/>
        <w:rPr>
          <w:rFonts w:ascii="黑体" w:eastAsia="黑体"/>
          <w:sz w:val="72"/>
          <w:szCs w:val="72"/>
        </w:rPr>
      </w:pPr>
    </w:p>
    <w:p w14:paraId="5044E639">
      <w:pPr>
        <w:jc w:val="center"/>
        <w:rPr>
          <w:rFonts w:ascii="黑体" w:eastAsia="黑体"/>
          <w:sz w:val="72"/>
          <w:szCs w:val="72"/>
        </w:rPr>
      </w:pPr>
      <w:r>
        <w:rPr>
          <w:rFonts w:hint="eastAsia" w:ascii="黑体" w:eastAsia="黑体"/>
          <w:sz w:val="72"/>
          <w:szCs w:val="72"/>
        </w:rPr>
        <w:t>北京市密云区水务局西田各庄水务站</w:t>
      </w:r>
    </w:p>
    <w:p w14:paraId="19020D55">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14:paraId="1C3D743C">
      <w:pPr>
        <w:jc w:val="center"/>
        <w:rPr>
          <w:rFonts w:ascii="黑体" w:eastAsia="黑体"/>
          <w:sz w:val="52"/>
          <w:szCs w:val="52"/>
        </w:rPr>
      </w:pPr>
    </w:p>
    <w:p w14:paraId="74D3ABF5">
      <w:pPr>
        <w:jc w:val="center"/>
        <w:rPr>
          <w:rFonts w:ascii="黑体" w:eastAsia="黑体"/>
          <w:sz w:val="52"/>
          <w:szCs w:val="52"/>
        </w:rPr>
      </w:pPr>
    </w:p>
    <w:p w14:paraId="408C84DC">
      <w:pPr>
        <w:jc w:val="center"/>
        <w:rPr>
          <w:rFonts w:ascii="黑体" w:eastAsia="黑体"/>
          <w:sz w:val="52"/>
          <w:szCs w:val="52"/>
        </w:rPr>
      </w:pPr>
    </w:p>
    <w:p w14:paraId="3252373F">
      <w:pPr>
        <w:jc w:val="center"/>
        <w:rPr>
          <w:rFonts w:ascii="黑体" w:eastAsia="黑体"/>
          <w:sz w:val="52"/>
          <w:szCs w:val="52"/>
        </w:rPr>
      </w:pPr>
    </w:p>
    <w:p w14:paraId="18270E43">
      <w:pPr>
        <w:jc w:val="center"/>
        <w:rPr>
          <w:rFonts w:ascii="黑体" w:eastAsia="黑体"/>
          <w:sz w:val="32"/>
          <w:szCs w:val="32"/>
        </w:rPr>
      </w:pPr>
    </w:p>
    <w:p w14:paraId="404152F2">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2ACC7F3">
      <w:pPr>
        <w:spacing w:line="500" w:lineRule="exact"/>
        <w:ind w:firstLine="645"/>
        <w:jc w:val="center"/>
        <w:rPr>
          <w:rFonts w:ascii="宋体" w:hAnsi="宋体" w:cs="宋体"/>
          <w:b/>
          <w:bCs/>
          <w:kern w:val="0"/>
          <w:sz w:val="36"/>
          <w:szCs w:val="36"/>
        </w:rPr>
      </w:pPr>
    </w:p>
    <w:p w14:paraId="5885BCDD">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14:paraId="4BB8BD77">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4413A6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7E86575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3A0FCE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09926F2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15DBBE4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3835FAB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4FD04DF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BA58E2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5463841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5E16853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3098D9A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2EA2ABD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0B9F53A7">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14:paraId="036EB365">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14:paraId="00C64C40">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14:paraId="659D6E93">
      <w:pPr>
        <w:tabs>
          <w:tab w:val="center" w:pos="6979"/>
        </w:tabs>
        <w:spacing w:before="156" w:beforeLines="50" w:after="156" w:afterLines="50"/>
        <w:jc w:val="center"/>
        <w:rPr>
          <w:rFonts w:ascii="宋体" w:hAnsi="宋体" w:cs="宋体"/>
          <w:b/>
          <w:bCs/>
          <w:spacing w:val="40"/>
          <w:kern w:val="0"/>
          <w:sz w:val="32"/>
          <w:szCs w:val="32"/>
        </w:rPr>
      </w:pPr>
    </w:p>
    <w:p w14:paraId="17C53691">
      <w:pPr>
        <w:tabs>
          <w:tab w:val="center" w:pos="6979"/>
        </w:tabs>
        <w:spacing w:before="156" w:beforeLines="50" w:after="156" w:afterLines="50"/>
        <w:jc w:val="center"/>
        <w:rPr>
          <w:rFonts w:ascii="宋体" w:hAnsi="宋体" w:cs="宋体"/>
          <w:b/>
          <w:bCs/>
          <w:spacing w:val="40"/>
          <w:kern w:val="0"/>
          <w:sz w:val="32"/>
          <w:szCs w:val="32"/>
        </w:rPr>
      </w:pPr>
    </w:p>
    <w:p w14:paraId="148B532D">
      <w:pPr>
        <w:tabs>
          <w:tab w:val="center" w:pos="6979"/>
        </w:tabs>
        <w:spacing w:before="156" w:beforeLines="50" w:after="156" w:afterLines="50"/>
        <w:jc w:val="center"/>
        <w:rPr>
          <w:rFonts w:ascii="宋体" w:hAnsi="宋体" w:cs="宋体"/>
          <w:b/>
          <w:bCs/>
          <w:spacing w:val="40"/>
          <w:kern w:val="0"/>
          <w:sz w:val="32"/>
          <w:szCs w:val="32"/>
        </w:rPr>
      </w:pPr>
    </w:p>
    <w:p w14:paraId="393A7016">
      <w:pPr>
        <w:tabs>
          <w:tab w:val="center" w:pos="6979"/>
        </w:tabs>
        <w:spacing w:before="156" w:beforeLines="50" w:after="156" w:afterLines="50"/>
        <w:jc w:val="center"/>
        <w:rPr>
          <w:rFonts w:ascii="宋体" w:hAnsi="宋体" w:cs="宋体"/>
          <w:b/>
          <w:bCs/>
          <w:spacing w:val="40"/>
          <w:kern w:val="0"/>
          <w:sz w:val="32"/>
          <w:szCs w:val="32"/>
        </w:rPr>
      </w:pPr>
    </w:p>
    <w:p w14:paraId="308C854E">
      <w:pPr>
        <w:tabs>
          <w:tab w:val="center" w:pos="6979"/>
        </w:tabs>
        <w:spacing w:before="156" w:beforeLines="50" w:after="156" w:afterLines="50"/>
        <w:jc w:val="center"/>
        <w:rPr>
          <w:rFonts w:ascii="宋体" w:hAnsi="宋体" w:cs="宋体"/>
          <w:b/>
          <w:bCs/>
          <w:spacing w:val="40"/>
          <w:kern w:val="0"/>
          <w:sz w:val="32"/>
          <w:szCs w:val="32"/>
        </w:rPr>
      </w:pPr>
    </w:p>
    <w:p w14:paraId="531D7CC1">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32"/>
          <w:szCs w:val="32"/>
        </w:rPr>
        <w:t>第一部分 2023年度部门决算报表</w:t>
      </w:r>
    </w:p>
    <w:p w14:paraId="71CE66CD">
      <w:pPr>
        <w:tabs>
          <w:tab w:val="center" w:pos="6979"/>
        </w:tabs>
        <w:spacing w:before="156" w:beforeLines="50" w:after="156" w:afterLines="50"/>
        <w:jc w:val="center"/>
        <w:rPr>
          <w:rFonts w:ascii="宋体" w:hAnsi="宋体" w:cs="宋体"/>
          <w:b/>
          <w:bCs/>
          <w:spacing w:val="40"/>
          <w:kern w:val="0"/>
          <w:sz w:val="32"/>
          <w:szCs w:val="32"/>
        </w:rPr>
      </w:pPr>
    </w:p>
    <w:p w14:paraId="0EA12F05">
      <w:pPr>
        <w:pStyle w:val="2"/>
        <w:ind w:firstLine="420"/>
      </w:pPr>
    </w:p>
    <w:p w14:paraId="29C8F64C">
      <w:pPr>
        <w:pStyle w:val="2"/>
        <w:ind w:firstLine="420"/>
      </w:pPr>
    </w:p>
    <w:p w14:paraId="3E85D354">
      <w:pPr>
        <w:pStyle w:val="2"/>
        <w:ind w:firstLine="420"/>
      </w:pPr>
    </w:p>
    <w:p w14:paraId="72B537F4">
      <w:pPr>
        <w:pStyle w:val="2"/>
        <w:ind w:firstLine="420"/>
      </w:pPr>
    </w:p>
    <w:p w14:paraId="0005DBD4">
      <w:pPr>
        <w:pStyle w:val="2"/>
        <w:ind w:firstLine="420"/>
      </w:pPr>
    </w:p>
    <w:p w14:paraId="27C4914C">
      <w:pPr>
        <w:pStyle w:val="2"/>
        <w:ind w:firstLine="420"/>
      </w:pPr>
    </w:p>
    <w:p w14:paraId="0048BF30">
      <w:pPr>
        <w:pStyle w:val="2"/>
        <w:ind w:firstLine="420"/>
      </w:pPr>
    </w:p>
    <w:p w14:paraId="6C3958F4">
      <w:pPr>
        <w:pStyle w:val="2"/>
        <w:ind w:firstLine="420"/>
      </w:pPr>
    </w:p>
    <w:p w14:paraId="747D6CD3">
      <w:pPr>
        <w:pStyle w:val="2"/>
        <w:ind w:firstLine="420"/>
      </w:pPr>
    </w:p>
    <w:p w14:paraId="1A605553">
      <w:pPr>
        <w:pStyle w:val="2"/>
        <w:ind w:firstLine="420"/>
      </w:pPr>
    </w:p>
    <w:p w14:paraId="3301DCC6">
      <w:pPr>
        <w:pStyle w:val="2"/>
        <w:ind w:firstLine="420"/>
      </w:pPr>
    </w:p>
    <w:p w14:paraId="1152845C">
      <w:pPr>
        <w:pStyle w:val="2"/>
        <w:ind w:firstLine="420"/>
      </w:pPr>
    </w:p>
    <w:p w14:paraId="680CDE76">
      <w:pPr>
        <w:pStyle w:val="2"/>
        <w:ind w:firstLine="420"/>
      </w:pPr>
    </w:p>
    <w:p w14:paraId="43F20FC6">
      <w:pPr>
        <w:pStyle w:val="2"/>
        <w:ind w:firstLine="420"/>
      </w:pPr>
    </w:p>
    <w:p w14:paraId="607528F5">
      <w:pPr>
        <w:pStyle w:val="2"/>
        <w:ind w:firstLine="420"/>
      </w:pPr>
    </w:p>
    <w:p w14:paraId="45B8B700">
      <w:pPr>
        <w:pStyle w:val="2"/>
        <w:ind w:firstLine="420"/>
      </w:pPr>
      <w:r>
        <w:object>
          <v:shape id="_x0000_i1025" o:spt="75" type="#_x0000_t75" style="height:554.25pt;width:722.25pt;" o:ole="t" filled="f" o:preferrelative="t" stroked="f" coordsize="21600,21600">
            <v:path/>
            <v:fill on="f" focussize="0,0"/>
            <v:stroke on="f" joinstyle="miter"/>
            <v:imagedata r:id="rId7" o:title=""/>
            <o:lock v:ext="edit" aspectratio="t"/>
            <w10:wrap type="none"/>
            <w10:anchorlock/>
          </v:shape>
          <o:OLEObject Type="Embed" ProgID="Excel.Sheet.8" ShapeID="_x0000_i1025" DrawAspect="Content" ObjectID="_1468075725" r:id="rId6">
            <o:LockedField>false</o:LockedField>
          </o:OLEObject>
        </w:object>
      </w:r>
    </w:p>
    <w:p w14:paraId="71CF2E75">
      <w:pPr>
        <w:tabs>
          <w:tab w:val="center" w:pos="6979"/>
        </w:tabs>
        <w:spacing w:before="156" w:beforeLines="50" w:after="156" w:afterLines="50"/>
        <w:jc w:val="center"/>
        <w:rPr>
          <w:rFonts w:ascii="宋体" w:hAnsi="宋体" w:cs="宋体"/>
          <w:b/>
          <w:bCs/>
          <w:spacing w:val="40"/>
          <w:kern w:val="0"/>
          <w:sz w:val="32"/>
          <w:szCs w:val="32"/>
        </w:rPr>
      </w:pPr>
      <w:r>
        <w:rPr>
          <w:rFonts w:ascii="宋体" w:hAnsi="宋体" w:cs="宋体"/>
          <w:b/>
          <w:bCs/>
          <w:spacing w:val="40"/>
          <w:kern w:val="0"/>
          <w:sz w:val="32"/>
          <w:szCs w:val="32"/>
        </w:rPr>
        <w:object>
          <v:shape id="_x0000_i1026" o:spt="75" type="#_x0000_t75" style="height:444pt;width:756pt;" o:ole="t" filled="f" o:preferrelative="t" stroked="f" coordsize="21600,21600">
            <v:path/>
            <v:fill on="f" focussize="0,0"/>
            <v:stroke on="f" joinstyle="miter"/>
            <v:imagedata r:id="rId9" o:title=""/>
            <o:lock v:ext="edit" aspectratio="t"/>
            <w10:wrap type="none"/>
            <w10:anchorlock/>
          </v:shape>
          <o:OLEObject Type="Embed" ProgID="Excel.Sheet.8" ShapeID="_x0000_i1026" DrawAspect="Content" ObjectID="_1468075726" r:id="rId8">
            <o:LockedField>false</o:LockedField>
          </o:OLEObject>
        </w:object>
      </w:r>
    </w:p>
    <w:p w14:paraId="768CEA6F">
      <w:pPr>
        <w:tabs>
          <w:tab w:val="center" w:pos="6979"/>
        </w:tabs>
        <w:spacing w:before="156" w:beforeLines="50" w:after="156" w:afterLines="50"/>
        <w:jc w:val="center"/>
        <w:rPr>
          <w:rFonts w:ascii="宋体" w:hAnsi="宋体" w:cs="宋体"/>
          <w:b/>
          <w:bCs/>
          <w:spacing w:val="40"/>
          <w:kern w:val="0"/>
          <w:sz w:val="32"/>
          <w:szCs w:val="32"/>
        </w:rPr>
      </w:pPr>
      <w:r>
        <w:rPr>
          <w:rFonts w:ascii="宋体" w:hAnsi="宋体" w:cs="宋体"/>
          <w:b/>
          <w:bCs/>
          <w:spacing w:val="40"/>
          <w:kern w:val="0"/>
          <w:sz w:val="32"/>
          <w:szCs w:val="32"/>
        </w:rPr>
        <w:object>
          <v:shape id="_x0000_i1027" o:spt="75" type="#_x0000_t75" style="height:468pt;width:714pt;" o:ole="t" filled="f" o:preferrelative="t" stroked="f" coordsize="21600,21600">
            <v:path/>
            <v:fill on="f" focussize="0,0"/>
            <v:stroke on="f" joinstyle="miter"/>
            <v:imagedata r:id="rId11" o:title=""/>
            <o:lock v:ext="edit" aspectratio="t"/>
            <w10:wrap type="none"/>
            <w10:anchorlock/>
          </v:shape>
          <o:OLEObject Type="Embed" ProgID="Excel.Sheet.8" ShapeID="_x0000_i1027" DrawAspect="Content" ObjectID="_1468075727" r:id="rId10">
            <o:LockedField>false</o:LockedField>
          </o:OLEObject>
        </w:object>
      </w:r>
    </w:p>
    <w:p w14:paraId="2923BC9B">
      <w:pPr>
        <w:tabs>
          <w:tab w:val="center" w:pos="6979"/>
        </w:tabs>
        <w:spacing w:before="156" w:beforeLines="50" w:after="156" w:afterLines="50"/>
        <w:jc w:val="center"/>
        <w:rPr>
          <w:rFonts w:ascii="宋体" w:hAnsi="宋体" w:cs="宋体"/>
          <w:b/>
          <w:bCs/>
          <w:spacing w:val="40"/>
          <w:kern w:val="0"/>
          <w:sz w:val="32"/>
          <w:szCs w:val="32"/>
        </w:rPr>
      </w:pPr>
      <w:r>
        <w:rPr>
          <w:rFonts w:ascii="宋体" w:hAnsi="宋体" w:cs="宋体"/>
          <w:b/>
          <w:bCs/>
          <w:spacing w:val="40"/>
          <w:kern w:val="0"/>
          <w:sz w:val="32"/>
          <w:szCs w:val="32"/>
        </w:rPr>
        <w:object>
          <v:shape id="_x0000_i1028" o:spt="75" type="#_x0000_t75" style="height:430.5pt;width:745.5pt;" o:ole="t" filled="f" o:preferrelative="t" stroked="f" coordsize="21600,21600">
            <v:path/>
            <v:fill on="f" focussize="0,0"/>
            <v:stroke on="f" joinstyle="miter"/>
            <v:imagedata r:id="rId13" o:title=""/>
            <o:lock v:ext="edit" aspectratio="t"/>
            <w10:wrap type="none"/>
            <w10:anchorlock/>
          </v:shape>
          <o:OLEObject Type="Embed" ProgID="Excel.Sheet.8" ShapeID="_x0000_i1028" DrawAspect="Content" ObjectID="_1468075728" r:id="rId12">
            <o:LockedField>false</o:LockedField>
          </o:OLEObject>
        </w:object>
      </w:r>
    </w:p>
    <w:p w14:paraId="632E59CA">
      <w:pPr>
        <w:tabs>
          <w:tab w:val="center" w:pos="6979"/>
        </w:tabs>
        <w:spacing w:before="156" w:beforeLines="50" w:after="156" w:afterLines="50"/>
        <w:jc w:val="center"/>
        <w:rPr>
          <w:rFonts w:ascii="宋体" w:hAnsi="宋体" w:cs="宋体"/>
          <w:b/>
          <w:bCs/>
          <w:spacing w:val="40"/>
          <w:kern w:val="0"/>
          <w:sz w:val="32"/>
          <w:szCs w:val="32"/>
        </w:rPr>
      </w:pPr>
    </w:p>
    <w:p w14:paraId="0672391C">
      <w:pPr>
        <w:tabs>
          <w:tab w:val="center" w:pos="6979"/>
        </w:tabs>
        <w:spacing w:before="156" w:beforeLines="50" w:after="156" w:afterLines="50"/>
        <w:jc w:val="center"/>
        <w:rPr>
          <w:rFonts w:ascii="宋体" w:hAnsi="宋体" w:cs="宋体"/>
          <w:b/>
          <w:bCs/>
          <w:spacing w:val="40"/>
          <w:kern w:val="0"/>
          <w:sz w:val="32"/>
          <w:szCs w:val="32"/>
        </w:rPr>
      </w:pPr>
      <w:r>
        <w:rPr>
          <w:rFonts w:ascii="宋体" w:hAnsi="宋体" w:cs="宋体"/>
          <w:b/>
          <w:bCs/>
          <w:spacing w:val="40"/>
          <w:kern w:val="0"/>
          <w:sz w:val="32"/>
          <w:szCs w:val="32"/>
        </w:rPr>
        <w:object>
          <v:shape id="_x0000_i1029" o:spt="75" type="#_x0000_t75" style="height:429.75pt;width:757.5pt;" o:ole="t" filled="f" o:preferrelative="t" stroked="f" coordsize="21600,21600">
            <v:path/>
            <v:fill on="f" focussize="0,0"/>
            <v:stroke on="f" joinstyle="miter"/>
            <v:imagedata r:id="rId15" o:title=""/>
            <o:lock v:ext="edit" aspectratio="t"/>
            <w10:wrap type="none"/>
            <w10:anchorlock/>
          </v:shape>
          <o:OLEObject Type="Embed" ProgID="Excel.Sheet.8" ShapeID="_x0000_i1029" DrawAspect="Content" ObjectID="_1468075729" r:id="rId14">
            <o:LockedField>false</o:LockedField>
          </o:OLEObject>
        </w:object>
      </w:r>
    </w:p>
    <w:p w14:paraId="5628C09D">
      <w:pPr>
        <w:tabs>
          <w:tab w:val="center" w:pos="6979"/>
        </w:tabs>
        <w:spacing w:before="156" w:beforeLines="50" w:after="156" w:afterLines="50"/>
        <w:jc w:val="left"/>
        <w:rPr>
          <w:rFonts w:ascii="宋体" w:hAnsi="宋体" w:cs="宋体"/>
          <w:b/>
          <w:bCs/>
          <w:spacing w:val="40"/>
          <w:kern w:val="0"/>
          <w:sz w:val="32"/>
          <w:szCs w:val="32"/>
        </w:rPr>
      </w:pPr>
    </w:p>
    <w:p w14:paraId="3C6B03D0">
      <w:pPr>
        <w:tabs>
          <w:tab w:val="center" w:pos="6979"/>
        </w:tabs>
        <w:spacing w:before="156" w:beforeLines="50" w:after="156" w:afterLines="50"/>
        <w:jc w:val="left"/>
        <w:rPr>
          <w:rFonts w:ascii="宋体" w:hAnsi="宋体" w:cs="宋体"/>
          <w:b/>
          <w:bCs/>
          <w:spacing w:val="40"/>
          <w:kern w:val="0"/>
          <w:sz w:val="32"/>
          <w:szCs w:val="32"/>
        </w:rPr>
      </w:pPr>
    </w:p>
    <w:p w14:paraId="47F3BE03">
      <w:pPr>
        <w:tabs>
          <w:tab w:val="center" w:pos="6979"/>
        </w:tabs>
        <w:spacing w:before="156" w:beforeLines="50" w:after="156" w:afterLines="50"/>
        <w:jc w:val="left"/>
        <w:rPr>
          <w:rFonts w:ascii="宋体" w:hAnsi="宋体" w:cs="宋体"/>
          <w:b/>
          <w:bCs/>
          <w:spacing w:val="40"/>
          <w:kern w:val="0"/>
          <w:sz w:val="32"/>
          <w:szCs w:val="32"/>
        </w:rPr>
      </w:pPr>
      <w:r>
        <w:rPr>
          <w:rFonts w:ascii="宋体" w:hAnsi="宋体" w:cs="宋体"/>
          <w:b/>
          <w:bCs/>
          <w:spacing w:val="40"/>
          <w:kern w:val="0"/>
          <w:sz w:val="32"/>
          <w:szCs w:val="32"/>
        </w:rPr>
        <w:pict>
          <v:shape id="_x0000_s1026" o:spid="_x0000_s1026" o:spt="75" type="#_x0000_t75" style="position:absolute;left:0pt;margin-left:27.6pt;margin-top:0pt;height:400.8pt;width:668.4pt;mso-wrap-distance-bottom:0pt;mso-wrap-distance-left:9pt;mso-wrap-distance-right:9pt;mso-wrap-distance-top:0pt;z-index:251659264;mso-width-relative:page;mso-height-relative:page;" o:ole="t" filled="f" o:preferrelative="t" stroked="f" coordsize="21600,21600">
            <v:path/>
            <v:fill on="f" focussize="0,0"/>
            <v:stroke on="f" joinstyle="miter"/>
            <v:imagedata r:id="rId17" o:title=""/>
            <o:lock v:ext="edit" aspectratio="t"/>
            <w10:wrap type="square" side="left"/>
          </v:shape>
          <o:OLEObject Type="Embed" ProgID="Excel.Sheet.8" ShapeID="_x0000_s1026" DrawAspect="Content" ObjectID="_1468075730" r:id="rId16">
            <o:LockedField>false</o:LockedField>
          </o:OLEObject>
        </w:pict>
      </w:r>
      <w:r>
        <w:rPr>
          <w:rFonts w:ascii="宋体" w:hAnsi="宋体" w:cs="宋体"/>
          <w:b/>
          <w:bCs/>
          <w:spacing w:val="40"/>
          <w:kern w:val="0"/>
          <w:sz w:val="32"/>
          <w:szCs w:val="32"/>
        </w:rPr>
        <w:br w:type="textWrapping" w:clear="all"/>
      </w:r>
    </w:p>
    <w:p w14:paraId="1203A89C">
      <w:pPr>
        <w:tabs>
          <w:tab w:val="center" w:pos="6979"/>
        </w:tabs>
        <w:spacing w:before="156" w:beforeLines="50" w:after="156" w:afterLines="50"/>
        <w:jc w:val="center"/>
        <w:rPr>
          <w:rFonts w:ascii="宋体" w:hAnsi="宋体" w:cs="宋体"/>
          <w:b/>
          <w:bCs/>
          <w:spacing w:val="40"/>
          <w:kern w:val="0"/>
          <w:sz w:val="32"/>
          <w:szCs w:val="32"/>
        </w:rPr>
      </w:pPr>
    </w:p>
    <w:p w14:paraId="0704B105">
      <w:pPr>
        <w:tabs>
          <w:tab w:val="center" w:pos="6979"/>
        </w:tabs>
        <w:spacing w:before="156" w:beforeLines="50" w:after="156" w:afterLines="50"/>
        <w:jc w:val="center"/>
        <w:rPr>
          <w:rFonts w:ascii="宋体" w:hAnsi="宋体" w:cs="宋体"/>
          <w:b/>
          <w:bCs/>
          <w:spacing w:val="40"/>
          <w:kern w:val="0"/>
          <w:sz w:val="32"/>
          <w:szCs w:val="32"/>
        </w:rPr>
      </w:pPr>
      <w:r>
        <w:rPr>
          <w:rFonts w:ascii="宋体" w:hAnsi="宋体" w:cs="宋体"/>
          <w:b/>
          <w:bCs/>
          <w:spacing w:val="40"/>
          <w:kern w:val="0"/>
          <w:sz w:val="32"/>
          <w:szCs w:val="32"/>
        </w:rPr>
        <w:object>
          <v:shape id="_x0000_i1030" o:spt="75" type="#_x0000_t75" style="height:501.75pt;width:699.75pt;" o:ole="t" filled="f" o:preferrelative="t" stroked="f" coordsize="21600,21600">
            <v:path/>
            <v:fill on="f" focussize="0,0"/>
            <v:stroke on="f" joinstyle="miter"/>
            <v:imagedata r:id="rId19" o:title=""/>
            <o:lock v:ext="edit" aspectratio="t"/>
            <w10:wrap type="none"/>
            <w10:anchorlock/>
          </v:shape>
          <o:OLEObject Type="Embed" ProgID="Excel.Sheet.8" ShapeID="_x0000_i1030" DrawAspect="Content" ObjectID="_1468075731" r:id="rId18">
            <o:LockedField>false</o:LockedField>
          </o:OLEObject>
        </w:object>
      </w:r>
    </w:p>
    <w:p w14:paraId="6AB0A6C8">
      <w:pPr>
        <w:tabs>
          <w:tab w:val="center" w:pos="6979"/>
        </w:tabs>
        <w:spacing w:before="156" w:beforeLines="50" w:after="156" w:afterLines="50"/>
        <w:jc w:val="center"/>
        <w:rPr>
          <w:rFonts w:ascii="宋体" w:hAnsi="宋体" w:cs="宋体"/>
          <w:b/>
          <w:bCs/>
          <w:spacing w:val="40"/>
          <w:kern w:val="0"/>
          <w:sz w:val="32"/>
          <w:szCs w:val="32"/>
        </w:rPr>
      </w:pPr>
    </w:p>
    <w:p w14:paraId="1E89DC56">
      <w:pPr>
        <w:tabs>
          <w:tab w:val="center" w:pos="6979"/>
        </w:tabs>
        <w:spacing w:before="156" w:beforeLines="50" w:after="156" w:afterLines="50"/>
        <w:jc w:val="center"/>
        <w:rPr>
          <w:rFonts w:ascii="宋体" w:hAnsi="宋体" w:cs="宋体"/>
          <w:b/>
          <w:bCs/>
          <w:spacing w:val="40"/>
          <w:kern w:val="0"/>
          <w:sz w:val="32"/>
          <w:szCs w:val="32"/>
        </w:rPr>
      </w:pPr>
    </w:p>
    <w:p w14:paraId="707C22A3">
      <w:pPr>
        <w:tabs>
          <w:tab w:val="center" w:pos="6979"/>
        </w:tabs>
        <w:spacing w:before="156" w:beforeLines="50" w:after="156" w:afterLines="50"/>
        <w:jc w:val="center"/>
        <w:rPr>
          <w:rFonts w:ascii="宋体" w:hAnsi="宋体" w:cs="宋体"/>
          <w:b/>
          <w:bCs/>
          <w:spacing w:val="40"/>
          <w:kern w:val="0"/>
          <w:sz w:val="32"/>
          <w:szCs w:val="32"/>
        </w:rPr>
      </w:pPr>
      <w:r>
        <w:rPr>
          <w:rFonts w:ascii="宋体" w:hAnsi="宋体" w:cs="宋体"/>
          <w:b/>
          <w:bCs/>
          <w:spacing w:val="40"/>
          <w:kern w:val="0"/>
          <w:sz w:val="32"/>
          <w:szCs w:val="32"/>
        </w:rPr>
        <w:object>
          <v:shape id="_x0000_i1031" o:spt="75" type="#_x0000_t75" style="height:189.75pt;width:768pt;" o:ole="t" filled="f" o:preferrelative="t" stroked="f" coordsize="21600,21600">
            <v:path/>
            <v:fill on="f" focussize="0,0"/>
            <v:stroke on="f" joinstyle="miter"/>
            <v:imagedata r:id="rId21" o:title=""/>
            <o:lock v:ext="edit" aspectratio="t"/>
            <w10:wrap type="none"/>
            <w10:anchorlock/>
          </v:shape>
          <o:OLEObject Type="Embed" ProgID="Excel.Sheet.8" ShapeID="_x0000_i1031" DrawAspect="Content" ObjectID="_1468075732" r:id="rId20">
            <o:LockedField>false</o:LockedField>
          </o:OLEObject>
        </w:object>
      </w:r>
    </w:p>
    <w:p w14:paraId="0B3552A8">
      <w:pPr>
        <w:tabs>
          <w:tab w:val="center" w:pos="6979"/>
        </w:tabs>
        <w:spacing w:before="156" w:beforeLines="50" w:after="156" w:afterLines="50"/>
        <w:jc w:val="left"/>
        <w:rPr>
          <w:rFonts w:ascii="宋体" w:hAnsi="宋体" w:cs="宋体"/>
          <w:b/>
          <w:bCs/>
          <w:spacing w:val="40"/>
          <w:kern w:val="0"/>
          <w:sz w:val="32"/>
          <w:szCs w:val="32"/>
        </w:rPr>
      </w:pPr>
      <w:r>
        <w:rPr>
          <w:rFonts w:hint="eastAsia" w:ascii="仿宋_GB2312" w:eastAsia="仿宋_GB2312"/>
          <w:sz w:val="32"/>
          <w:szCs w:val="32"/>
        </w:rPr>
        <w:t>本年度无此项支出</w:t>
      </w:r>
    </w:p>
    <w:p w14:paraId="07A54023">
      <w:pPr>
        <w:pStyle w:val="2"/>
        <w:ind w:firstLine="420"/>
      </w:pPr>
    </w:p>
    <w:p w14:paraId="741A6D03">
      <w:pPr>
        <w:pStyle w:val="2"/>
        <w:ind w:firstLine="420"/>
      </w:pPr>
    </w:p>
    <w:p w14:paraId="013B92FE">
      <w:pPr>
        <w:pStyle w:val="2"/>
        <w:ind w:firstLine="420"/>
      </w:pPr>
    </w:p>
    <w:p w14:paraId="361573E3">
      <w:pPr>
        <w:pStyle w:val="2"/>
        <w:ind w:firstLine="420"/>
      </w:pPr>
    </w:p>
    <w:p w14:paraId="5D69F14C">
      <w:pPr>
        <w:pStyle w:val="2"/>
        <w:ind w:firstLine="420"/>
      </w:pPr>
    </w:p>
    <w:p w14:paraId="584D1E61">
      <w:pPr>
        <w:pStyle w:val="2"/>
        <w:ind w:firstLine="420"/>
      </w:pPr>
    </w:p>
    <w:p w14:paraId="6832B6CC">
      <w:pPr>
        <w:pStyle w:val="2"/>
        <w:ind w:firstLine="420"/>
      </w:pPr>
    </w:p>
    <w:p w14:paraId="2C52B1AB">
      <w:pPr>
        <w:pStyle w:val="2"/>
        <w:ind w:firstLine="420"/>
      </w:pPr>
    </w:p>
    <w:p w14:paraId="28EF28C6">
      <w:pPr>
        <w:pStyle w:val="2"/>
        <w:ind w:firstLine="420"/>
      </w:pPr>
    </w:p>
    <w:p w14:paraId="500F97EC">
      <w:pPr>
        <w:pStyle w:val="2"/>
        <w:ind w:firstLine="420"/>
      </w:pPr>
      <w:r>
        <w:object>
          <v:shape id="_x0000_i1032" o:spt="75" type="#_x0000_t75" style="height:469.5pt;width:733.5pt;" o:ole="t" filled="f" o:preferrelative="t" stroked="f" coordsize="21600,21600">
            <v:path/>
            <v:fill on="f" focussize="0,0"/>
            <v:stroke on="f" joinstyle="miter"/>
            <v:imagedata r:id="rId23" o:title=""/>
            <o:lock v:ext="edit" aspectratio="t"/>
            <w10:wrap type="none"/>
            <w10:anchorlock/>
          </v:shape>
          <o:OLEObject Type="Embed" ProgID="Excel.Sheet.8" ShapeID="_x0000_i1032" DrawAspect="Content" ObjectID="_1468075733" r:id="rId22">
            <o:LockedField>false</o:LockedField>
          </o:OLEObject>
        </w:object>
      </w:r>
      <w:r>
        <w:rPr>
          <w:rFonts w:hint="eastAsia"/>
        </w:rPr>
        <w:t xml:space="preserve">   </w:t>
      </w:r>
      <w:r>
        <w:rPr>
          <w:rFonts w:hint="eastAsia" w:ascii="仿宋_GB2312" w:eastAsia="仿宋_GB2312"/>
          <w:sz w:val="24"/>
        </w:rPr>
        <w:t>本年度无此项支出</w:t>
      </w:r>
    </w:p>
    <w:p w14:paraId="2F28A69A">
      <w:pPr>
        <w:tabs>
          <w:tab w:val="center" w:pos="6979"/>
        </w:tabs>
        <w:spacing w:before="156" w:beforeLines="50" w:after="156" w:afterLines="50"/>
        <w:jc w:val="center"/>
        <w:rPr>
          <w:rFonts w:ascii="宋体" w:hAnsi="宋体" w:cs="宋体"/>
          <w:b/>
          <w:bCs/>
          <w:spacing w:val="40"/>
          <w:kern w:val="0"/>
          <w:sz w:val="32"/>
          <w:szCs w:val="32"/>
        </w:rPr>
      </w:pPr>
    </w:p>
    <w:p w14:paraId="2D892EDC">
      <w:pPr>
        <w:tabs>
          <w:tab w:val="center" w:pos="6979"/>
        </w:tabs>
        <w:spacing w:before="156" w:beforeLines="50" w:after="156" w:afterLines="50"/>
        <w:jc w:val="center"/>
        <w:rPr>
          <w:rFonts w:ascii="宋体" w:hAnsi="宋体" w:cs="宋体"/>
          <w:b/>
          <w:bCs/>
          <w:spacing w:val="40"/>
          <w:kern w:val="0"/>
          <w:sz w:val="32"/>
          <w:szCs w:val="32"/>
        </w:rPr>
      </w:pPr>
      <w:r>
        <w:rPr>
          <w:rFonts w:ascii="宋体" w:hAnsi="宋体" w:cs="宋体"/>
          <w:b/>
          <w:bCs/>
          <w:spacing w:val="40"/>
          <w:kern w:val="0"/>
          <w:sz w:val="32"/>
          <w:szCs w:val="32"/>
        </w:rPr>
        <w:object>
          <v:shape id="_x0000_i1033" o:spt="75" type="#_x0000_t75" style="height:120pt;width:640.5pt;" o:ole="t" filled="f" o:preferrelative="t" stroked="f" coordsize="21600,21600">
            <v:path/>
            <v:fill on="f" focussize="0,0"/>
            <v:stroke on="f" joinstyle="miter"/>
            <v:imagedata r:id="rId25" o:title=""/>
            <o:lock v:ext="edit" aspectratio="t"/>
            <w10:wrap type="none"/>
            <w10:anchorlock/>
          </v:shape>
          <o:OLEObject Type="Embed" ProgID="Excel.Sheet.8" ShapeID="_x0000_i1033" DrawAspect="Content" ObjectID="_1468075734" r:id="rId24">
            <o:LockedField>false</o:LockedField>
          </o:OLEObject>
        </w:object>
      </w:r>
    </w:p>
    <w:p w14:paraId="0E69E021">
      <w:pPr>
        <w:tabs>
          <w:tab w:val="center" w:pos="6979"/>
        </w:tabs>
        <w:spacing w:before="156" w:beforeLines="50" w:after="156" w:afterLines="50"/>
        <w:ind w:firstLine="2400" w:firstLineChars="1000"/>
        <w:jc w:val="both"/>
        <w:rPr>
          <w:rFonts w:ascii="宋体" w:hAnsi="宋体" w:cs="宋体"/>
          <w:b/>
          <w:bCs/>
          <w:spacing w:val="40"/>
          <w:kern w:val="0"/>
          <w:sz w:val="24"/>
        </w:rPr>
      </w:pPr>
      <w:r>
        <w:rPr>
          <w:rFonts w:hint="eastAsia" w:ascii="仿宋_GB2312" w:eastAsia="仿宋_GB2312"/>
          <w:sz w:val="24"/>
        </w:rPr>
        <w:t>本年度无此项支出</w:t>
      </w:r>
    </w:p>
    <w:p w14:paraId="3BBB756F">
      <w:pPr>
        <w:pStyle w:val="2"/>
        <w:ind w:firstLine="420"/>
      </w:pPr>
    </w:p>
    <w:p w14:paraId="392232A2">
      <w:pPr>
        <w:pStyle w:val="2"/>
        <w:ind w:firstLine="420"/>
      </w:pPr>
    </w:p>
    <w:p w14:paraId="7938A0B8">
      <w:pPr>
        <w:pStyle w:val="2"/>
        <w:ind w:firstLine="420"/>
      </w:pPr>
    </w:p>
    <w:p w14:paraId="7B6D8055">
      <w:pPr>
        <w:pStyle w:val="2"/>
        <w:ind w:firstLine="420"/>
      </w:pPr>
      <w:r>
        <w:object>
          <v:shape id="_x0000_i1034" o:spt="75" type="#_x0000_t75" style="height:128.25pt;width:739.5pt;" o:ole="t" filled="f" o:preferrelative="t" stroked="f" coordsize="21600,21600">
            <v:path/>
            <v:fill on="f" focussize="0,0"/>
            <v:stroke on="f" joinstyle="miter"/>
            <v:imagedata r:id="rId27" o:title=""/>
            <o:lock v:ext="edit" aspectratio="t"/>
            <w10:wrap type="none"/>
            <w10:anchorlock/>
          </v:shape>
          <o:OLEObject Type="Embed" ProgID="Excel.Sheet.8" ShapeID="_x0000_i1034" DrawAspect="Content" ObjectID="_1468075735" r:id="rId26">
            <o:LockedField>false</o:LockedField>
          </o:OLEObject>
        </w:object>
      </w:r>
    </w:p>
    <w:p w14:paraId="601B7717">
      <w:pPr>
        <w:tabs>
          <w:tab w:val="center" w:pos="6979"/>
        </w:tabs>
        <w:spacing w:before="156" w:beforeLines="50" w:after="156" w:afterLines="50"/>
        <w:jc w:val="center"/>
        <w:rPr>
          <w:rFonts w:ascii="宋体" w:hAnsi="宋体" w:cs="宋体"/>
          <w:b/>
          <w:bCs/>
          <w:spacing w:val="40"/>
          <w:kern w:val="0"/>
          <w:sz w:val="32"/>
          <w:szCs w:val="32"/>
        </w:rPr>
      </w:pPr>
    </w:p>
    <w:p w14:paraId="48E078AC">
      <w:pPr>
        <w:tabs>
          <w:tab w:val="center" w:pos="6979"/>
        </w:tabs>
        <w:spacing w:before="156" w:beforeLines="50" w:after="156" w:afterLines="50"/>
        <w:jc w:val="center"/>
        <w:rPr>
          <w:rFonts w:ascii="宋体" w:hAnsi="宋体" w:cs="宋体"/>
          <w:b/>
          <w:bCs/>
          <w:spacing w:val="40"/>
          <w:kern w:val="0"/>
          <w:sz w:val="32"/>
          <w:szCs w:val="32"/>
        </w:rPr>
      </w:pPr>
    </w:p>
    <w:p w14:paraId="7C9FAA3E">
      <w:pPr>
        <w:tabs>
          <w:tab w:val="center" w:pos="6979"/>
        </w:tabs>
        <w:spacing w:before="156" w:beforeLines="50" w:after="156" w:afterLines="50"/>
        <w:jc w:val="center"/>
        <w:rPr>
          <w:rFonts w:ascii="宋体" w:hAnsi="宋体" w:cs="宋体"/>
          <w:b/>
          <w:bCs/>
          <w:spacing w:val="40"/>
          <w:kern w:val="0"/>
          <w:sz w:val="32"/>
          <w:szCs w:val="32"/>
        </w:rPr>
      </w:pPr>
    </w:p>
    <w:p w14:paraId="63972F4C">
      <w:pPr>
        <w:tabs>
          <w:tab w:val="center" w:pos="6979"/>
        </w:tabs>
        <w:spacing w:before="156" w:beforeLines="50" w:after="156" w:afterLines="50"/>
        <w:jc w:val="center"/>
        <w:rPr>
          <w:rFonts w:ascii="宋体" w:hAnsi="宋体" w:cs="宋体"/>
          <w:b/>
          <w:bCs/>
          <w:spacing w:val="40"/>
          <w:kern w:val="0"/>
          <w:sz w:val="32"/>
          <w:szCs w:val="32"/>
        </w:rPr>
      </w:pPr>
    </w:p>
    <w:p w14:paraId="5D280FD3">
      <w:pPr>
        <w:tabs>
          <w:tab w:val="center" w:pos="6979"/>
        </w:tabs>
        <w:spacing w:before="156" w:beforeLines="50" w:after="156" w:afterLines="50"/>
        <w:jc w:val="center"/>
        <w:rPr>
          <w:rFonts w:ascii="宋体" w:hAnsi="宋体" w:cs="宋体"/>
          <w:b/>
          <w:bCs/>
          <w:spacing w:val="40"/>
          <w:kern w:val="0"/>
          <w:sz w:val="32"/>
          <w:szCs w:val="32"/>
        </w:rPr>
      </w:pPr>
      <w:r>
        <w:rPr>
          <w:rFonts w:ascii="宋体" w:hAnsi="宋体" w:cs="宋体"/>
          <w:b/>
          <w:bCs/>
          <w:spacing w:val="40"/>
          <w:kern w:val="0"/>
          <w:sz w:val="32"/>
          <w:szCs w:val="32"/>
        </w:rPr>
        <w:object>
          <v:shape id="_x0000_i1035" o:spt="75" type="#_x0000_t75" style="height:320.25pt;width:445.5pt;" o:ole="t" filled="f" o:preferrelative="t" stroked="f" coordsize="21600,21600">
            <v:path/>
            <v:fill on="f" focussize="0,0"/>
            <v:stroke on="f" joinstyle="miter"/>
            <v:imagedata r:id="rId29" o:title=""/>
            <o:lock v:ext="edit" aspectratio="t"/>
            <w10:wrap type="none"/>
            <w10:anchorlock/>
          </v:shape>
          <o:OLEObject Type="Embed" ProgID="Excel.Sheet.8" ShapeID="_x0000_i1035" DrawAspect="Content" ObjectID="_1468075736" r:id="rId28">
            <o:LockedField>false</o:LockedField>
          </o:OLEObject>
        </w:object>
      </w:r>
    </w:p>
    <w:p w14:paraId="01D03636">
      <w:pPr>
        <w:pStyle w:val="2"/>
        <w:ind w:firstLine="420"/>
      </w:pPr>
    </w:p>
    <w:p w14:paraId="36D24B08">
      <w:pPr>
        <w:pStyle w:val="2"/>
        <w:ind w:firstLine="420"/>
      </w:pPr>
    </w:p>
    <w:p w14:paraId="0AA7B264">
      <w:pPr>
        <w:pStyle w:val="2"/>
        <w:ind w:firstLine="420"/>
      </w:pPr>
    </w:p>
    <w:p w14:paraId="7E2C3237">
      <w:pPr>
        <w:pStyle w:val="2"/>
        <w:ind w:firstLine="420"/>
      </w:pPr>
    </w:p>
    <w:p w14:paraId="202E8F37">
      <w:pPr>
        <w:pStyle w:val="2"/>
        <w:ind w:firstLine="420"/>
      </w:pPr>
    </w:p>
    <w:p w14:paraId="3260E6B8">
      <w:pPr>
        <w:pStyle w:val="2"/>
        <w:ind w:firstLine="0" w:firstLineChars="0"/>
      </w:pPr>
    </w:p>
    <w:p w14:paraId="4E6C47DC">
      <w:pPr>
        <w:pStyle w:val="2"/>
        <w:ind w:firstLine="0" w:firstLineChars="0"/>
      </w:pPr>
      <w:r>
        <w:object>
          <v:shape id="_x0000_i1036" o:spt="75" type="#_x0000_t75" style="height:454.5pt;width:641.25pt;" o:ole="t" filled="f" o:preferrelative="t" stroked="f" coordsize="21600,21600">
            <v:path/>
            <v:fill on="f" focussize="0,0"/>
            <v:stroke on="f" joinstyle="miter"/>
            <v:imagedata r:id="rId31" o:title=""/>
            <o:lock v:ext="edit" aspectratio="t"/>
            <w10:wrap type="none"/>
            <w10:anchorlock/>
          </v:shape>
          <o:OLEObject Type="Embed" ProgID="Excel.Sheet.8" ShapeID="_x0000_i1036" DrawAspect="Content" ObjectID="_1468075737" r:id="rId30">
            <o:LockedField>false</o:LockedField>
          </o:OLEObject>
        </w:object>
      </w:r>
    </w:p>
    <w:p w14:paraId="2BBB1261">
      <w:pPr>
        <w:tabs>
          <w:tab w:val="center" w:pos="6979"/>
        </w:tabs>
        <w:spacing w:before="156" w:beforeLines="50" w:after="156" w:afterLines="50"/>
        <w:ind w:firstLine="640" w:firstLineChars="200"/>
        <w:jc w:val="left"/>
        <w:rPr>
          <w:rFonts w:ascii="宋体" w:hAnsi="宋体" w:cs="宋体"/>
          <w:b/>
          <w:bCs/>
          <w:spacing w:val="40"/>
          <w:kern w:val="0"/>
          <w:sz w:val="32"/>
          <w:szCs w:val="32"/>
        </w:rPr>
      </w:pPr>
      <w:r>
        <w:rPr>
          <w:rFonts w:hint="eastAsia" w:ascii="仿宋_GB2312" w:eastAsia="仿宋_GB2312"/>
          <w:sz w:val="32"/>
          <w:szCs w:val="32"/>
        </w:rPr>
        <w:t>本年度无此项支出</w:t>
      </w:r>
    </w:p>
    <w:p w14:paraId="1F1DA1C4">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14:paraId="2DE53FFF">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33BCF424">
      <w:pPr>
        <w:ind w:firstLine="640" w:firstLineChars="200"/>
        <w:rPr>
          <w:rFonts w:ascii="仿宋_GB2312" w:eastAsia="仿宋_GB2312"/>
          <w:b/>
          <w:sz w:val="32"/>
          <w:szCs w:val="32"/>
        </w:rPr>
      </w:pPr>
      <w:r>
        <w:rPr>
          <w:rFonts w:hint="eastAsia" w:ascii="仿宋_GB2312" w:eastAsia="仿宋_GB2312"/>
          <w:b/>
          <w:sz w:val="32"/>
          <w:szCs w:val="32"/>
        </w:rPr>
        <w:t>（一）主要职责</w:t>
      </w:r>
    </w:p>
    <w:p w14:paraId="0E693270">
      <w:pPr>
        <w:tabs>
          <w:tab w:val="center" w:pos="6979"/>
        </w:tabs>
        <w:spacing w:line="580" w:lineRule="exact"/>
        <w:ind w:firstLine="420" w:firstLineChars="150"/>
        <w:rPr>
          <w:rFonts w:ascii="仿宋" w:hAnsi="仿宋" w:eastAsia="仿宋" w:cs="仿宋"/>
          <w:bCs/>
          <w:sz w:val="28"/>
          <w:szCs w:val="28"/>
        </w:rPr>
      </w:pPr>
      <w:r>
        <w:rPr>
          <w:rFonts w:hint="eastAsia" w:ascii="仿宋" w:hAnsi="仿宋" w:eastAsia="仿宋" w:cs="仿宋"/>
          <w:bCs/>
          <w:sz w:val="28"/>
          <w:szCs w:val="28"/>
        </w:rPr>
        <w:t>单位主要职责为：负责西田各庄镇、溪翁庄镇辖区内的供水、节水、排水、污水处理、水环境保护以及水旱灾害防御、水利工程建设等事务性工作。</w:t>
      </w:r>
    </w:p>
    <w:p w14:paraId="0307DDC5">
      <w:pPr>
        <w:numPr>
          <w:ilvl w:val="0"/>
          <w:numId w:val="1"/>
        </w:numPr>
        <w:ind w:firstLine="640" w:firstLineChars="200"/>
        <w:rPr>
          <w:rFonts w:ascii="仿宋_GB2312" w:eastAsia="仿宋_GB2312"/>
          <w:b/>
          <w:sz w:val="32"/>
          <w:szCs w:val="32"/>
        </w:rPr>
      </w:pPr>
      <w:r>
        <w:rPr>
          <w:rFonts w:hint="eastAsia" w:ascii="仿宋_GB2312" w:eastAsia="仿宋_GB2312"/>
          <w:b/>
          <w:sz w:val="32"/>
          <w:szCs w:val="32"/>
        </w:rPr>
        <w:t>机构设置</w:t>
      </w:r>
    </w:p>
    <w:p w14:paraId="6755206D">
      <w:pPr>
        <w:ind w:firstLine="560" w:firstLineChars="200"/>
        <w:rPr>
          <w:rFonts w:ascii="仿宋_GB2312" w:eastAsia="仿宋_GB2312"/>
          <w:b/>
          <w:sz w:val="32"/>
          <w:szCs w:val="32"/>
        </w:rPr>
      </w:pPr>
      <w:r>
        <w:rPr>
          <w:rFonts w:hint="eastAsia" w:ascii="仿宋" w:hAnsi="仿宋" w:eastAsia="仿宋" w:cs="仿宋"/>
          <w:bCs/>
          <w:sz w:val="28"/>
          <w:szCs w:val="28"/>
        </w:rPr>
        <w:t>北京市密云区水务局西田各庄水务站共有1个预算单位，单位性质属于财政补助事业单位。</w:t>
      </w:r>
    </w:p>
    <w:p w14:paraId="28511E58">
      <w:pPr>
        <w:numPr>
          <w:ilvl w:val="0"/>
          <w:numId w:val="1"/>
        </w:numPr>
        <w:ind w:firstLine="640" w:firstLineChars="200"/>
        <w:rPr>
          <w:rFonts w:ascii="仿宋_GB2312" w:eastAsia="仿宋_GB2312"/>
          <w:b/>
          <w:sz w:val="32"/>
          <w:szCs w:val="32"/>
        </w:rPr>
      </w:pPr>
      <w:r>
        <w:rPr>
          <w:rFonts w:hint="eastAsia" w:ascii="仿宋_GB2312" w:eastAsia="仿宋_GB2312"/>
          <w:b/>
          <w:sz w:val="32"/>
          <w:szCs w:val="32"/>
        </w:rPr>
        <w:t>人员构成情况</w:t>
      </w:r>
    </w:p>
    <w:p w14:paraId="7163D9B7">
      <w:pPr>
        <w:tabs>
          <w:tab w:val="center" w:pos="6979"/>
        </w:tabs>
        <w:spacing w:line="580" w:lineRule="exact"/>
        <w:ind w:firstLine="560" w:firstLineChars="200"/>
        <w:rPr>
          <w:rFonts w:ascii="仿宋_GB2312" w:eastAsia="仿宋_GB2312"/>
          <w:kern w:val="0"/>
          <w:sz w:val="28"/>
          <w:szCs w:val="28"/>
        </w:rPr>
      </w:pPr>
      <w:r>
        <w:rPr>
          <w:rFonts w:hint="eastAsia" w:ascii="仿宋" w:hAnsi="仿宋" w:eastAsia="仿宋" w:cs="仿宋"/>
          <w:color w:val="000000"/>
          <w:sz w:val="28"/>
          <w:szCs w:val="28"/>
        </w:rPr>
        <w:t>北京市密云区水务局西田各庄水务站共有事业编制18人，年末实际在职人员16人。退休人员16人</w:t>
      </w:r>
      <w:r>
        <w:rPr>
          <w:rFonts w:hint="eastAsia" w:ascii="仿宋_GB2312" w:eastAsia="仿宋_GB2312"/>
          <w:kern w:val="0"/>
          <w:sz w:val="28"/>
          <w:szCs w:val="28"/>
        </w:rPr>
        <w:t>。</w:t>
      </w:r>
    </w:p>
    <w:p w14:paraId="7E7C1FE5">
      <w:pPr>
        <w:tabs>
          <w:tab w:val="center" w:pos="6979"/>
        </w:tabs>
        <w:spacing w:line="580" w:lineRule="exact"/>
        <w:rPr>
          <w:rFonts w:ascii="黑体" w:eastAsia="黑体"/>
          <w:bCs/>
          <w:sz w:val="28"/>
          <w:szCs w:val="28"/>
        </w:rPr>
      </w:pPr>
      <w:r>
        <w:rPr>
          <w:rFonts w:hint="eastAsia" w:ascii="仿宋_GB2312" w:eastAsia="仿宋_GB2312"/>
          <w:b/>
          <w:sz w:val="32"/>
          <w:szCs w:val="32"/>
        </w:rPr>
        <w:t xml:space="preserve">  </w:t>
      </w:r>
      <w:r>
        <w:rPr>
          <w:rFonts w:hint="eastAsia" w:ascii="仿宋_GB2312" w:eastAsia="仿宋_GB2312"/>
          <w:bCs/>
          <w:sz w:val="32"/>
          <w:szCs w:val="32"/>
        </w:rPr>
        <w:t xml:space="preserve"> </w:t>
      </w:r>
      <w:r>
        <w:rPr>
          <w:rFonts w:hint="eastAsia" w:ascii="黑体" w:eastAsia="黑体"/>
          <w:bCs/>
          <w:sz w:val="28"/>
          <w:szCs w:val="28"/>
        </w:rPr>
        <w:t>二、收入支出决算总体情况说明</w:t>
      </w:r>
    </w:p>
    <w:p w14:paraId="7D8F6DC2">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530.46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111.87万元，增长26.73%。</w:t>
      </w:r>
    </w:p>
    <w:p w14:paraId="208EE96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174FF2E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2023年度本年收入合计</w:t>
      </w:r>
      <w:r>
        <w:rPr>
          <w:rFonts w:ascii="仿宋_GB2312" w:eastAsia="仿宋_GB2312"/>
          <w:sz w:val="28"/>
          <w:szCs w:val="28"/>
        </w:rPr>
        <w:t>483.17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67.79万元，增长16.32%。</w:t>
      </w:r>
    </w:p>
    <w:p w14:paraId="672CD47C">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465.97</w:t>
      </w:r>
      <w:r>
        <w:rPr>
          <w:rFonts w:hint="eastAsia" w:ascii="仿宋_GB2312" w:eastAsia="仿宋_GB2312"/>
          <w:sz w:val="28"/>
          <w:szCs w:val="28"/>
        </w:rPr>
        <w:t>万元，占收入合计的</w:t>
      </w:r>
      <w:r>
        <w:rPr>
          <w:rFonts w:ascii="仿宋_GB2312" w:eastAsia="仿宋_GB2312"/>
          <w:sz w:val="28"/>
          <w:szCs w:val="28"/>
        </w:rPr>
        <w:t>96.44</w:t>
      </w:r>
      <w:r>
        <w:rPr>
          <w:rFonts w:hint="eastAsia" w:ascii="仿宋_GB2312" w:eastAsia="仿宋_GB2312"/>
          <w:sz w:val="28"/>
          <w:szCs w:val="28"/>
        </w:rPr>
        <w:t>%。其中：一般公共预算财政拨款收入</w:t>
      </w:r>
      <w:r>
        <w:rPr>
          <w:rFonts w:ascii="仿宋_GB2312" w:eastAsia="仿宋_GB2312"/>
          <w:sz w:val="28"/>
          <w:szCs w:val="28"/>
        </w:rPr>
        <w:t>465.97</w:t>
      </w:r>
      <w:r>
        <w:rPr>
          <w:rFonts w:hint="eastAsia" w:ascii="仿宋_GB2312" w:eastAsia="仿宋_GB2312"/>
          <w:sz w:val="28"/>
          <w:szCs w:val="28"/>
        </w:rPr>
        <w:t>万元，占收入合计的</w:t>
      </w:r>
      <w:r>
        <w:rPr>
          <w:rFonts w:ascii="仿宋_GB2312" w:eastAsia="仿宋_GB2312"/>
          <w:sz w:val="28"/>
          <w:szCs w:val="28"/>
        </w:rPr>
        <w:t>96.44</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64C3F5D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48CFA42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6D7CB2A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76A86B2C">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2AC51C8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17.2</w:t>
      </w:r>
      <w:r>
        <w:rPr>
          <w:rFonts w:hint="eastAsia" w:ascii="仿宋_GB2312" w:eastAsia="仿宋_GB2312"/>
          <w:sz w:val="28"/>
          <w:szCs w:val="28"/>
        </w:rPr>
        <w:t>万元，占收入合计的</w:t>
      </w:r>
      <w:r>
        <w:rPr>
          <w:rFonts w:ascii="仿宋_GB2312" w:eastAsia="仿宋_GB2312"/>
          <w:sz w:val="28"/>
          <w:szCs w:val="28"/>
        </w:rPr>
        <w:t>3.5</w:t>
      </w:r>
      <w:r>
        <w:rPr>
          <w:rFonts w:hint="eastAsia" w:ascii="仿宋_GB2312" w:eastAsia="仿宋_GB2312"/>
          <w:sz w:val="28"/>
          <w:szCs w:val="28"/>
        </w:rPr>
        <w:t>6%。</w:t>
      </w:r>
    </w:p>
    <w:p w14:paraId="772BF8B4">
      <w:pPr>
        <w:pStyle w:val="3"/>
        <w:jc w:val="center"/>
      </w:pPr>
      <w:r>
        <w:rPr>
          <w:rFonts w:hint="eastAsia" w:ascii="仿宋_GB2312" w:eastAsia="仿宋_GB2312"/>
          <w:color w:val="000000"/>
          <w:sz w:val="32"/>
        </w:rPr>
        <w:t>图1：收入决算</w:t>
      </w:r>
    </w:p>
    <w:p w14:paraId="0C8DF9F1">
      <w:pPr>
        <w:jc w:val="center"/>
      </w:pPr>
      <w:r>
        <w:rPr>
          <w:rFonts w:hint="eastAsia"/>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0711CDE0">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3E9AE54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528.92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110.33万元，增长26.36%，其中：基本支出</w:t>
      </w:r>
      <w:r>
        <w:rPr>
          <w:rFonts w:ascii="仿宋_GB2312" w:eastAsia="仿宋_GB2312"/>
          <w:sz w:val="28"/>
          <w:szCs w:val="28"/>
        </w:rPr>
        <w:t>513.26</w:t>
      </w:r>
      <w:r>
        <w:rPr>
          <w:rFonts w:hint="eastAsia" w:ascii="仿宋_GB2312" w:eastAsia="仿宋_GB2312"/>
          <w:sz w:val="28"/>
          <w:szCs w:val="28"/>
        </w:rPr>
        <w:t>万元，占支出合计的</w:t>
      </w:r>
      <w:r>
        <w:rPr>
          <w:rFonts w:ascii="仿宋_GB2312" w:eastAsia="仿宋_GB2312"/>
          <w:sz w:val="28"/>
          <w:szCs w:val="28"/>
        </w:rPr>
        <w:t>97.0</w:t>
      </w:r>
      <w:r>
        <w:rPr>
          <w:rFonts w:hint="eastAsia" w:ascii="仿宋_GB2312" w:eastAsia="仿宋_GB2312"/>
          <w:sz w:val="28"/>
          <w:szCs w:val="28"/>
        </w:rPr>
        <w:t>4%；项目支出</w:t>
      </w:r>
      <w:r>
        <w:rPr>
          <w:rFonts w:ascii="仿宋_GB2312" w:eastAsia="仿宋_GB2312"/>
          <w:sz w:val="28"/>
          <w:szCs w:val="28"/>
        </w:rPr>
        <w:t>15.66</w:t>
      </w:r>
      <w:r>
        <w:rPr>
          <w:rFonts w:hint="eastAsia" w:ascii="仿宋_GB2312" w:eastAsia="仿宋_GB2312"/>
          <w:sz w:val="28"/>
          <w:szCs w:val="28"/>
        </w:rPr>
        <w:t>万元，占支出合计的</w:t>
      </w:r>
      <w:r>
        <w:rPr>
          <w:rFonts w:ascii="仿宋_GB2312" w:eastAsia="仿宋_GB2312"/>
          <w:sz w:val="28"/>
          <w:szCs w:val="28"/>
        </w:rPr>
        <w:t>2.96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67323D65">
      <w:pPr>
        <w:spacing w:line="560" w:lineRule="exact"/>
        <w:ind w:firstLine="640"/>
        <w:rPr>
          <w:rFonts w:ascii="仿宋_GB2312" w:eastAsia="仿宋_GB2312" w:cs="Droid Sans"/>
          <w:color w:val="000000"/>
          <w:sz w:val="32"/>
          <w:szCs w:val="32"/>
        </w:rPr>
      </w:pPr>
    </w:p>
    <w:p w14:paraId="600D736F">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3B2B4D83">
      <w:pPr>
        <w:jc w:val="center"/>
      </w:pPr>
    </w:p>
    <w:p w14:paraId="45BB1486">
      <w:pPr>
        <w:pStyle w:val="2"/>
        <w:ind w:firstLine="420"/>
        <w:jc w:val="center"/>
      </w:pPr>
      <w:r>
        <w:rPr>
          <w:rFonts w:hint="eastAsia"/>
        </w:rPr>
        <w:drawing>
          <wp:inline distT="0" distB="0" distL="114300" distR="114300">
            <wp:extent cx="4408805" cy="2477770"/>
            <wp:effectExtent l="4445" t="5080" r="6350" b="1270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488A5D2B">
      <w:pPr>
        <w:tabs>
          <w:tab w:val="center" w:pos="6979"/>
        </w:tabs>
        <w:spacing w:line="580" w:lineRule="exact"/>
        <w:ind w:firstLine="548" w:firstLineChars="196"/>
        <w:rPr>
          <w:rFonts w:ascii="黑体" w:eastAsia="黑体"/>
          <w:bCs/>
          <w:sz w:val="28"/>
          <w:szCs w:val="28"/>
        </w:rPr>
      </w:pPr>
      <w:r>
        <w:rPr>
          <w:rFonts w:hint="eastAsia" w:ascii="黑体" w:eastAsia="黑体"/>
          <w:bCs/>
          <w:sz w:val="28"/>
          <w:szCs w:val="28"/>
        </w:rPr>
        <w:t>三</w:t>
      </w:r>
      <w:r>
        <w:rPr>
          <w:rFonts w:ascii="黑体" w:eastAsia="黑体"/>
          <w:bCs/>
          <w:sz w:val="28"/>
          <w:szCs w:val="28"/>
        </w:rPr>
        <w:t>、财政拨款</w:t>
      </w:r>
      <w:r>
        <w:rPr>
          <w:rFonts w:hint="eastAsia" w:ascii="黑体" w:eastAsia="黑体"/>
          <w:bCs/>
          <w:sz w:val="28"/>
          <w:szCs w:val="28"/>
        </w:rPr>
        <w:t>收入支出决算</w:t>
      </w:r>
      <w:r>
        <w:rPr>
          <w:rFonts w:ascii="黑体" w:eastAsia="黑体"/>
          <w:bCs/>
          <w:sz w:val="28"/>
          <w:szCs w:val="28"/>
        </w:rPr>
        <w:t>总体情况说明</w:t>
      </w:r>
    </w:p>
    <w:p w14:paraId="74B96606">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513.26</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97.88万元，增长23.56%。主要原因：</w:t>
      </w:r>
      <w:r>
        <w:rPr>
          <w:rFonts w:ascii="仿宋_GB2312" w:eastAsia="仿宋_GB2312"/>
          <w:sz w:val="28"/>
          <w:szCs w:val="28"/>
        </w:rPr>
        <w:t>本年度</w:t>
      </w:r>
      <w:r>
        <w:rPr>
          <w:rFonts w:hint="eastAsia" w:ascii="仿宋_GB2312" w:eastAsia="仿宋_GB2312"/>
          <w:sz w:val="28"/>
          <w:szCs w:val="28"/>
        </w:rPr>
        <w:t>人员变动，政策性增资，公积金和社保缴费基数调整</w:t>
      </w:r>
      <w:r>
        <w:rPr>
          <w:rFonts w:ascii="仿宋_GB2312" w:eastAsia="仿宋_GB2312"/>
          <w:sz w:val="28"/>
          <w:szCs w:val="28"/>
        </w:rPr>
        <w:t>，使人员经费支出增加</w:t>
      </w:r>
      <w:r>
        <w:rPr>
          <w:rFonts w:hint="eastAsia" w:ascii="仿宋_GB2312" w:eastAsia="仿宋_GB2312"/>
          <w:sz w:val="28"/>
          <w:szCs w:val="28"/>
        </w:rPr>
        <w:t>。</w:t>
      </w:r>
    </w:p>
    <w:p w14:paraId="55C5BDEB">
      <w:pPr>
        <w:tabs>
          <w:tab w:val="center" w:pos="6979"/>
        </w:tabs>
        <w:spacing w:line="580" w:lineRule="exact"/>
        <w:rPr>
          <w:rFonts w:ascii="仿宋_GB2312" w:eastAsia="仿宋_GB2312"/>
          <w:sz w:val="28"/>
          <w:szCs w:val="28"/>
        </w:rPr>
      </w:pPr>
    </w:p>
    <w:p w14:paraId="21DDBDFB">
      <w:pPr>
        <w:tabs>
          <w:tab w:val="center" w:pos="6979"/>
        </w:tabs>
        <w:spacing w:line="580" w:lineRule="exact"/>
        <w:ind w:firstLine="548" w:firstLineChars="196"/>
        <w:rPr>
          <w:rFonts w:ascii="黑体" w:eastAsia="黑体"/>
          <w:bCs/>
          <w:sz w:val="28"/>
          <w:szCs w:val="28"/>
        </w:rPr>
      </w:pPr>
      <w:r>
        <w:rPr>
          <w:rFonts w:hint="eastAsia" w:ascii="黑体" w:eastAsia="黑体"/>
          <w:bCs/>
          <w:sz w:val="28"/>
          <w:szCs w:val="28"/>
        </w:rPr>
        <w:t>四、一般公共预算财政拨款支出决算情况说明</w:t>
      </w:r>
    </w:p>
    <w:p w14:paraId="5903887E">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64D6A86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2023年度一般公共预算财政拨款支出</w:t>
      </w:r>
      <w:r>
        <w:rPr>
          <w:rFonts w:ascii="仿宋_GB2312" w:eastAsia="仿宋_GB2312"/>
          <w:sz w:val="28"/>
          <w:szCs w:val="28"/>
        </w:rPr>
        <w:t>513.26</w:t>
      </w:r>
      <w:r>
        <w:rPr>
          <w:rFonts w:hint="eastAsia" w:ascii="仿宋_GB2312" w:eastAsia="仿宋_GB2312"/>
          <w:sz w:val="28"/>
          <w:szCs w:val="28"/>
        </w:rPr>
        <w:t>万元，</w:t>
      </w:r>
      <w:bookmarkStart w:id="0" w:name="_GoBack"/>
      <w:bookmarkEnd w:id="0"/>
      <w:r>
        <w:rPr>
          <w:rFonts w:hint="eastAsia" w:ascii="仿宋_GB2312" w:eastAsia="仿宋_GB2312"/>
          <w:sz w:val="28"/>
          <w:szCs w:val="28"/>
        </w:rPr>
        <w:t>主要用于以下方面：社会保障和就业支出75.22万元，占本年财政拨款支出14.66%； 卫生健康支出35.39万元，占本年财政拨款支出6.89%；农林水支出402.65万元，占本年财政拨款支出78.45%；</w:t>
      </w:r>
    </w:p>
    <w:p w14:paraId="1B98FF40">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69338039">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1、“社会保障和就业支出”2023年度决算75.22万元，比2023年度年初预算增加12.84万元，增长20.58%。主要原因：由于人员变动以及缴费基数调整，增加职业年金，养老保险缴费年初预算。</w:t>
      </w:r>
    </w:p>
    <w:p w14:paraId="57395431">
      <w:pPr>
        <w:spacing w:line="580" w:lineRule="exact"/>
        <w:ind w:firstLine="560" w:firstLineChars="200"/>
        <w:rPr>
          <w:rFonts w:ascii="仿宋_GB2312" w:eastAsia="仿宋_GB2312"/>
          <w:sz w:val="28"/>
          <w:szCs w:val="28"/>
        </w:rPr>
      </w:pPr>
      <w:r>
        <w:rPr>
          <w:rFonts w:hint="eastAsia" w:ascii="仿宋_GB2312" w:eastAsia="仿宋_GB2312"/>
          <w:sz w:val="28"/>
          <w:szCs w:val="28"/>
        </w:rPr>
        <w:t>2、“卫生健康支出”2023年度决算35.39万元，比2023年度年初预算增加6.19万元，增加21.2%。主要原因：由于人员变动以及医保缴费基数调整，增加医疗保险年初预算。</w:t>
      </w:r>
    </w:p>
    <w:p w14:paraId="64C444A2">
      <w:pPr>
        <w:spacing w:line="580" w:lineRule="exact"/>
        <w:ind w:firstLine="560" w:firstLineChars="200"/>
        <w:rPr>
          <w:rFonts w:ascii="仿宋_GB2312" w:eastAsia="仿宋_GB2312"/>
          <w:sz w:val="28"/>
          <w:szCs w:val="28"/>
        </w:rPr>
      </w:pPr>
      <w:r>
        <w:rPr>
          <w:rFonts w:hint="eastAsia" w:ascii="仿宋_GB2312" w:eastAsia="仿宋_GB2312"/>
          <w:sz w:val="28"/>
          <w:szCs w:val="28"/>
        </w:rPr>
        <w:t>3、“农林水支出”2023年度决算402.65万元，比2023年度年初预算增加129.26万元，增长47.28%。主要原因：由于人员变动以及政策性增资，增加人员经费及公用经费。</w:t>
      </w:r>
    </w:p>
    <w:p w14:paraId="66332C3A">
      <w:pPr>
        <w:spacing w:line="580" w:lineRule="exact"/>
        <w:ind w:firstLine="560" w:firstLineChars="200"/>
        <w:rPr>
          <w:rFonts w:ascii="仿宋_GB2312" w:eastAsia="仿宋_GB2312"/>
          <w:bCs/>
          <w:sz w:val="28"/>
          <w:szCs w:val="28"/>
        </w:rPr>
      </w:pPr>
      <w:r>
        <w:rPr>
          <w:rFonts w:hint="eastAsia" w:ascii="黑体" w:eastAsia="黑体"/>
          <w:bCs/>
          <w:sz w:val="28"/>
          <w:szCs w:val="28"/>
        </w:rPr>
        <w:t>五、政府性基金预算财政拨款支出决算情况说明</w:t>
      </w:r>
    </w:p>
    <w:p w14:paraId="141D012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062D2EF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14:paraId="179C2C23">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14:paraId="77A1FF5C">
      <w:pPr>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14:paraId="2A222C13">
      <w:pPr>
        <w:spacing w:line="580" w:lineRule="exact"/>
        <w:ind w:firstLine="560" w:firstLineChars="200"/>
        <w:rPr>
          <w:rFonts w:ascii="黑体" w:eastAsia="黑体"/>
          <w:bCs/>
          <w:sz w:val="28"/>
          <w:szCs w:val="28"/>
        </w:rPr>
      </w:pPr>
      <w:r>
        <w:rPr>
          <w:rFonts w:hint="eastAsia" w:ascii="黑体" w:eastAsia="黑体"/>
          <w:bCs/>
          <w:sz w:val="28"/>
          <w:szCs w:val="28"/>
        </w:rPr>
        <w:t>六、国有资本经营预算财</w:t>
      </w:r>
      <w:r>
        <w:rPr>
          <w:rFonts w:ascii="黑体" w:eastAsia="黑体"/>
          <w:bCs/>
          <w:sz w:val="28"/>
          <w:szCs w:val="28"/>
        </w:rPr>
        <w:t>政拨款</w:t>
      </w:r>
      <w:r>
        <w:rPr>
          <w:rFonts w:hint="eastAsia" w:ascii="黑体" w:eastAsia="黑体"/>
          <w:bCs/>
          <w:sz w:val="28"/>
          <w:szCs w:val="28"/>
        </w:rPr>
        <w:t>收支情况</w:t>
      </w:r>
    </w:p>
    <w:p w14:paraId="40B7A20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本年度无此项支出。</w:t>
      </w:r>
    </w:p>
    <w:p w14:paraId="28EF7D97">
      <w:pPr>
        <w:spacing w:line="580" w:lineRule="exact"/>
        <w:ind w:firstLine="548" w:firstLineChars="196"/>
        <w:rPr>
          <w:rFonts w:ascii="黑体" w:eastAsia="黑体"/>
          <w:bCs/>
          <w:sz w:val="28"/>
          <w:szCs w:val="28"/>
        </w:rPr>
      </w:pPr>
      <w:r>
        <w:rPr>
          <w:rFonts w:hint="eastAsia" w:ascii="黑体" w:eastAsia="黑体"/>
          <w:bCs/>
          <w:sz w:val="28"/>
          <w:szCs w:val="28"/>
        </w:rPr>
        <w:t>七、财政拨款基本支出决算情况说明</w:t>
      </w:r>
    </w:p>
    <w:p w14:paraId="2D2121F5">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513.26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5C900E3">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14:paraId="4CBE496A">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3E9E070D">
      <w:pPr>
        <w:spacing w:line="560" w:lineRule="exact"/>
        <w:ind w:firstLine="600"/>
        <w:rPr>
          <w:rFonts w:ascii="仿宋_GB2312" w:eastAsia="仿宋_GB2312"/>
          <w:sz w:val="28"/>
          <w:szCs w:val="28"/>
        </w:rPr>
      </w:pPr>
      <w:r>
        <w:rPr>
          <w:rFonts w:hint="eastAsia" w:ascii="仿宋_GB2312" w:eastAsia="仿宋_GB2312"/>
          <w:sz w:val="28"/>
          <w:szCs w:val="28"/>
        </w:rPr>
        <w:t>“三公”经费包括</w:t>
      </w:r>
      <w:r>
        <w:rPr>
          <w:rFonts w:hint="eastAsia" w:ascii="仿宋_GB2312" w:eastAsia="仿宋_GB2312"/>
          <w:bCs/>
          <w:sz w:val="28"/>
          <w:szCs w:val="28"/>
        </w:rPr>
        <w:t>1个</w:t>
      </w:r>
      <w:r>
        <w:rPr>
          <w:rFonts w:hint="eastAsia" w:ascii="仿宋_GB2312" w:eastAsia="仿宋_GB2312"/>
          <w:sz w:val="28"/>
          <w:szCs w:val="28"/>
        </w:rPr>
        <w:t>事业单位。2023年度“三公”经费财政拨款决算数</w:t>
      </w:r>
      <w:r>
        <w:rPr>
          <w:rFonts w:ascii="仿宋_GB2312" w:eastAsia="仿宋_GB2312"/>
          <w:sz w:val="28"/>
          <w:szCs w:val="28"/>
        </w:rPr>
        <w:t>1.3</w:t>
      </w:r>
      <w:r>
        <w:rPr>
          <w:rFonts w:hint="eastAsia" w:ascii="仿宋_GB2312" w:eastAsia="仿宋_GB2312"/>
          <w:sz w:val="28"/>
          <w:szCs w:val="28"/>
        </w:rPr>
        <w:t>万元，比2023年度“三公”经费财政拨款年初预算</w:t>
      </w:r>
      <w:r>
        <w:rPr>
          <w:rFonts w:ascii="仿宋_GB2312" w:eastAsia="仿宋_GB2312"/>
          <w:sz w:val="28"/>
          <w:szCs w:val="28"/>
        </w:rPr>
        <w:t>5.04</w:t>
      </w:r>
      <w:r>
        <w:rPr>
          <w:rFonts w:hint="eastAsia" w:ascii="仿宋_GB2312" w:eastAsia="仿宋_GB2312"/>
          <w:sz w:val="28"/>
          <w:szCs w:val="28"/>
        </w:rPr>
        <w:t>万元减少</w:t>
      </w:r>
      <w:r>
        <w:rPr>
          <w:rFonts w:ascii="仿宋_GB2312" w:eastAsia="仿宋_GB2312"/>
          <w:sz w:val="28"/>
          <w:szCs w:val="28"/>
        </w:rPr>
        <w:t>3.74</w:t>
      </w:r>
      <w:r>
        <w:rPr>
          <w:rFonts w:hint="eastAsia" w:ascii="仿宋_GB2312" w:eastAsia="仿宋_GB2312"/>
          <w:sz w:val="28"/>
          <w:szCs w:val="28"/>
        </w:rPr>
        <w:t>万元。其中：</w:t>
      </w:r>
    </w:p>
    <w:p w14:paraId="7E56066A">
      <w:pPr>
        <w:spacing w:line="560" w:lineRule="exact"/>
        <w:ind w:firstLine="600"/>
        <w:rPr>
          <w:rFonts w:ascii="仿宋_GB2312" w:eastAsia="仿宋_GB2312"/>
          <w:sz w:val="28"/>
          <w:szCs w:val="28"/>
        </w:rPr>
      </w:pPr>
      <w:r>
        <w:rPr>
          <w:rFonts w:hint="eastAsia" w:ascii="仿宋_GB2312" w:eastAsia="仿宋_GB2312"/>
          <w:sz w:val="28"/>
          <w:szCs w:val="28"/>
        </w:rPr>
        <w:t>1.因公出国（境）费用。20</w:t>
      </w:r>
      <w:r>
        <w:rPr>
          <w:rFonts w:ascii="仿宋_GB2312" w:eastAsia="仿宋_GB2312"/>
          <w:sz w:val="28"/>
          <w:szCs w:val="28"/>
        </w:rPr>
        <w:t>2</w:t>
      </w:r>
      <w:r>
        <w:rPr>
          <w:rFonts w:hint="eastAsia" w:ascii="仿宋_GB2312" w:eastAsia="仿宋_GB2312"/>
          <w:sz w:val="28"/>
          <w:szCs w:val="28"/>
        </w:rPr>
        <w:t>3年决算数0万元，比年初预算数持平。20</w:t>
      </w:r>
      <w:r>
        <w:rPr>
          <w:rFonts w:ascii="仿宋_GB2312" w:eastAsia="仿宋_GB2312"/>
          <w:sz w:val="28"/>
          <w:szCs w:val="28"/>
        </w:rPr>
        <w:t>2</w:t>
      </w:r>
      <w:r>
        <w:rPr>
          <w:rFonts w:hint="eastAsia" w:ascii="仿宋_GB2312" w:eastAsia="仿宋_GB2312"/>
          <w:sz w:val="28"/>
          <w:szCs w:val="28"/>
        </w:rPr>
        <w:t>3年因公出国（境）费用主要用于会议、培训等事项，20</w:t>
      </w:r>
      <w:r>
        <w:rPr>
          <w:rFonts w:ascii="仿宋_GB2312" w:eastAsia="仿宋_GB2312"/>
          <w:sz w:val="28"/>
          <w:szCs w:val="28"/>
        </w:rPr>
        <w:t>2</w:t>
      </w:r>
      <w:r>
        <w:rPr>
          <w:rFonts w:hint="eastAsia" w:ascii="仿宋_GB2312" w:eastAsia="仿宋_GB2312"/>
          <w:sz w:val="28"/>
          <w:szCs w:val="28"/>
        </w:rPr>
        <w:t>3年组织因公出国（境）团组0个、0人次，人均因公出国（境）费用0万元。</w:t>
      </w:r>
    </w:p>
    <w:p w14:paraId="68850861">
      <w:pPr>
        <w:spacing w:line="560" w:lineRule="exact"/>
        <w:ind w:firstLine="600"/>
        <w:rPr>
          <w:rFonts w:ascii="仿宋_GB2312" w:eastAsia="仿宋_GB2312"/>
          <w:sz w:val="28"/>
          <w:szCs w:val="28"/>
        </w:rPr>
      </w:pPr>
      <w:r>
        <w:rPr>
          <w:rFonts w:hint="eastAsia" w:ascii="仿宋_GB2312" w:eastAsia="仿宋_GB2312"/>
          <w:sz w:val="28"/>
          <w:szCs w:val="28"/>
        </w:rPr>
        <w:t>2.公务接待费。20</w:t>
      </w:r>
      <w:r>
        <w:rPr>
          <w:rFonts w:ascii="仿宋_GB2312" w:eastAsia="仿宋_GB2312"/>
          <w:sz w:val="28"/>
          <w:szCs w:val="28"/>
        </w:rPr>
        <w:t>2</w:t>
      </w:r>
      <w:r>
        <w:rPr>
          <w:rFonts w:hint="eastAsia" w:ascii="仿宋_GB2312" w:eastAsia="仿宋_GB2312"/>
          <w:sz w:val="28"/>
          <w:szCs w:val="28"/>
        </w:rPr>
        <w:t>3年决算数0万元，比2023年度年初预算数持平。公务接待费主要用于接待事项。公务接待0批次，公务接待0人次。</w:t>
      </w:r>
    </w:p>
    <w:p w14:paraId="009A7736">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3.公务用车购置及运行维护费。2023年度决算数1.3万元，比2023年度年初预算数5.04万元减</w:t>
      </w:r>
      <w:r>
        <w:rPr>
          <w:rFonts w:hint="eastAsia" w:ascii="仿宋_GB2312" w:eastAsia="仿宋_GB2312"/>
          <w:sz w:val="28"/>
          <w:szCs w:val="28"/>
          <w:lang w:eastAsia="zh-CN"/>
        </w:rPr>
        <w:t>少</w:t>
      </w:r>
      <w:r>
        <w:rPr>
          <w:rFonts w:ascii="仿宋_GB2312" w:eastAsia="仿宋_GB2312"/>
          <w:sz w:val="28"/>
          <w:szCs w:val="28"/>
        </w:rPr>
        <w:t>3.74</w:t>
      </w:r>
      <w:r>
        <w:rPr>
          <w:rFonts w:hint="eastAsia" w:ascii="仿宋_GB2312" w:eastAsia="仿宋_GB2312"/>
          <w:sz w:val="28"/>
          <w:szCs w:val="28"/>
        </w:rPr>
        <w:t>万元。其中：</w:t>
      </w:r>
    </w:p>
    <w:p w14:paraId="58979BF5">
      <w:pPr>
        <w:spacing w:line="560" w:lineRule="exact"/>
        <w:ind w:firstLine="560" w:firstLineChars="200"/>
        <w:rPr>
          <w:rFonts w:ascii="仿宋_GB2312" w:eastAsia="仿宋_GB2312"/>
          <w:sz w:val="28"/>
          <w:szCs w:val="28"/>
        </w:rPr>
      </w:pPr>
      <w:r>
        <w:rPr>
          <w:rFonts w:hint="eastAsia" w:ascii="仿宋_GB2312" w:eastAsia="仿宋_GB2312"/>
          <w:sz w:val="28"/>
          <w:szCs w:val="28"/>
        </w:rPr>
        <w:t>公务用车购置费2023年度决算数</w:t>
      </w:r>
      <w:r>
        <w:rPr>
          <w:rFonts w:ascii="仿宋_GB2312" w:eastAsia="仿宋_GB2312"/>
          <w:sz w:val="28"/>
          <w:szCs w:val="28"/>
        </w:rPr>
        <w:t>0</w:t>
      </w:r>
      <w:r>
        <w:rPr>
          <w:rFonts w:hint="eastAsia" w:ascii="仿宋_GB2312" w:eastAsia="仿宋_GB2312"/>
          <w:sz w:val="28"/>
          <w:szCs w:val="28"/>
        </w:rPr>
        <w:t>万元，比年2023年度初预算数持平。主要原因：本年度无此项支出，2023年度购置（更新）0辆，车均购置费0万元；</w:t>
      </w:r>
    </w:p>
    <w:p w14:paraId="7B801268">
      <w:pPr>
        <w:spacing w:line="560" w:lineRule="exact"/>
        <w:ind w:firstLine="560" w:firstLineChars="200"/>
        <w:rPr>
          <w:rFonts w:ascii="仿宋_GB2312" w:eastAsia="仿宋_GB2312"/>
          <w:sz w:val="28"/>
          <w:szCs w:val="28"/>
        </w:rPr>
      </w:pPr>
      <w:r>
        <w:rPr>
          <w:rFonts w:hint="eastAsia" w:ascii="仿宋_GB2312" w:eastAsia="仿宋_GB2312"/>
          <w:sz w:val="28"/>
          <w:szCs w:val="28"/>
        </w:rPr>
        <w:t>公务用车运行维护费2023年度决算数</w:t>
      </w:r>
      <w:r>
        <w:rPr>
          <w:rFonts w:ascii="仿宋_GB2312" w:eastAsia="仿宋_GB2312"/>
          <w:sz w:val="28"/>
          <w:szCs w:val="28"/>
        </w:rPr>
        <w:t>1.3</w:t>
      </w:r>
      <w:r>
        <w:rPr>
          <w:rFonts w:hint="eastAsia" w:ascii="仿宋_GB2312" w:eastAsia="仿宋_GB2312"/>
          <w:sz w:val="28"/>
          <w:szCs w:val="28"/>
        </w:rPr>
        <w:t>万元，比2023年度年初预算数</w:t>
      </w:r>
      <w:r>
        <w:rPr>
          <w:rFonts w:ascii="仿宋_GB2312" w:eastAsia="仿宋_GB2312"/>
          <w:sz w:val="28"/>
          <w:szCs w:val="28"/>
        </w:rPr>
        <w:t>5.04</w:t>
      </w:r>
      <w:r>
        <w:rPr>
          <w:rFonts w:hint="eastAsia" w:ascii="仿宋_GB2312" w:eastAsia="仿宋_GB2312"/>
          <w:sz w:val="28"/>
          <w:szCs w:val="28"/>
        </w:rPr>
        <w:t>万元减</w:t>
      </w:r>
      <w:r>
        <w:rPr>
          <w:rFonts w:hint="eastAsia" w:ascii="仿宋_GB2312" w:eastAsia="仿宋_GB2312"/>
          <w:sz w:val="28"/>
          <w:szCs w:val="28"/>
          <w:lang w:eastAsia="zh-CN"/>
        </w:rPr>
        <w:t>少</w:t>
      </w:r>
      <w:r>
        <w:rPr>
          <w:rFonts w:hint="eastAsia" w:ascii="仿宋_GB2312" w:eastAsia="仿宋_GB2312"/>
          <w:sz w:val="28"/>
          <w:szCs w:val="28"/>
        </w:rPr>
        <w:t>-3.74万元，主要原因：我单位坚持厉行节约，严格车辆管理。2023年度公务用车运行维护费中，公务用车加油</w:t>
      </w:r>
      <w:r>
        <w:rPr>
          <w:rFonts w:ascii="仿宋_GB2312" w:eastAsia="仿宋_GB2312"/>
          <w:sz w:val="28"/>
          <w:szCs w:val="28"/>
        </w:rPr>
        <w:t>0.12</w:t>
      </w:r>
      <w:r>
        <w:rPr>
          <w:rFonts w:hint="eastAsia" w:ascii="仿宋_GB2312" w:eastAsia="仿宋_GB2312"/>
          <w:sz w:val="28"/>
          <w:szCs w:val="28"/>
        </w:rPr>
        <w:t>万元，公务用车维修</w:t>
      </w:r>
      <w:r>
        <w:rPr>
          <w:rFonts w:ascii="仿宋_GB2312" w:eastAsia="仿宋_GB2312"/>
          <w:sz w:val="28"/>
          <w:szCs w:val="28"/>
        </w:rPr>
        <w:t>0.71</w:t>
      </w:r>
      <w:r>
        <w:rPr>
          <w:rFonts w:hint="eastAsia" w:ascii="仿宋_GB2312" w:eastAsia="仿宋_GB2312"/>
          <w:sz w:val="28"/>
          <w:szCs w:val="28"/>
        </w:rPr>
        <w:t>万元，公务用车保险</w:t>
      </w:r>
      <w:r>
        <w:rPr>
          <w:rFonts w:ascii="仿宋_GB2312" w:eastAsia="仿宋_GB2312"/>
          <w:sz w:val="28"/>
          <w:szCs w:val="28"/>
        </w:rPr>
        <w:t>0.41</w:t>
      </w:r>
      <w:r>
        <w:rPr>
          <w:rFonts w:hint="eastAsia" w:ascii="仿宋_GB2312" w:eastAsia="仿宋_GB2312"/>
          <w:sz w:val="28"/>
          <w:szCs w:val="28"/>
        </w:rPr>
        <w:t>万元，公务用车其他支出</w:t>
      </w:r>
      <w:r>
        <w:rPr>
          <w:rFonts w:ascii="仿宋_GB2312" w:eastAsia="仿宋_GB2312"/>
          <w:sz w:val="28"/>
          <w:szCs w:val="28"/>
        </w:rPr>
        <w:t>0.06</w:t>
      </w:r>
      <w:r>
        <w:rPr>
          <w:rFonts w:hint="eastAsia" w:ascii="仿宋_GB2312" w:eastAsia="仿宋_GB2312"/>
          <w:sz w:val="28"/>
          <w:szCs w:val="28"/>
        </w:rPr>
        <w:t>万元。2023年度公务用车保有量2辆，车均运行维护费0.65万元。</w:t>
      </w:r>
    </w:p>
    <w:p w14:paraId="44D6709C">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14:paraId="7065ECB0">
      <w:pPr>
        <w:ind w:left="540"/>
        <w:rPr>
          <w:rFonts w:ascii="仿宋_GB2312" w:eastAsia="仿宋_GB2312"/>
          <w:sz w:val="28"/>
          <w:szCs w:val="28"/>
        </w:rPr>
      </w:pPr>
      <w:r>
        <w:rPr>
          <w:rFonts w:hint="eastAsia" w:ascii="仿宋_GB2312" w:eastAsia="仿宋_GB2312"/>
          <w:sz w:val="28"/>
          <w:szCs w:val="28"/>
        </w:rPr>
        <w:t>本单位不属于机关运行经费统计范围。</w:t>
      </w:r>
    </w:p>
    <w:p w14:paraId="635E4A02">
      <w:pPr>
        <w:ind w:left="540"/>
        <w:rPr>
          <w:rFonts w:ascii="黑体" w:eastAsia="黑体"/>
          <w:sz w:val="28"/>
          <w:szCs w:val="28"/>
        </w:rPr>
      </w:pPr>
      <w:r>
        <w:rPr>
          <w:rFonts w:hint="eastAsia" w:ascii="黑体" w:eastAsia="黑体"/>
          <w:sz w:val="28"/>
          <w:szCs w:val="28"/>
        </w:rPr>
        <w:t>三、政府采购支出情况</w:t>
      </w:r>
    </w:p>
    <w:p w14:paraId="6ABAE1C0">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1.79</w:t>
      </w:r>
      <w:r>
        <w:rPr>
          <w:rFonts w:hint="eastAsia" w:ascii="仿宋_GB2312" w:eastAsia="仿宋_GB2312"/>
          <w:sz w:val="28"/>
          <w:szCs w:val="28"/>
        </w:rPr>
        <w:t>万元，其中：政府采购货物支出</w:t>
      </w:r>
      <w:r>
        <w:rPr>
          <w:rFonts w:ascii="仿宋_GB2312" w:eastAsia="仿宋_GB2312"/>
          <w:sz w:val="28"/>
          <w:szCs w:val="28"/>
        </w:rPr>
        <w:t>0.67</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1.12</w:t>
      </w:r>
      <w:r>
        <w:rPr>
          <w:rFonts w:hint="eastAsia" w:ascii="仿宋_GB2312" w:eastAsia="仿宋_GB2312"/>
          <w:sz w:val="28"/>
          <w:szCs w:val="28"/>
        </w:rPr>
        <w:t>万元。授予中小企业合同金额</w:t>
      </w:r>
      <w:r>
        <w:rPr>
          <w:rFonts w:ascii="仿宋_GB2312" w:eastAsia="仿宋_GB2312"/>
          <w:sz w:val="28"/>
          <w:szCs w:val="28"/>
        </w:rPr>
        <w:t>1.38</w:t>
      </w:r>
      <w:r>
        <w:rPr>
          <w:rFonts w:hint="eastAsia" w:ascii="仿宋_GB2312" w:eastAsia="仿宋_GB2312"/>
          <w:sz w:val="28"/>
          <w:szCs w:val="28"/>
        </w:rPr>
        <w:t>万元，占政府采购支出总额的</w:t>
      </w:r>
      <w:r>
        <w:rPr>
          <w:rFonts w:ascii="仿宋_GB2312" w:eastAsia="仿宋_GB2312"/>
          <w:sz w:val="28"/>
          <w:szCs w:val="28"/>
        </w:rPr>
        <w:t>77.07</w:t>
      </w:r>
      <w:r>
        <w:rPr>
          <w:rFonts w:hint="eastAsia" w:ascii="仿宋_GB2312" w:eastAsia="仿宋_GB2312"/>
          <w:sz w:val="28"/>
          <w:szCs w:val="28"/>
        </w:rPr>
        <w:t>%，其中：授予小微企业合同金额</w:t>
      </w:r>
      <w:r>
        <w:rPr>
          <w:rFonts w:ascii="仿宋_GB2312" w:eastAsia="仿宋_GB2312"/>
          <w:sz w:val="28"/>
          <w:szCs w:val="28"/>
        </w:rPr>
        <w:t>0.71</w:t>
      </w:r>
      <w:r>
        <w:rPr>
          <w:rFonts w:hint="eastAsia" w:ascii="仿宋_GB2312" w:eastAsia="仿宋_GB2312"/>
          <w:sz w:val="28"/>
          <w:szCs w:val="28"/>
        </w:rPr>
        <w:t>万元，占政府采购支出总额的</w:t>
      </w:r>
      <w:r>
        <w:rPr>
          <w:rFonts w:ascii="仿宋_GB2312" w:eastAsia="仿宋_GB2312"/>
          <w:sz w:val="28"/>
          <w:szCs w:val="28"/>
        </w:rPr>
        <w:t>39.57</w:t>
      </w:r>
      <w:r>
        <w:rPr>
          <w:rFonts w:hint="eastAsia" w:ascii="仿宋_GB2312" w:eastAsia="仿宋_GB2312"/>
          <w:sz w:val="28"/>
          <w:szCs w:val="28"/>
        </w:rPr>
        <w:t>%。</w:t>
      </w:r>
    </w:p>
    <w:p w14:paraId="255E4008">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27657002">
      <w:pPr>
        <w:ind w:firstLine="560" w:firstLineChars="200"/>
        <w:rPr>
          <w:rFonts w:ascii="仿宋_GB2312" w:eastAsia="仿宋_GB2312"/>
          <w:sz w:val="32"/>
          <w:szCs w:val="32"/>
        </w:rPr>
      </w:pPr>
      <w:r>
        <w:rPr>
          <w:rFonts w:hint="eastAsia" w:ascii="仿宋_GB2312" w:eastAsia="仿宋_GB2312"/>
          <w:sz w:val="28"/>
          <w:szCs w:val="28"/>
        </w:rPr>
        <w:t>2023年度新购置车辆0台，共计0万元；新购置单位价值100万元（含）以上的设备0台（套），共计0万元。截至12月31日，共有车辆2台，共计26.5万元；单位价值100万元（含）以上的设备0台（套），共计0万元。</w:t>
      </w:r>
    </w:p>
    <w:p w14:paraId="3BC6BED4">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87766C8">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政府购买服务决算0</w:t>
      </w:r>
      <w:r>
        <w:rPr>
          <w:rFonts w:hint="eastAsia" w:ascii="仿宋_GB2312" w:eastAsia="仿宋_GB2312"/>
          <w:sz w:val="28"/>
          <w:szCs w:val="28"/>
        </w:rPr>
        <w:t>万元。</w:t>
      </w:r>
    </w:p>
    <w:p w14:paraId="1AF12E15">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52C71A6">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C896E7B">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39EDA5F4">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0743ACB4">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8C7F519">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E706192">
      <w:pPr>
        <w:ind w:firstLine="420" w:firstLineChars="150"/>
        <w:rPr>
          <w:rFonts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316EE153">
      <w:pPr>
        <w:pStyle w:val="2"/>
        <w:rPr>
          <w:rFonts w:hint="eastAsia" w:ascii="仿宋_GB2312" w:eastAsia="仿宋_GB2312"/>
          <w:sz w:val="28"/>
          <w:szCs w:val="28"/>
        </w:rPr>
      </w:pPr>
      <w:r>
        <w:rPr>
          <w:rFonts w:hint="eastAsia" w:ascii="仿宋_GB2312" w:eastAsia="仿宋_GB2312"/>
          <w:sz w:val="28"/>
          <w:szCs w:val="28"/>
        </w:rPr>
        <w:t>7.社会保障和就业支出（类）行政事业单位养老支出（款）事业单位离退休（项）：反映事业单位开支的离退休经费。</w:t>
      </w:r>
    </w:p>
    <w:p w14:paraId="04E28467">
      <w:pPr>
        <w:pStyle w:val="2"/>
        <w:rPr>
          <w:rFonts w:hint="eastAsia"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8.社会保障和就业支出（类）行政事业单位养老支出（款）机关事业单位基本养老保险缴费支出（项）：反映机关事业单位实施养老保险制度由单位缴纳的基本养老保险费支出。</w:t>
      </w:r>
    </w:p>
    <w:p w14:paraId="696DE1B1">
      <w:pPr>
        <w:pStyle w:val="2"/>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w:t>
      </w:r>
    </w:p>
    <w:p w14:paraId="7A0035C9">
      <w:pPr>
        <w:pStyle w:val="2"/>
        <w:rPr>
          <w:rFonts w:hint="eastAsia" w:ascii="仿宋_GB2312" w:eastAsia="仿宋_GB2312"/>
          <w:sz w:val="28"/>
          <w:szCs w:val="28"/>
        </w:rPr>
      </w:pPr>
      <w:r>
        <w:rPr>
          <w:rFonts w:hint="eastAsia" w:ascii="仿宋_GB2312" w:eastAsia="仿宋_GB2312"/>
          <w:sz w:val="28"/>
          <w:szCs w:val="28"/>
        </w:rPr>
        <w:t>10.卫生健康支出（类）行政事业单位医疗（款）事业单位医疗（项）：反映财政部门安排的事业单位基本医疗保险缴费经费，未参加医疗保险的事业单位的公费医疗经费，按国家规定享受离休人员待遇的医疗经费。</w:t>
      </w:r>
    </w:p>
    <w:p w14:paraId="60D75ED8">
      <w:pPr>
        <w:pStyle w:val="2"/>
        <w:rPr>
          <w:rFonts w:hint="eastAsia" w:ascii="仿宋_GB2312" w:eastAsia="仿宋_GB2312"/>
          <w:sz w:val="28"/>
          <w:szCs w:val="28"/>
        </w:rPr>
      </w:pPr>
      <w:r>
        <w:rPr>
          <w:rFonts w:hint="eastAsia" w:ascii="仿宋_GB2312" w:eastAsia="仿宋_GB2312"/>
          <w:sz w:val="28"/>
          <w:szCs w:val="28"/>
        </w:rPr>
        <w:t>11.农林水支出（类）水利（款）水利工程运行与维护（项）：反映水利系统用于江、河、湖、滩等治理工程运行与维护方面的支出，以及纳入预算管理的水利工程管理单位的支出。</w:t>
      </w:r>
    </w:p>
    <w:p w14:paraId="763EC316">
      <w:pPr>
        <w:pStyle w:val="2"/>
        <w:rPr>
          <w:rFonts w:hint="eastAsia" w:ascii="仿宋_GB2312" w:eastAsia="仿宋_GB2312"/>
          <w:sz w:val="28"/>
          <w:szCs w:val="28"/>
        </w:rPr>
      </w:pPr>
      <w:r>
        <w:rPr>
          <w:rFonts w:hint="eastAsia" w:ascii="仿宋_GB2312" w:eastAsia="仿宋_GB2312"/>
          <w:sz w:val="28"/>
          <w:szCs w:val="28"/>
        </w:rPr>
        <w:t>12.农林水支出（类）水利（款）其他水利支出（项）：反映除上述项目以外其他用于水利方面的支出。</w:t>
      </w:r>
    </w:p>
    <w:p w14:paraId="4F6D87DF">
      <w:pPr>
        <w:pStyle w:val="2"/>
        <w:rPr>
          <w:rFonts w:hint="default" w:ascii="仿宋_GB2312" w:eastAsia="仿宋_GB2312" w:cs="Times New Roman"/>
          <w:kern w:val="2"/>
          <w:sz w:val="28"/>
          <w:szCs w:val="28"/>
          <w:lang w:val="en-US" w:eastAsia="zh-CN" w:bidi="ar-SA"/>
        </w:rPr>
      </w:pPr>
      <w:r>
        <w:rPr>
          <w:rFonts w:hint="eastAsia" w:ascii="仿宋_GB2312" w:eastAsia="仿宋_GB2312"/>
          <w:sz w:val="28"/>
          <w:szCs w:val="28"/>
        </w:rPr>
        <w:t>13.其他支出（类）其他支出（款）其他支出（项）：反映除上述项目以外其他不能划分到具体功能科目中的支出项目。</w:t>
      </w:r>
    </w:p>
    <w:p w14:paraId="74C900E6">
      <w:pPr>
        <w:pStyle w:val="2"/>
        <w:ind w:left="0" w:leftChars="0" w:firstLine="0" w:firstLineChars="0"/>
        <w:rPr>
          <w:rFonts w:ascii="黑体" w:eastAsia="黑体"/>
          <w:sz w:val="32"/>
          <w:szCs w:val="32"/>
        </w:rPr>
      </w:pPr>
    </w:p>
    <w:p w14:paraId="42AE0B9F">
      <w:pPr>
        <w:ind w:firstLine="640" w:firstLineChars="200"/>
        <w:jc w:val="center"/>
        <w:rPr>
          <w:rFonts w:ascii="黑体" w:eastAsia="黑体"/>
          <w:sz w:val="32"/>
          <w:szCs w:val="32"/>
        </w:rPr>
      </w:pPr>
    </w:p>
    <w:p w14:paraId="2742BCF7">
      <w:pPr>
        <w:pStyle w:val="2"/>
        <w:rPr>
          <w:rFonts w:ascii="黑体" w:eastAsia="黑体"/>
          <w:sz w:val="32"/>
          <w:szCs w:val="32"/>
        </w:rPr>
      </w:pPr>
    </w:p>
    <w:p w14:paraId="17217417">
      <w:pPr>
        <w:pStyle w:val="2"/>
        <w:rPr>
          <w:rFonts w:ascii="黑体" w:eastAsia="黑体"/>
          <w:sz w:val="32"/>
          <w:szCs w:val="32"/>
        </w:rPr>
      </w:pPr>
    </w:p>
    <w:p w14:paraId="6C7C68F2">
      <w:pPr>
        <w:pStyle w:val="2"/>
        <w:rPr>
          <w:rFonts w:ascii="黑体" w:eastAsia="黑体"/>
          <w:sz w:val="32"/>
          <w:szCs w:val="32"/>
        </w:rPr>
      </w:pPr>
    </w:p>
    <w:p w14:paraId="6AEB460B">
      <w:pPr>
        <w:pStyle w:val="2"/>
        <w:rPr>
          <w:rFonts w:ascii="黑体" w:eastAsia="黑体"/>
          <w:sz w:val="32"/>
          <w:szCs w:val="32"/>
        </w:rPr>
      </w:pPr>
    </w:p>
    <w:p w14:paraId="7852B5C3">
      <w:pPr>
        <w:pStyle w:val="2"/>
        <w:rPr>
          <w:rFonts w:ascii="黑体" w:eastAsia="黑体"/>
          <w:sz w:val="32"/>
          <w:szCs w:val="32"/>
        </w:rPr>
      </w:pPr>
    </w:p>
    <w:p w14:paraId="3B2A0AE6">
      <w:pPr>
        <w:pStyle w:val="2"/>
        <w:rPr>
          <w:rFonts w:ascii="黑体" w:eastAsia="黑体"/>
          <w:sz w:val="32"/>
          <w:szCs w:val="32"/>
        </w:rPr>
      </w:pPr>
    </w:p>
    <w:p w14:paraId="6E7A7A31">
      <w:pPr>
        <w:pStyle w:val="2"/>
        <w:rPr>
          <w:rFonts w:ascii="黑体" w:eastAsia="黑体"/>
          <w:sz w:val="32"/>
          <w:szCs w:val="32"/>
        </w:rPr>
      </w:pPr>
    </w:p>
    <w:p w14:paraId="1CFDE98A">
      <w:pPr>
        <w:pStyle w:val="2"/>
        <w:rPr>
          <w:rFonts w:ascii="黑体" w:eastAsia="黑体"/>
          <w:sz w:val="32"/>
          <w:szCs w:val="32"/>
        </w:rPr>
      </w:pPr>
    </w:p>
    <w:p w14:paraId="3DF92851">
      <w:pPr>
        <w:pStyle w:val="2"/>
        <w:rPr>
          <w:rFonts w:ascii="黑体" w:eastAsia="黑体"/>
          <w:sz w:val="32"/>
          <w:szCs w:val="32"/>
        </w:rPr>
      </w:pPr>
    </w:p>
    <w:p w14:paraId="1E8DD43F">
      <w:pPr>
        <w:pStyle w:val="2"/>
        <w:rPr>
          <w:rFonts w:ascii="黑体" w:eastAsia="黑体"/>
          <w:sz w:val="32"/>
          <w:szCs w:val="32"/>
        </w:rPr>
      </w:pPr>
    </w:p>
    <w:p w14:paraId="0B4FC4F8">
      <w:pPr>
        <w:numPr>
          <w:ilvl w:val="0"/>
          <w:numId w:val="2"/>
        </w:numPr>
        <w:ind w:firstLine="640" w:firstLineChars="200"/>
        <w:jc w:val="center"/>
        <w:rPr>
          <w:rFonts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 xml:space="preserve"> 2023年度部门绩效评价情况</w:t>
      </w:r>
    </w:p>
    <w:p w14:paraId="195C8497">
      <w:pPr>
        <w:numPr>
          <w:ilvl w:val="0"/>
          <w:numId w:val="3"/>
        </w:numPr>
        <w:ind w:firstLine="560" w:firstLineChars="200"/>
        <w:rPr>
          <w:rFonts w:ascii="黑体" w:eastAsia="黑体"/>
          <w:sz w:val="28"/>
          <w:szCs w:val="28"/>
        </w:rPr>
      </w:pPr>
      <w:r>
        <w:rPr>
          <w:rFonts w:hint="eastAsia" w:ascii="黑体" w:eastAsia="黑体"/>
          <w:sz w:val="28"/>
          <w:szCs w:val="28"/>
        </w:rPr>
        <w:t>部门整体绩效评价报告</w:t>
      </w:r>
    </w:p>
    <w:p w14:paraId="2136C34F">
      <w:pPr>
        <w:pStyle w:val="2"/>
        <w:ind w:firstLine="560"/>
      </w:pPr>
      <w:r>
        <w:rPr>
          <w:rFonts w:hint="eastAsia" w:ascii="仿宋_GB2312" w:eastAsia="仿宋_GB2312"/>
          <w:sz w:val="28"/>
          <w:szCs w:val="28"/>
        </w:rPr>
        <w:t>北京市密云区西田各庄水务站属于二级预算单位，不需对部门整体支出绩效自评表进行公开。</w:t>
      </w:r>
    </w:p>
    <w:p w14:paraId="6904E22F">
      <w:pPr>
        <w:numPr>
          <w:ilvl w:val="0"/>
          <w:numId w:val="3"/>
        </w:numPr>
        <w:ind w:firstLine="560" w:firstLineChars="200"/>
        <w:rPr>
          <w:rFonts w:ascii="黑体" w:eastAsia="黑体"/>
          <w:sz w:val="28"/>
          <w:szCs w:val="28"/>
        </w:rPr>
      </w:pPr>
      <w:r>
        <w:rPr>
          <w:rFonts w:hint="eastAsia" w:ascii="黑体" w:eastAsia="黑体"/>
          <w:sz w:val="28"/>
          <w:szCs w:val="28"/>
        </w:rPr>
        <w:t>项目支出绩效评价报告</w:t>
      </w:r>
    </w:p>
    <w:p w14:paraId="189A89A3">
      <w:pPr>
        <w:pStyle w:val="2"/>
        <w:ind w:firstLine="420"/>
      </w:pPr>
      <w:r>
        <w:rPr>
          <w:rFonts w:hint="eastAsia"/>
        </w:rPr>
        <w:t xml:space="preserve"> </w:t>
      </w:r>
      <w:r>
        <w:rPr>
          <w:rFonts w:hint="eastAsia" w:ascii="仿宋_GB2312" w:eastAsia="仿宋_GB2312"/>
          <w:sz w:val="28"/>
          <w:szCs w:val="28"/>
        </w:rPr>
        <w:t>北京市密云区西田各庄水务站属于二级预算单位，不需对项目支出绩效评价报告进行公开。</w:t>
      </w:r>
    </w:p>
    <w:p w14:paraId="4DA4D87B">
      <w:pPr>
        <w:numPr>
          <w:ilvl w:val="0"/>
          <w:numId w:val="3"/>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14:paraId="330CE1EC">
      <w:pPr>
        <w:pStyle w:val="2"/>
        <w:ind w:firstLine="560"/>
      </w:pPr>
      <w:r>
        <w:rPr>
          <w:rFonts w:hint="eastAsia" w:ascii="仿宋_GB2312" w:eastAsia="仿宋_GB2312"/>
          <w:sz w:val="28"/>
          <w:szCs w:val="28"/>
        </w:rPr>
        <w:t>本年度无项目支出，不需对项目支出绩效自评表进行公开。</w:t>
      </w:r>
    </w:p>
    <w:p w14:paraId="3B9D6FA8">
      <w:pPr>
        <w:ind w:firstLine="560" w:firstLineChars="200"/>
        <w:rPr>
          <w:rFonts w:ascii="黑体" w:eastAsia="黑体"/>
          <w:sz w:val="28"/>
          <w:szCs w:val="28"/>
        </w:rPr>
      </w:pPr>
      <w:r>
        <w:rPr>
          <w:rFonts w:hint="eastAsia" w:ascii="黑体" w:eastAsia="黑体"/>
          <w:sz w:val="28"/>
          <w:szCs w:val="28"/>
        </w:rPr>
        <w:t>四、中央对北京转移支付预算执行情况绩效自评报告</w:t>
      </w:r>
    </w:p>
    <w:p w14:paraId="48E105B4">
      <w:pPr>
        <w:pStyle w:val="2"/>
        <w:ind w:firstLine="560"/>
        <w:rPr>
          <w:rFonts w:ascii="仿宋_GB2312" w:eastAsia="仿宋_GB2312"/>
          <w:sz w:val="28"/>
          <w:szCs w:val="28"/>
        </w:rPr>
      </w:pPr>
      <w:r>
        <w:rPr>
          <w:rFonts w:hint="eastAsia" w:ascii="仿宋_GB2312" w:eastAsia="仿宋_GB2312"/>
          <w:sz w:val="28"/>
          <w:szCs w:val="28"/>
        </w:rPr>
        <w:t>北京市密云区西田各庄水务站属于二级预算单位并且本年度无此事项支出，不需对中央转移支付预算执行情况绩效自评报告进行公开。</w:t>
      </w:r>
    </w:p>
    <w:p w14:paraId="1A6A5980"/>
    <w:p w14:paraId="7CC00089"/>
    <w:p w14:paraId="6A89A041">
      <w:pPr>
        <w:pStyle w:val="2"/>
        <w:ind w:firstLine="0" w:firstLineChars="0"/>
      </w:pPr>
    </w:p>
    <w:sectPr>
      <w:footerReference r:id="rId3" w:type="default"/>
      <w:footerReference r:id="rId4" w:type="even"/>
      <w:pgSz w:w="16838" w:h="11906" w:orient="landscape"/>
      <w:pgMar w:top="567" w:right="1134" w:bottom="567"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A00002EF" w:usb1="4000004B"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Droid Sans">
    <w:altName w:val="Arial Unicode MS"/>
    <w:panose1 w:val="00000000000000000000"/>
    <w:charset w:val="00"/>
    <w:family w:val="auto"/>
    <w:pitch w:val="default"/>
    <w:sig w:usb0="00000000" w:usb1="00000000" w:usb2="00000000"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70516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19</w:t>
    </w:r>
    <w:r>
      <w:fldChar w:fldCharType="end"/>
    </w:r>
  </w:p>
  <w:p w14:paraId="1DA0880A">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24E3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43B0E5BA">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86432E"/>
    <w:multiLevelType w:val="singleLevel"/>
    <w:tmpl w:val="9F86432E"/>
    <w:lvl w:ilvl="0" w:tentative="0">
      <w:start w:val="2"/>
      <w:numFmt w:val="chineseCounting"/>
      <w:suff w:val="nothing"/>
      <w:lvlText w:val="（%1）"/>
      <w:lvlJc w:val="left"/>
      <w:rPr>
        <w:rFonts w:hint="eastAsia"/>
      </w:rPr>
    </w:lvl>
  </w:abstractNum>
  <w:abstractNum w:abstractNumId="1">
    <w:nsid w:val="BC2D5B57"/>
    <w:multiLevelType w:val="singleLevel"/>
    <w:tmpl w:val="BC2D5B57"/>
    <w:lvl w:ilvl="0" w:tentative="0">
      <w:start w:val="4"/>
      <w:numFmt w:val="chineseCounting"/>
      <w:suff w:val="space"/>
      <w:lvlText w:val="第%1部分"/>
      <w:lvlJc w:val="left"/>
      <w:rPr>
        <w:rFonts w:hint="eastAsia"/>
      </w:rPr>
    </w:lvl>
  </w:abstractNum>
  <w:abstractNum w:abstractNumId="2">
    <w:nsid w:val="7FBD25E8"/>
    <w:multiLevelType w:val="singleLevel"/>
    <w:tmpl w:val="7FBD25E8"/>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3NWZhYjg2N2QxMGMzMzVkZGNlYTc2M2VkMDllZDk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C6993"/>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48BF"/>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1AD"/>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1EF6"/>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00134"/>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C24"/>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4C8F"/>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1149"/>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1E83"/>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BF2F1D"/>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224C"/>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365B"/>
    <w:rsid w:val="00D742E2"/>
    <w:rsid w:val="00D7580E"/>
    <w:rsid w:val="00D87DAF"/>
    <w:rsid w:val="00D9446D"/>
    <w:rsid w:val="00DA2994"/>
    <w:rsid w:val="00DB08E8"/>
    <w:rsid w:val="00DB0DED"/>
    <w:rsid w:val="00DB3073"/>
    <w:rsid w:val="00DB3BA9"/>
    <w:rsid w:val="00DB50FE"/>
    <w:rsid w:val="00DB5EDA"/>
    <w:rsid w:val="00DB6C95"/>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DC445FC"/>
    <w:rsid w:val="0F585E7E"/>
    <w:rsid w:val="0F8E2C57"/>
    <w:rsid w:val="1059665E"/>
    <w:rsid w:val="10AC13BA"/>
    <w:rsid w:val="166F7CBE"/>
    <w:rsid w:val="1A1E1A7F"/>
    <w:rsid w:val="1AEC0734"/>
    <w:rsid w:val="1B3070D5"/>
    <w:rsid w:val="1DEF20B0"/>
    <w:rsid w:val="20856799"/>
    <w:rsid w:val="214243FA"/>
    <w:rsid w:val="257A14F5"/>
    <w:rsid w:val="269F7E0E"/>
    <w:rsid w:val="27196C26"/>
    <w:rsid w:val="29EF086F"/>
    <w:rsid w:val="2D2E54F8"/>
    <w:rsid w:val="2EFFE297"/>
    <w:rsid w:val="301437CA"/>
    <w:rsid w:val="3B6955DB"/>
    <w:rsid w:val="3BEA4265"/>
    <w:rsid w:val="40333486"/>
    <w:rsid w:val="42045BDC"/>
    <w:rsid w:val="433E495C"/>
    <w:rsid w:val="454B0B07"/>
    <w:rsid w:val="473E04B3"/>
    <w:rsid w:val="4AC27CB3"/>
    <w:rsid w:val="4AC33A4D"/>
    <w:rsid w:val="4BF72BEF"/>
    <w:rsid w:val="51DB3C59"/>
    <w:rsid w:val="53EF53D6"/>
    <w:rsid w:val="55762E42"/>
    <w:rsid w:val="57A7B272"/>
    <w:rsid w:val="58470068"/>
    <w:rsid w:val="5A1720F9"/>
    <w:rsid w:val="5B9C37C2"/>
    <w:rsid w:val="5BA7C654"/>
    <w:rsid w:val="5C042F02"/>
    <w:rsid w:val="622C096F"/>
    <w:rsid w:val="64C0607C"/>
    <w:rsid w:val="659A4588"/>
    <w:rsid w:val="676F09E1"/>
    <w:rsid w:val="6E1DD6B5"/>
    <w:rsid w:val="727B23D6"/>
    <w:rsid w:val="77FFF19E"/>
    <w:rsid w:val="79216C7B"/>
    <w:rsid w:val="7A7F1C49"/>
    <w:rsid w:val="7B330394"/>
    <w:rsid w:val="7B5B7AE6"/>
    <w:rsid w:val="7BA7071E"/>
    <w:rsid w:val="7BDF6DA8"/>
    <w:rsid w:val="7C636B9B"/>
    <w:rsid w:val="7C7EDC1A"/>
    <w:rsid w:val="7CCED98D"/>
    <w:rsid w:val="7CF96B18"/>
    <w:rsid w:val="7D08410F"/>
    <w:rsid w:val="7DB96DED"/>
    <w:rsid w:val="7DD3AD81"/>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Workbook2.xls"/><Relationship Id="rId7" Type="http://schemas.openxmlformats.org/officeDocument/2006/relationships/image" Target="media/image1.emf"/><Relationship Id="rId6" Type="http://schemas.openxmlformats.org/officeDocument/2006/relationships/oleObject" Target="embeddings/Workbook1.xls"/><Relationship Id="rId5" Type="http://schemas.openxmlformats.org/officeDocument/2006/relationships/theme" Target="theme/theme1.xml"/><Relationship Id="rId4" Type="http://schemas.openxmlformats.org/officeDocument/2006/relationships/footer" Target="footer2.xml"/><Relationship Id="rId36" Type="http://schemas.openxmlformats.org/officeDocument/2006/relationships/fontTable" Target="fontTable.xml"/><Relationship Id="rId35" Type="http://schemas.openxmlformats.org/officeDocument/2006/relationships/numbering" Target="numbering.xml"/><Relationship Id="rId34" Type="http://schemas.openxmlformats.org/officeDocument/2006/relationships/customXml" Target="../customXml/item1.xml"/><Relationship Id="rId33" Type="http://schemas.openxmlformats.org/officeDocument/2006/relationships/chart" Target="charts/chart2.xml"/><Relationship Id="rId32" Type="http://schemas.openxmlformats.org/officeDocument/2006/relationships/chart" Target="charts/chart1.xml"/><Relationship Id="rId31" Type="http://schemas.openxmlformats.org/officeDocument/2006/relationships/image" Target="media/image13.emf"/><Relationship Id="rId30" Type="http://schemas.openxmlformats.org/officeDocument/2006/relationships/oleObject" Target="embeddings/Workbook13.xls"/><Relationship Id="rId3" Type="http://schemas.openxmlformats.org/officeDocument/2006/relationships/footer" Target="footer1.xml"/><Relationship Id="rId29" Type="http://schemas.openxmlformats.org/officeDocument/2006/relationships/image" Target="media/image12.emf"/><Relationship Id="rId28" Type="http://schemas.openxmlformats.org/officeDocument/2006/relationships/oleObject" Target="embeddings/Workbook12.xls"/><Relationship Id="rId27" Type="http://schemas.openxmlformats.org/officeDocument/2006/relationships/image" Target="media/image11.emf"/><Relationship Id="rId26" Type="http://schemas.openxmlformats.org/officeDocument/2006/relationships/oleObject" Target="embeddings/Workbook11.xls"/><Relationship Id="rId25" Type="http://schemas.openxmlformats.org/officeDocument/2006/relationships/image" Target="media/image10.emf"/><Relationship Id="rId24" Type="http://schemas.openxmlformats.org/officeDocument/2006/relationships/oleObject" Target="embeddings/Workbook10.xls"/><Relationship Id="rId23" Type="http://schemas.openxmlformats.org/officeDocument/2006/relationships/image" Target="media/image9.emf"/><Relationship Id="rId22" Type="http://schemas.openxmlformats.org/officeDocument/2006/relationships/oleObject" Target="embeddings/Workbook9.xls"/><Relationship Id="rId21" Type="http://schemas.openxmlformats.org/officeDocument/2006/relationships/image" Target="media/image8.emf"/><Relationship Id="rId20" Type="http://schemas.openxmlformats.org/officeDocument/2006/relationships/oleObject" Target="embeddings/Workbook8.xls"/><Relationship Id="rId2" Type="http://schemas.openxmlformats.org/officeDocument/2006/relationships/settings" Target="settings.xml"/><Relationship Id="rId19" Type="http://schemas.openxmlformats.org/officeDocument/2006/relationships/image" Target="media/image7.emf"/><Relationship Id="rId18" Type="http://schemas.openxmlformats.org/officeDocument/2006/relationships/oleObject" Target="embeddings/Workbook7.xls"/><Relationship Id="rId17" Type="http://schemas.openxmlformats.org/officeDocument/2006/relationships/image" Target="media/image6.emf"/><Relationship Id="rId16" Type="http://schemas.openxmlformats.org/officeDocument/2006/relationships/oleObject" Target="embeddings/Workbook6.xls"/><Relationship Id="rId15" Type="http://schemas.openxmlformats.org/officeDocument/2006/relationships/image" Target="media/image5.emf"/><Relationship Id="rId14" Type="http://schemas.openxmlformats.org/officeDocument/2006/relationships/oleObject" Target="embeddings/Workbook5.xls"/><Relationship Id="rId13" Type="http://schemas.openxmlformats.org/officeDocument/2006/relationships/image" Target="media/image4.emf"/><Relationship Id="rId12" Type="http://schemas.openxmlformats.org/officeDocument/2006/relationships/oleObject" Target="embeddings/Workbook4.xls"/><Relationship Id="rId11" Type="http://schemas.openxmlformats.org/officeDocument/2006/relationships/image" Target="media/image3.emf"/><Relationship Id="rId10" Type="http://schemas.openxmlformats.org/officeDocument/2006/relationships/oleObject" Target="embeddings/Workbook3.xls"/><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4.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465.97</c:v>
                </c:pt>
                <c:pt idx="1">
                  <c:v>0</c:v>
                </c:pt>
                <c:pt idx="2">
                  <c:v>0</c:v>
                </c:pt>
                <c:pt idx="3">
                  <c:v>0</c:v>
                </c:pt>
                <c:pt idx="4">
                  <c:v>0</c:v>
                </c:pt>
                <c:pt idx="5">
                  <c:v>17.2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extLst>
      <c:ext uri="{0b15fc19-7d7d-44ad-8c2d-2c3a37ce22c3}">
        <chartProps xmlns="https://web.wps.cn/et/2018/main" chartId="{4b65c9e8-86f9-4bb9-b7dd-e9db6b1af88e}"/>
      </c:ext>
    </c:extLst>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513.26</c:v>
                </c:pt>
                <c:pt idx="1">
                  <c:v>15.66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extLst>
      <c:ext uri="{0b15fc19-7d7d-44ad-8c2d-2c3a37ce22c3}">
        <chartProps xmlns="https://web.wps.cn/et/2018/main" chartId="{3298386b-3774-45e2-9a09-1e8626aa1e07}"/>
      </c:ext>
    </c:extLst>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3936</Words>
  <Characters>4348</Characters>
  <Lines>7</Lines>
  <Paragraphs>9</Paragraphs>
  <TotalTime>25</TotalTime>
  <ScaleCrop>false</ScaleCrop>
  <LinksUpToDate>false</LinksUpToDate>
  <CharactersWithSpaces>4367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2024-06-26T05:10:00Z</dcterms:created>
  <dc:creator>常程</dc:creator>
  <cp:lastModifiedBy>彬彬有礼</cp:lastModifiedBy>
  <cp:lastPrinted>2024-07-12T02:38:00Z</cp:lastPrinted>
  <dcterms:modified xsi:type="dcterms:W3CDTF">2024-12-12T01:38:17Z</dcterms:modified>
  <dc:title>北京市财政局关于做好向市人大常委会报送2015年度市级部门决算（草案）</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F5151F882A2F46468CA46FC3E0E2B5A1_13</vt:lpwstr>
  </property>
</Properties>
</file>