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Default ContentType="application/vnd.openxmlformats-officedocument.oleObject" Extension="bin"/>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image/x-emf" PartName="/word/media/image1.emf"/>
  <Override ContentType="image/x-emf" PartName="/word/media/image10.emf"/>
  <Override ContentType="image/x-emf" PartName="/word/media/image11.emf"/>
  <Override ContentType="image/x-emf" PartName="/word/media/image12.emf"/>
  <Default ContentType="image/png" Extension="png"/>
  <Override ContentType="image/x-emf" PartName="/word/media/image2.emf"/>
  <Override ContentType="image/x-emf" PartName="/word/media/image3.emf"/>
  <Override ContentType="image/x-emf" PartName="/word/media/image4.emf"/>
  <Override ContentType="image/x-emf" PartName="/word/media/image5.emf"/>
  <Override ContentType="image/x-emf" PartName="/word/media/image6.emf"/>
  <Override ContentType="image/x-emf" PartName="/word/media/image7.emf"/>
  <Override ContentType="image/x-emf" PartName="/word/media/image8.emf"/>
  <Override ContentType="image/x-emf" PartName="/word/media/image9.emf"/>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hint="eastAsia" w:ascii="仿宋_GB2312" w:eastAsia="仿宋_GB2312"/>
          <w:b/>
          <w:sz w:val="32"/>
          <w:szCs w:val="32"/>
        </w:rPr>
      </w:pPr>
    </w:p>
    <w:p>
      <w:pPr>
        <w:jc w:val="center"/>
        <w:rPr>
          <w:rFonts w:hint="eastAsia" w:ascii="黑体" w:eastAsia="黑体"/>
          <w:sz w:val="72"/>
          <w:szCs w:val="72"/>
          <w:lang w:eastAsia="zh-CN"/>
        </w:rPr>
      </w:pPr>
    </w:p>
    <w:p>
      <w:pPr>
        <w:jc w:val="center"/>
        <w:rPr>
          <w:rFonts w:ascii="黑体" w:eastAsia="黑体"/>
          <w:sz w:val="72"/>
          <w:szCs w:val="72"/>
        </w:rPr>
      </w:pPr>
    </w:p>
    <w:p>
      <w:pPr>
        <w:jc w:val="center"/>
        <w:rPr>
          <w:rFonts w:hint="eastAsia" w:ascii="黑体" w:eastAsia="黑体"/>
          <w:sz w:val="72"/>
          <w:szCs w:val="72"/>
        </w:rPr>
      </w:pPr>
    </w:p>
    <w:p>
      <w:pPr>
        <w:jc w:val="center"/>
        <w:rPr>
          <w:rFonts w:hint="default" w:ascii="黑体" w:eastAsia="黑体"/>
          <w:sz w:val="72"/>
          <w:szCs w:val="72"/>
          <w:lang w:val="en-US" w:eastAsia="zh-CN"/>
        </w:rPr>
      </w:pPr>
    </w:p>
    <w:p>
      <w:pPr>
        <w:jc w:val="center"/>
        <w:rPr>
          <w:rFonts w:hint="eastAsia" w:ascii="黑体" w:eastAsia="黑体"/>
          <w:sz w:val="72"/>
          <w:szCs w:val="72"/>
          <w:lang w:eastAsia="zh-CN"/>
        </w:rPr>
      </w:pPr>
      <w:r>
        <w:rPr>
          <w:rFonts w:hint="eastAsia" w:ascii="黑体" w:eastAsia="黑体"/>
          <w:sz w:val="72"/>
          <w:szCs w:val="72"/>
        </w:rPr>
        <w:t>202</w:t>
      </w:r>
      <w:r>
        <w:rPr>
          <w:rFonts w:hint="default" w:ascii="黑体" w:eastAsia="黑体"/>
          <w:sz w:val="72"/>
          <w:szCs w:val="72"/>
        </w:rPr>
        <w:t>3</w:t>
      </w:r>
      <w:r>
        <w:rPr>
          <w:rFonts w:hint="eastAsia" w:ascii="黑体" w:eastAsia="黑体"/>
          <w:sz w:val="72"/>
          <w:szCs w:val="72"/>
        </w:rPr>
        <w:t>年度部门决算</w:t>
      </w:r>
      <w:r>
        <w:rPr>
          <w:rFonts w:hint="eastAsia" w:ascii="黑体" w:eastAsia="黑体"/>
          <w:sz w:val="72"/>
          <w:szCs w:val="72"/>
          <w:lang w:eastAsia="zh-CN"/>
        </w:rPr>
        <w:t>公开</w:t>
      </w:r>
    </w:p>
    <w:p>
      <w:pPr>
        <w:pStyle w:val="2"/>
        <w:rPr>
          <w:rFonts w:ascii="黑体" w:eastAsia="黑体"/>
          <w:sz w:val="52"/>
          <w:szCs w:val="52"/>
        </w:rPr>
      </w:pPr>
    </w:p>
    <w:p>
      <w:pPr>
        <w:pStyle w:val="2"/>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p>
      <w:pPr>
        <w:pStyle w:val="2"/>
        <w:rPr>
          <w:rFonts w:hint="eastAsia"/>
        </w:rPr>
      </w:pPr>
      <w:r>
        <w:rPr>
          <w:rFonts w:hint="eastAsia" w:ascii="Times New Roman" w:hAnsi="Times New Roman" w:eastAsia="宋体" w:cs="Times New Roman"/>
          <w:kern w:val="2"/>
          <w:sz w:val="21"/>
          <w:szCs w:val="24"/>
          <w:lang w:val="en-US" w:eastAsia="zh-CN" w:bidi="ar-SA"/>
        </w:rPr>
        <w:object>
          <v:shape id="Picture 1" type="#_x0000_t75" style="height:531.3pt;width:727.75pt;rotation:0f;" o:ole="t" fillcolor="#FFFFFF" filled="f" o:preferrelative="t" stroked="f" coordorigin="0,0" coordsize="21600,21600">
            <v:fill on="f" color2="#FFFFFF" focus="0%"/>
            <v:imagedata gain="65536f" blacklevel="0f" gamma="0" o:title="" r:id="rId9"/>
            <o:lock v:ext="edit" position="f" selection="f" grouping="f" rotation="f" cropping="f" text="f" aspectratio="f"/>
            <w10:wrap type="none"/>
            <w10:anchorlock/>
          </v:shape>
          <o:OLEObject Type="Embed" ProgID="Excel.Sheet.12" ShapeID="Picture 1" DrawAspect="Content" ObjectID="_1" r:id="rId8"/>
        </w:object>
      </w:r>
    </w:p>
    <w:p>
      <w:pPr>
        <w:pStyle w:val="2"/>
        <w:ind w:left="0" w:leftChars="0" w:firstLine="0" w:firstLineChars="0"/>
        <w:rPr>
          <w:rFonts w:hint="eastAsia"/>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eastAsia="zh-CN"/>
        </w:rPr>
      </w:pPr>
      <w:r>
        <w:rPr>
          <w:rFonts w:hint="eastAsia" w:ascii="仿宋_GB2312" w:hAnsi="Times New Roman" w:eastAsia="仿宋_GB2312" w:cs="Times New Roman"/>
          <w:kern w:val="2"/>
          <w:sz w:val="28"/>
          <w:szCs w:val="28"/>
          <w:lang w:val="en-US" w:eastAsia="zh-CN" w:bidi="ar-SA"/>
        </w:rPr>
        <w:pict>
          <v:shape id="Picture 5" type="#_x0000_t75" style="position:absolute;left:0;margin-left:2.5pt;margin-top:12.25pt;height:266.5pt;width:728.25pt;rotation:0f;z-index:-251658240;" o:ole="t" fillcolor="#FFFFFF" filled="f" o:preferrelative="t" stroked="f" coordorigin="0,0" coordsize="21600,21600">
            <v:fill on="f" color2="#FFFFFF" focus="0%"/>
            <v:imagedata gain="65536f" blacklevel="0f" gamma="0" o:title="" r:id="rId11"/>
            <o:lock v:ext="edit" position="f" selection="f" grouping="f" rotation="f" cropping="f" text="f" aspectratio="f"/>
          </v:shape>
          <o:OLEObject Type="Embed" ProgID="Excel.Sheet.12" ShapeID="Picture 5" DrawAspect="Content" ObjectID="_2" r:id="rId10"/>
        </w:pict>
      </w: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r>
        <w:rPr>
          <w:rFonts w:hint="eastAsia" w:ascii="仿宋_GB2312" w:hAnsi="Times New Roman" w:eastAsia="仿宋_GB2312" w:cs="Times New Roman"/>
          <w:kern w:val="2"/>
          <w:sz w:val="28"/>
          <w:szCs w:val="28"/>
          <w:lang w:val="en-US" w:eastAsia="zh-CN" w:bidi="ar-SA"/>
        </w:rPr>
        <w:object>
          <v:shape id="Picture 2" type="#_x0000_t75" style="height:288.75pt;width:714pt;rotation:0f;" o:ole="t" fillcolor="#FFFFFF" filled="f" o:preferrelative="t" stroked="f" coordorigin="0,0" coordsize="21600,21600">
            <v:fill on="f" color2="#FFFFFF" focus="0%"/>
            <v:imagedata gain="65536f" blacklevel="0f" gamma="0" o:title="" r:id="rId13"/>
            <o:lock v:ext="edit" position="f" selection="f" grouping="f" rotation="f" cropping="f" text="f" aspectratio="f"/>
            <w10:wrap type="none"/>
            <w10:anchorlock/>
          </v:shape>
          <o:OLEObject Type="Embed" ProgID="Excel.Sheet.12" ShapeID="Picture 2" DrawAspect="Content" ObjectID="_3" r:id="rId12"/>
        </w:object>
      </w: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r>
        <w:rPr>
          <w:rFonts w:hint="eastAsia" w:ascii="仿宋_GB2312" w:hAnsi="Times New Roman" w:eastAsia="仿宋_GB2312" w:cs="Times New Roman"/>
          <w:kern w:val="2"/>
          <w:sz w:val="28"/>
          <w:szCs w:val="28"/>
          <w:lang w:val="en-US" w:eastAsia="zh-CN" w:bidi="ar-SA"/>
        </w:rPr>
        <w:pict>
          <v:shape id="Picture 9" type="#_x0000_t75" style="position:absolute;left:0;margin-left:-14pt;margin-top:11.15pt;height:450.1pt;width:745.8pt;rotation:0f;z-index:-251656192;" o:ole="t" fillcolor="#FFFFFF" filled="f" o:preferrelative="t" stroked="f" coordorigin="0,0" coordsize="21600,21600">
            <v:fill on="f" color2="#FFFFFF" focus="0%"/>
            <v:imagedata gain="65536f" blacklevel="0f" gamma="0" o:title="" r:id="rId15"/>
            <o:lock v:ext="edit" position="f" selection="f" grouping="f" rotation="f" cropping="f" text="f" aspectratio="f"/>
          </v:shape>
          <o:OLEObject Type="Embed" ProgID="Excel.Sheet.12" ShapeID="Picture 9" DrawAspect="Content" ObjectID="_4" r:id="rId14"/>
        </w:pict>
      </w: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r>
        <w:rPr>
          <w:rFonts w:hint="eastAsia" w:ascii="仿宋_GB2312" w:hAnsi="Times New Roman" w:eastAsia="仿宋_GB2312" w:cs="Times New Roman"/>
          <w:kern w:val="2"/>
          <w:sz w:val="28"/>
          <w:szCs w:val="28"/>
          <w:lang w:val="en-US" w:eastAsia="zh-CN" w:bidi="ar-SA"/>
        </w:rPr>
        <w:object>
          <v:shape id="Picture 3" type="#_x0000_t75" style="height:225.8pt;width:728.45pt;rotation:0f;" o:ole="t" fillcolor="#FFFFFF" filled="f" o:preferrelative="t" stroked="f" coordorigin="0,0" coordsize="21600,21600">
            <v:fill on="f" color2="#FFFFFF" focus="0%"/>
            <v:imagedata gain="65536f" blacklevel="0f" gamma="0" o:title="" r:id="rId17"/>
            <o:lock v:ext="edit" position="f" selection="f" grouping="f" rotation="f" cropping="f" text="f" aspectratio="f"/>
            <w10:wrap type="none"/>
            <w10:anchorlock/>
          </v:shape>
          <o:OLEObject Type="Embed" ProgID="Excel.Sheet.12" ShapeID="Picture 3" DrawAspect="Content" ObjectID="_5" r:id="rId16"/>
        </w:object>
      </w: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r>
        <w:rPr>
          <w:rFonts w:hint="eastAsia" w:ascii="仿宋_GB2312" w:hAnsi="Times New Roman" w:eastAsia="仿宋_GB2312" w:cs="Times New Roman"/>
          <w:kern w:val="2"/>
          <w:sz w:val="28"/>
          <w:szCs w:val="28"/>
          <w:lang w:val="en-US" w:eastAsia="zh-CN" w:bidi="ar-SA"/>
        </w:rPr>
        <w:object>
          <v:shape id="Picture 4" type="#_x0000_t75" style="height:297pt;width:669.75pt;rotation:0f;" o:ole="t" fillcolor="#FFFFFF" filled="f" o:preferrelative="t" stroked="f" coordorigin="0,0" coordsize="21600,21600">
            <v:fill on="f" color2="#FFFFFF" focus="0%"/>
            <v:imagedata gain="65536f" blacklevel="0f" gamma="0" o:title="" r:id="rId19"/>
            <o:lock v:ext="edit" position="f" selection="f" grouping="f" rotation="f" cropping="f" text="f" aspectratio="f"/>
            <w10:wrap type="none"/>
            <w10:anchorlock/>
          </v:shape>
          <o:OLEObject Type="Embed" ProgID="Excel.Sheet.12" ShapeID="Picture 4" DrawAspect="Content" ObjectID="_6" r:id="rId18"/>
        </w:object>
      </w: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r>
        <w:rPr>
          <w:rFonts w:hint="eastAsia" w:ascii="仿宋_GB2312" w:hAnsi="Times New Roman" w:eastAsia="仿宋_GB2312" w:cs="Times New Roman"/>
          <w:kern w:val="2"/>
          <w:sz w:val="28"/>
          <w:szCs w:val="28"/>
          <w:lang w:val="en-US" w:eastAsia="zh-CN" w:bidi="ar-SA"/>
        </w:rPr>
        <w:object>
          <v:shape id="Picture 5" type="#_x0000_t75" style="height:495.65pt;width:728.1pt;rotation:0f;" o:ole="t" fillcolor="#FFFFFF" filled="f" o:preferrelative="t" stroked="f" coordorigin="0,0" coordsize="21600,21600">
            <v:fill on="f" color2="#FFFFFF" focus="0%"/>
            <v:imagedata gain="65536f" blacklevel="0f" gamma="0" o:title="" r:id="rId21"/>
            <o:lock v:ext="edit" position="f" selection="f" grouping="f" rotation="f" cropping="f" text="f" aspectratio="f"/>
            <w10:wrap type="none"/>
            <w10:anchorlock/>
          </v:shape>
          <o:OLEObject Type="Embed" ProgID="Excel.Sheet.12" ShapeID="Picture 5" DrawAspect="Content" ObjectID="_7" r:id="rId20"/>
        </w:object>
      </w: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tabs>
          <w:tab w:val="center" w:pos="6979"/>
        </w:tabs>
        <w:ind w:left="558" w:leftChars="266" w:firstLine="0" w:firstLineChars="0"/>
        <w:jc w:val="left"/>
        <w:rPr>
          <w:rFonts w:hint="eastAsia" w:ascii="宋体" w:hAnsi="宋体" w:eastAsia="宋体" w:cs="宋体"/>
          <w:b/>
          <w:bCs/>
          <w:kern w:val="0"/>
          <w:sz w:val="28"/>
          <w:szCs w:val="28"/>
          <w:lang w:val="en-US" w:eastAsia="zh-CN"/>
        </w:rPr>
        <w:sectPr>
          <w:pgSz w:w="16838" w:h="11906" w:orient="landscape"/>
          <w:pgMar w:top="1134" w:right="1134" w:bottom="1134" w:left="1134" w:header="851" w:footer="992" w:gutter="0"/>
          <w:cols w:space="720" w:num="1"/>
          <w:docGrid w:type="linesAndChars" w:linePitch="312" w:charSpace="0"/>
        </w:sectPr>
      </w:pPr>
      <w:r>
        <w:rPr>
          <w:rFonts w:hint="eastAsia" w:ascii="仿宋_GB2312" w:hAnsi="Times New Roman" w:eastAsia="仿宋_GB2312" w:cs="Times New Roman"/>
          <w:kern w:val="2"/>
          <w:sz w:val="28"/>
          <w:szCs w:val="28"/>
          <w:lang w:val="en-US" w:eastAsia="zh-CN" w:bidi="ar-SA"/>
        </w:rPr>
        <w:object>
          <v:shape id="Picture 6" type="#_x0000_t75" style="height:90.65pt;width:728.3pt;rotation:0f;" o:ole="t" fillcolor="#FFFFFF" filled="f" o:preferrelative="t" stroked="f" coordorigin="0,0" coordsize="21600,21600">
            <v:fill on="f" color2="#FFFFFF" focus="0%"/>
            <v:imagedata gain="65536f" blacklevel="0f" gamma="0" o:title="" r:id="rId23"/>
            <o:lock v:ext="edit" position="f" selection="f" grouping="f" rotation="f" cropping="f" text="f" aspectratio="f"/>
            <w10:wrap type="none"/>
            <w10:anchorlock/>
          </v:shape>
          <o:OLEObject Type="Embed" ProgID="Excel.Sheet.12" ShapeID="Picture 6" DrawAspect="Content" ObjectID="_8" r:id="rId22"/>
        </w:object>
      </w:r>
      <w:r>
        <w:rPr>
          <w:rFonts w:hint="eastAsia" w:ascii="宋体" w:hAnsi="宋体" w:cs="宋体"/>
          <w:b/>
          <w:bCs/>
          <w:kern w:val="0"/>
          <w:sz w:val="28"/>
          <w:szCs w:val="28"/>
          <w:lang w:val="en-US" w:eastAsia="zh-CN"/>
        </w:rPr>
        <w:t>本年度无此项支出</w:t>
      </w:r>
    </w:p>
    <w:p>
      <w:pPr>
        <w:pStyle w:val="2"/>
        <w:ind w:left="0" w:leftChars="0" w:firstLine="0" w:firstLineChars="0"/>
        <w:rPr>
          <w:rFonts w:hint="eastAsia" w:ascii="仿宋_GB2312" w:eastAsia="仿宋_GB2312"/>
          <w:sz w:val="28"/>
          <w:szCs w:val="28"/>
          <w:lang w:val="en-US" w:eastAsia="zh-CN"/>
        </w:rPr>
      </w:pPr>
      <w:r>
        <w:rPr>
          <w:rFonts w:hint="eastAsia" w:ascii="仿宋_GB2312" w:hAnsi="Times New Roman" w:eastAsia="仿宋_GB2312" w:cs="Times New Roman"/>
          <w:kern w:val="2"/>
          <w:sz w:val="28"/>
          <w:szCs w:val="28"/>
          <w:lang w:val="en-US" w:eastAsia="zh-CN" w:bidi="ar-SA"/>
        </w:rPr>
        <w:object>
          <v:shape id="Picture 7" type="#_x0000_t75" style="height:495.65pt;width:728.1pt;rotation:0f;" o:ole="t" fillcolor="#FFFFFF" filled="f" o:preferrelative="t" stroked="f" coordorigin="0,0" coordsize="21600,21600">
            <v:fill on="f" color2="#FFFFFF" focus="0%"/>
            <v:imagedata gain="65536f" blacklevel="0f" gamma="0" o:title="" r:id="rId25"/>
            <o:lock v:ext="edit" position="f" selection="f" grouping="f" rotation="f" cropping="f" text="f" aspectratio="f"/>
            <w10:wrap type="none"/>
            <w10:anchorlock/>
          </v:shape>
          <o:OLEObject Type="Embed" ProgID="Excel.Sheet.12" ShapeID="Picture 7" DrawAspect="Content" ObjectID="_9" r:id="rId24"/>
        </w:object>
      </w:r>
      <w:r>
        <w:rPr>
          <w:rFonts w:hint="eastAsia" w:ascii="仿宋_GB2312" w:eastAsia="仿宋_GB2312"/>
          <w:sz w:val="28"/>
          <w:szCs w:val="28"/>
          <w:lang w:val="en-US" w:eastAsia="zh-CN"/>
        </w:rPr>
        <w:t>本年度无此项支出</w:t>
      </w:r>
    </w:p>
    <w:tbl>
      <w:tblPr>
        <w:tblStyle w:val="13"/>
        <w:tblpPr w:leftFromText="180" w:rightFromText="180" w:vertAnchor="text" w:horzAnchor="page" w:tblpX="3403" w:tblpY="856"/>
        <w:tblOverlap w:val="never"/>
        <w:tblW w:w="9707"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51"/>
        <w:gridCol w:w="351"/>
        <w:gridCol w:w="351"/>
        <w:gridCol w:w="3551"/>
        <w:gridCol w:w="1701"/>
        <w:gridCol w:w="1701"/>
        <w:gridCol w:w="17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488" w:hRule="atLeast"/>
        </w:trPr>
        <w:tc>
          <w:tcPr>
            <w:tcW w:w="9707" w:type="dxa"/>
            <w:gridSpan w:val="7"/>
            <w:tcBorders>
              <w:top w:val="nil"/>
              <w:left w:val="nil"/>
              <w:bottom w:val="nil"/>
              <w:right w:val="nil"/>
            </w:tcBorders>
            <w:tcMar>
              <w:top w:w="15" w:type="dxa"/>
              <w:left w:w="15" w:type="dxa"/>
              <w:right w:w="15" w:type="dxa"/>
            </w:tcMar>
            <w:vAlign w:val="center"/>
          </w:tcPr>
          <w:p>
            <w:pPr>
              <w:widowControl/>
              <w:jc w:val="center"/>
              <w:textAlignment w:val="center"/>
              <w:rPr>
                <w:rFonts w:hint="eastAsia" w:ascii="宋体" w:hAnsi="宋体" w:eastAsia="宋体" w:cs="宋体"/>
                <w:b/>
                <w:i w:val="0"/>
                <w:color w:val="000000"/>
                <w:sz w:val="28"/>
                <w:szCs w:val="28"/>
                <w:u w:val="none"/>
              </w:rPr>
            </w:pPr>
            <w:r>
              <w:rPr>
                <w:rFonts w:hint="eastAsia" w:ascii="宋体" w:hAnsi="宋体" w:eastAsia="宋体" w:cs="宋体"/>
                <w:b/>
                <w:i w:val="0"/>
                <w:color w:val="000000"/>
                <w:kern w:val="0"/>
                <w:sz w:val="28"/>
                <w:szCs w:val="28"/>
                <w:u w:val="none"/>
                <w:lang w:val="en-US" w:eastAsia="zh-CN"/>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351" w:type="dxa"/>
            <w:tcBorders>
              <w:top w:val="nil"/>
              <w:left w:val="nil"/>
              <w:bottom w:val="nil"/>
              <w:right w:val="nil"/>
            </w:tcBorders>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51" w:type="dxa"/>
            <w:tcBorders>
              <w:top w:val="nil"/>
              <w:left w:val="nil"/>
              <w:bottom w:val="nil"/>
              <w:right w:val="nil"/>
            </w:tcBorders>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51" w:type="dxa"/>
            <w:tcBorders>
              <w:top w:val="nil"/>
              <w:left w:val="nil"/>
              <w:bottom w:val="nil"/>
              <w:right w:val="nil"/>
            </w:tcBorders>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551" w:type="dxa"/>
            <w:tcBorders>
              <w:top w:val="nil"/>
              <w:left w:val="nil"/>
              <w:bottom w:val="nil"/>
              <w:right w:val="nil"/>
            </w:tcBorders>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701" w:type="dxa"/>
            <w:tcBorders>
              <w:top w:val="nil"/>
              <w:left w:val="nil"/>
              <w:bottom w:val="nil"/>
              <w:right w:val="nil"/>
            </w:tcBorders>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701" w:type="dxa"/>
            <w:tcBorders>
              <w:top w:val="nil"/>
              <w:left w:val="nil"/>
              <w:bottom w:val="nil"/>
              <w:right w:val="nil"/>
            </w:tcBorders>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701" w:type="dxa"/>
            <w:tcBorders>
              <w:top w:val="nil"/>
              <w:left w:val="nil"/>
              <w:bottom w:val="nil"/>
              <w:right w:val="nil"/>
            </w:tcBorders>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8006" w:type="dxa"/>
            <w:gridSpan w:val="6"/>
            <w:tcBorders>
              <w:top w:val="nil"/>
              <w:left w:val="nil"/>
              <w:bottom w:val="nil"/>
              <w:right w:val="nil"/>
            </w:tcBorders>
            <w:tcMar>
              <w:top w:w="15" w:type="dxa"/>
              <w:left w:w="15" w:type="dxa"/>
              <w:right w:w="15" w:type="dxa"/>
            </w:tcMar>
            <w:vAlign w:val="bottom"/>
          </w:tcPr>
          <w:p>
            <w:pPr>
              <w:widowControl/>
              <w:jc w:val="left"/>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rPr>
              <w:t>单位名称：北京市密云区水务局穆家峪水务站</w:t>
            </w:r>
          </w:p>
        </w:tc>
        <w:tc>
          <w:tcPr>
            <w:tcW w:w="1701" w:type="dxa"/>
            <w:tcBorders>
              <w:top w:val="nil"/>
              <w:left w:val="nil"/>
              <w:bottom w:val="nil"/>
              <w:right w:val="nil"/>
            </w:tcBorders>
            <w:tcMar>
              <w:top w:w="15" w:type="dxa"/>
              <w:left w:w="15" w:type="dxa"/>
              <w:right w:w="15" w:type="dxa"/>
            </w:tcMar>
            <w:vAlign w:val="bottom"/>
          </w:tcPr>
          <w:p>
            <w:pPr>
              <w:widowControl/>
              <w:jc w:val="center"/>
              <w:textAlignment w:val="bottom"/>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3" w:hRule="atLeast"/>
        </w:trPr>
        <w:tc>
          <w:tcPr>
            <w:tcW w:w="4604" w:type="dxa"/>
            <w:gridSpan w:val="4"/>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项目</w:t>
            </w:r>
          </w:p>
        </w:tc>
        <w:tc>
          <w:tcPr>
            <w:tcW w:w="5103" w:type="dxa"/>
            <w:gridSpan w:val="3"/>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2023年度决算数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3" w:hRule="atLeast"/>
        </w:trPr>
        <w:tc>
          <w:tcPr>
            <w:tcW w:w="1053"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支出功能分类科目编码</w:t>
            </w:r>
          </w:p>
        </w:tc>
        <w:tc>
          <w:tcPr>
            <w:tcW w:w="355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科目名称</w:t>
            </w:r>
          </w:p>
        </w:tc>
        <w:tc>
          <w:tcPr>
            <w:tcW w:w="170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合计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基本支出</w:t>
            </w:r>
          </w:p>
        </w:tc>
        <w:tc>
          <w:tcPr>
            <w:tcW w:w="170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3" w:hRule="atLeast"/>
        </w:trPr>
        <w:tc>
          <w:tcPr>
            <w:tcW w:w="1053"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jc w:val="center"/>
              <w:rPr>
                <w:rFonts w:hint="eastAsia" w:ascii="宋体" w:hAnsi="宋体" w:eastAsia="宋体" w:cs="宋体"/>
                <w:b/>
                <w:i w:val="0"/>
                <w:color w:val="000000"/>
                <w:sz w:val="18"/>
                <w:szCs w:val="18"/>
                <w:u w:val="none"/>
              </w:rPr>
            </w:pPr>
          </w:p>
        </w:tc>
        <w:tc>
          <w:tcPr>
            <w:tcW w:w="355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栏次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1</w:t>
            </w:r>
          </w:p>
        </w:tc>
        <w:tc>
          <w:tcPr>
            <w:tcW w:w="170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2</w:t>
            </w:r>
          </w:p>
        </w:tc>
        <w:tc>
          <w:tcPr>
            <w:tcW w:w="170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23" w:hRule="atLeast"/>
        </w:trPr>
        <w:tc>
          <w:tcPr>
            <w:tcW w:w="35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类</w:t>
            </w:r>
          </w:p>
        </w:tc>
        <w:tc>
          <w:tcPr>
            <w:tcW w:w="35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款</w:t>
            </w:r>
          </w:p>
        </w:tc>
        <w:tc>
          <w:tcPr>
            <w:tcW w:w="35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项</w:t>
            </w:r>
          </w:p>
        </w:tc>
        <w:tc>
          <w:tcPr>
            <w:tcW w:w="355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widowControl/>
              <w:jc w:val="center"/>
              <w:textAlignment w:val="center"/>
              <w:rPr>
                <w:rFonts w:hint="eastAsia" w:ascii="宋体" w:hAnsi="宋体" w:eastAsia="宋体" w:cs="宋体"/>
                <w:b/>
                <w:i w:val="0"/>
                <w:color w:val="000000"/>
                <w:sz w:val="18"/>
                <w:szCs w:val="18"/>
                <w:u w:val="none"/>
              </w:rPr>
            </w:pPr>
            <w:r>
              <w:rPr>
                <w:rFonts w:hint="eastAsia" w:ascii="宋体" w:hAnsi="宋体" w:eastAsia="宋体" w:cs="宋体"/>
                <w:b/>
                <w:i w:val="0"/>
                <w:color w:val="000000"/>
                <w:kern w:val="0"/>
                <w:sz w:val="18"/>
                <w:szCs w:val="18"/>
                <w:u w:val="none"/>
                <w:lang w:val="en-US" w:eastAsia="zh-CN"/>
              </w:rPr>
              <w:t>合计</w:t>
            </w:r>
          </w:p>
        </w:tc>
        <w:tc>
          <w:tcPr>
            <w:tcW w:w="170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rPr>
              <w:t>0.000000</w:t>
            </w:r>
          </w:p>
        </w:tc>
        <w:tc>
          <w:tcPr>
            <w:tcW w:w="1701" w:type="dxa"/>
            <w:tcBorders>
              <w:top w:val="single" w:color="000000" w:sz="4" w:space="0"/>
              <w:left w:val="single" w:color="000000" w:sz="4" w:space="0"/>
              <w:bottom w:val="single" w:color="000000" w:sz="4" w:space="0"/>
              <w:right w:val="single" w:color="000000" w:sz="4" w:space="0"/>
            </w:tcBorders>
            <w:shd w:val="clear" w:color="auto" w:fill="C0C0C0"/>
            <w:tcMar>
              <w:top w:w="15" w:type="dxa"/>
              <w:left w:w="15" w:type="dxa"/>
              <w:right w:w="15" w:type="dxa"/>
            </w:tcMar>
            <w:vAlign w:val="center"/>
          </w:tcPr>
          <w:p>
            <w:pPr>
              <w:widowControl/>
              <w:jc w:val="right"/>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lang w:val="en-US" w:eastAsia="zh-CN"/>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0" w:hRule="atLeast"/>
        </w:trPr>
        <w:tc>
          <w:tcPr>
            <w:tcW w:w="351" w:type="dxa"/>
            <w:tcBorders>
              <w:top w:val="nil"/>
              <w:left w:val="nil"/>
              <w:bottom w:val="nil"/>
              <w:right w:val="nil"/>
            </w:tcBorders>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51" w:type="dxa"/>
            <w:tcBorders>
              <w:top w:val="nil"/>
              <w:left w:val="nil"/>
              <w:bottom w:val="nil"/>
              <w:right w:val="nil"/>
            </w:tcBorders>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51" w:type="dxa"/>
            <w:tcBorders>
              <w:top w:val="nil"/>
              <w:left w:val="nil"/>
              <w:bottom w:val="nil"/>
              <w:right w:val="nil"/>
            </w:tcBorders>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3551" w:type="dxa"/>
            <w:tcBorders>
              <w:top w:val="nil"/>
              <w:left w:val="nil"/>
              <w:bottom w:val="nil"/>
              <w:right w:val="nil"/>
            </w:tcBorders>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701" w:type="dxa"/>
            <w:tcBorders>
              <w:top w:val="nil"/>
              <w:left w:val="nil"/>
              <w:bottom w:val="nil"/>
              <w:right w:val="nil"/>
            </w:tcBorders>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701" w:type="dxa"/>
            <w:tcBorders>
              <w:top w:val="nil"/>
              <w:left w:val="nil"/>
              <w:bottom w:val="nil"/>
              <w:right w:val="nil"/>
            </w:tcBorders>
            <w:tcMar>
              <w:top w:w="15" w:type="dxa"/>
              <w:left w:w="15" w:type="dxa"/>
              <w:right w:w="15" w:type="dxa"/>
            </w:tcMar>
            <w:vAlign w:val="center"/>
          </w:tcPr>
          <w:p>
            <w:pPr>
              <w:rPr>
                <w:rFonts w:hint="eastAsia" w:ascii="宋体" w:hAnsi="宋体" w:eastAsia="宋体" w:cs="宋体"/>
                <w:i w:val="0"/>
                <w:color w:val="000000"/>
                <w:sz w:val="22"/>
                <w:szCs w:val="22"/>
                <w:u w:val="none"/>
              </w:rPr>
            </w:pPr>
          </w:p>
        </w:tc>
        <w:tc>
          <w:tcPr>
            <w:tcW w:w="1701" w:type="dxa"/>
            <w:tcBorders>
              <w:top w:val="nil"/>
              <w:left w:val="nil"/>
              <w:bottom w:val="nil"/>
              <w:right w:val="nil"/>
            </w:tcBorders>
            <w:tcMar>
              <w:top w:w="15" w:type="dxa"/>
              <w:left w:w="15" w:type="dxa"/>
              <w:right w:w="15" w:type="dxa"/>
            </w:tcMar>
            <w:vAlign w:val="center"/>
          </w:tcPr>
          <w:p>
            <w:pPr>
              <w:rPr>
                <w:rFonts w:hint="eastAsia" w:ascii="宋体" w:hAnsi="宋体" w:eastAsia="宋体" w:cs="宋体"/>
                <w:i w:val="0"/>
                <w:color w:val="000000"/>
                <w:sz w:val="22"/>
                <w:szCs w:val="22"/>
                <w:u w:val="none"/>
              </w:rPr>
            </w:pPr>
          </w:p>
        </w:tc>
      </w:tr>
    </w:tbl>
    <w:p>
      <w:pPr>
        <w:pStyle w:val="2"/>
        <w:rPr>
          <w:rFonts w:hint="eastAsia" w:ascii="仿宋_GB2312" w:eastAsia="仿宋_GB2312"/>
          <w:sz w:val="28"/>
          <w:szCs w:val="28"/>
          <w:lang w:eastAsia="zh-CN"/>
        </w:rPr>
      </w:pPr>
    </w:p>
    <w:p>
      <w:pPr>
        <w:pStyle w:val="2"/>
        <w:ind w:left="0" w:leftChars="0" w:firstLine="0" w:firstLineChars="0"/>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ind w:left="0" w:leftChars="0" w:firstLine="0" w:firstLineChars="0"/>
        <w:rPr>
          <w:rFonts w:hint="eastAsia" w:ascii="仿宋_GB2312" w:eastAsia="仿宋_GB2312"/>
          <w:sz w:val="28"/>
          <w:szCs w:val="28"/>
          <w:lang w:eastAsia="zh-CN"/>
        </w:rPr>
      </w:pPr>
    </w:p>
    <w:p>
      <w:pPr>
        <w:pStyle w:val="2"/>
        <w:rPr>
          <w:rFonts w:hint="eastAsia" w:ascii="仿宋_GB2312" w:eastAsia="仿宋_GB2312"/>
          <w:sz w:val="28"/>
          <w:szCs w:val="28"/>
          <w:lang w:eastAsia="zh-CN"/>
        </w:rPr>
      </w:pPr>
    </w:p>
    <w:p>
      <w:pPr>
        <w:pStyle w:val="2"/>
        <w:rPr>
          <w:rFonts w:hint="eastAsia" w:ascii="仿宋_GB2312" w:eastAsia="仿宋_GB2312"/>
          <w:sz w:val="28"/>
          <w:szCs w:val="28"/>
          <w:lang w:val="en-US" w:eastAsia="zh-CN"/>
        </w:rPr>
      </w:pPr>
    </w:p>
    <w:p>
      <w:pPr>
        <w:pStyle w:val="2"/>
        <w:rPr>
          <w:rFonts w:hint="eastAsia" w:ascii="仿宋_GB2312" w:eastAsia="仿宋_GB2312"/>
          <w:sz w:val="28"/>
          <w:szCs w:val="28"/>
          <w:lang w:eastAsia="zh-CN"/>
        </w:rPr>
        <w:sectPr>
          <w:footerReference r:id="rId4"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lang w:val="en-US" w:eastAsia="zh-CN"/>
        </w:rPr>
        <w:t>本年度无此项支出</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eastAsia="宋体" w:cs="宋体"/>
          <w:b/>
          <w:bCs/>
          <w:spacing w:val="40"/>
          <w:kern w:val="0"/>
          <w:sz w:val="32"/>
          <w:szCs w:val="32"/>
          <w:lang w:val="en-US" w:eastAsia="zh-CN" w:bidi="ar-SA"/>
        </w:rPr>
        <w:object>
          <v:shape id="Picture 8" type="#_x0000_t75" style="height:120.45pt;width:728.25pt;rotation:0f;" o:ole="t" fillcolor="#FFFFFF" filled="f" o:preferrelative="t" stroked="f" coordorigin="0,0" coordsize="21600,21600">
            <v:fill on="f" color2="#FFFFFF" focus="0%"/>
            <v:imagedata gain="65536f" blacklevel="0f" gamma="0" o:title="" r:id="rId27"/>
            <o:lock v:ext="edit" position="f" selection="f" grouping="f" rotation="f" cropping="f" text="f" aspectratio="f"/>
            <w10:wrap type="none"/>
            <w10:anchorlock/>
          </v:shape>
          <o:OLEObject Type="Embed" ProgID="Excel.Sheet.12" ShapeID="Picture 8" DrawAspect="Content" ObjectID="_10" r:id="rId26"/>
        </w:objec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eastAsia="宋体" w:cs="宋体"/>
          <w:b/>
          <w:bCs/>
          <w:spacing w:val="40"/>
          <w:kern w:val="0"/>
          <w:sz w:val="32"/>
          <w:szCs w:val="32"/>
          <w:lang w:val="en-US" w:eastAsia="zh-CN" w:bidi="ar-SA"/>
        </w:rPr>
        <w:object>
          <v:shape id="Picture 9" type="#_x0000_t75" style="height:310.5pt;width:446.25pt;rotation:0f;" o:ole="t" fillcolor="#FFFFFF" filled="f" o:preferrelative="t" stroked="f" coordorigin="0,0" coordsize="21600,21600">
            <v:fill on="f" color2="#FFFFFF" focus="0%"/>
            <v:imagedata gain="65536f" blacklevel="0f" gamma="0" o:title="" r:id="rId29"/>
            <o:lock v:ext="edit" position="f" selection="f" grouping="f" rotation="f" cropping="f" text="f" aspectratio="f"/>
            <w10:wrap type="none"/>
            <w10:anchorlock/>
          </v:shape>
          <o:OLEObject Type="Embed" ProgID="Excel.Sheet.12" ShapeID="Picture 9" DrawAspect="Content" ObjectID="_11" r:id="rId28"/>
        </w:object>
      </w:r>
    </w:p>
    <w:p>
      <w:pPr>
        <w:pStyle w:val="2"/>
        <w:ind w:left="0" w:leftChars="0" w:firstLine="0" w:firstLineChars="0"/>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rPr>
      </w:pPr>
      <w:r>
        <w:rPr>
          <w:rFonts w:hint="eastAsia" w:ascii="宋体" w:hAnsi="宋体" w:eastAsia="宋体" w:cs="宋体"/>
          <w:b/>
          <w:bCs/>
          <w:spacing w:val="40"/>
          <w:kern w:val="0"/>
          <w:sz w:val="32"/>
          <w:szCs w:val="32"/>
          <w:lang w:val="en-US" w:eastAsia="zh-CN" w:bidi="ar-SA"/>
        </w:rPr>
        <w:pict>
          <v:shape id="Picture 7" type="#_x0000_t75" style="position:absolute;left:0;margin-left:138.55pt;margin-top:-20pt;height:468.9pt;width:463.65pt;rotation:0f;z-index:-251657216;" o:ole="t" fillcolor="#FFFFFF" filled="f" o:preferrelative="t" stroked="f" coordorigin="0,0" coordsize="21600,21600">
            <v:fill on="f" color2="#FFFFFF" focus="0%"/>
            <v:imagedata gain="65536f" blacklevel="0f" gamma="0" o:title="" r:id="rId31"/>
            <o:lock v:ext="edit" position="f" selection="f" grouping="f" rotation="f" cropping="f" text="f" aspectratio="f"/>
          </v:shape>
          <o:OLEObject Type="Embed" ProgID="Excel.Sheet.12" ShapeID="Picture 7" DrawAspect="Content" ObjectID="_12" r:id="rId30"/>
        </w:pict>
      </w:r>
    </w:p>
    <w:p>
      <w:pPr>
        <w:pStyle w:val="2"/>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lang w:val="en-US" w:eastAsia="zh-CN"/>
        </w:rPr>
      </w:pPr>
    </w:p>
    <w:p>
      <w:pPr>
        <w:pStyle w:val="2"/>
        <w:ind w:left="0" w:leftChars="0" w:firstLine="0" w:firstLineChars="0"/>
        <w:rPr>
          <w:rFonts w:hint="eastAsia" w:ascii="宋体" w:hAnsi="宋体" w:eastAsia="宋体" w:cs="宋体"/>
          <w:b/>
          <w:bCs/>
          <w:spacing w:val="40"/>
          <w:kern w:val="0"/>
          <w:sz w:val="32"/>
          <w:szCs w:val="32"/>
          <w:lang w:val="en-US" w:eastAsia="zh-CN"/>
        </w:rPr>
      </w:pPr>
      <w:r>
        <w:rPr>
          <w:rFonts w:hint="eastAsia" w:ascii="宋体" w:hAnsi="宋体" w:cs="宋体"/>
          <w:b/>
          <w:bCs/>
          <w:spacing w:val="40"/>
          <w:kern w:val="0"/>
          <w:sz w:val="32"/>
          <w:szCs w:val="32"/>
          <w:lang w:val="en-US" w:eastAsia="zh-CN"/>
        </w:rPr>
        <w:t>本年度无此项支出</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val="0"/>
          <w:bCs/>
          <w:sz w:val="28"/>
          <w:szCs w:val="28"/>
        </w:rPr>
        <w:t>一、单位基本情况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ind w:firstLine="560" w:firstLineChars="200"/>
        <w:rPr>
          <w:rFonts w:ascii="仿宋_GB2312" w:eastAsia="仿宋_GB2312"/>
          <w:sz w:val="28"/>
          <w:szCs w:val="28"/>
        </w:rPr>
      </w:pPr>
      <w:r>
        <w:rPr>
          <w:rFonts w:hint="eastAsia" w:ascii="仿宋_GB2312" w:eastAsia="仿宋_GB2312"/>
          <w:sz w:val="28"/>
          <w:szCs w:val="28"/>
        </w:rPr>
        <w:t>北京市密云区水务局穆家峪水务站共有1个预算单位，单位性质属于财政补助事业单位。</w:t>
      </w:r>
    </w:p>
    <w:p>
      <w:pPr>
        <w:ind w:firstLine="560" w:firstLineChars="200"/>
        <w:rPr>
          <w:rFonts w:hint="eastAsia" w:ascii="仿宋_GB2312" w:eastAsia="仿宋_GB2312"/>
          <w:sz w:val="28"/>
          <w:szCs w:val="28"/>
        </w:rPr>
      </w:pPr>
      <w:r>
        <w:rPr>
          <w:rFonts w:hint="eastAsia" w:ascii="仿宋_GB2312" w:eastAsia="仿宋_GB2312"/>
          <w:sz w:val="28"/>
          <w:szCs w:val="28"/>
        </w:rPr>
        <w:t>主要职能：为水利建设提供技术支持与管理保障；负责穆家峪镇</w:t>
      </w:r>
      <w:r>
        <w:rPr>
          <w:rFonts w:hint="eastAsia" w:ascii="仿宋_GB2312" w:eastAsia="仿宋_GB2312"/>
          <w:sz w:val="28"/>
          <w:szCs w:val="28"/>
          <w:lang w:eastAsia="zh-CN"/>
        </w:rPr>
        <w:t>、</w:t>
      </w:r>
      <w:r>
        <w:rPr>
          <w:rFonts w:hint="eastAsia" w:ascii="仿宋_GB2312" w:eastAsia="仿宋_GB2312"/>
          <w:sz w:val="28"/>
          <w:szCs w:val="28"/>
          <w:lang w:val="en-US" w:eastAsia="zh-CN"/>
        </w:rPr>
        <w:t>檀营辖区内</w:t>
      </w:r>
      <w:r>
        <w:rPr>
          <w:rFonts w:hint="eastAsia" w:ascii="仿宋_GB2312" w:eastAsia="仿宋_GB2312"/>
          <w:sz w:val="28"/>
          <w:szCs w:val="28"/>
        </w:rPr>
        <w:t>的供水、节水、排水、污水处理、水环境</w:t>
      </w:r>
      <w:r>
        <w:rPr>
          <w:rFonts w:hint="eastAsia" w:ascii="仿宋_GB2312" w:eastAsia="仿宋_GB2312"/>
          <w:sz w:val="28"/>
          <w:szCs w:val="28"/>
          <w:lang w:val="en-US" w:eastAsia="zh-CN"/>
        </w:rPr>
        <w:t>保护以及水旱灾害防御、水利工程建设等事务性工作。</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0</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18</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16</w:t>
      </w:r>
      <w:r>
        <w:rPr>
          <w:rFonts w:hint="eastAsia" w:ascii="仿宋_GB2312" w:eastAsia="仿宋_GB2312"/>
          <w:kern w:val="0"/>
          <w:sz w:val="28"/>
          <w:szCs w:val="28"/>
        </w:rPr>
        <w:t>人。</w:t>
      </w:r>
    </w:p>
    <w:p>
      <w:pPr>
        <w:tabs>
          <w:tab w:val="center" w:pos="6979"/>
        </w:tabs>
        <w:spacing w:line="580" w:lineRule="exact"/>
        <w:rPr>
          <w:rFonts w:hint="eastAsia" w:ascii="黑体" w:eastAsia="黑体"/>
          <w:b w:val="0"/>
          <w:bCs/>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525.92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97.10</w:t>
      </w:r>
      <w:r>
        <w:rPr>
          <w:rFonts w:hint="eastAsia" w:ascii="仿宋_GB2312" w:eastAsia="仿宋_GB2312"/>
          <w:sz w:val="28"/>
          <w:szCs w:val="28"/>
        </w:rPr>
        <w:t>万元，增长</w:t>
      </w:r>
      <w:r>
        <w:rPr>
          <w:rFonts w:hint="eastAsia" w:ascii="仿宋_GB2312" w:eastAsia="仿宋_GB2312"/>
          <w:sz w:val="28"/>
          <w:szCs w:val="28"/>
          <w:lang w:val="en-US" w:eastAsia="zh-CN"/>
        </w:rPr>
        <w:t>22.64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469.34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83.82</w:t>
      </w:r>
      <w:r>
        <w:rPr>
          <w:rFonts w:hint="eastAsia" w:ascii="仿宋_GB2312" w:eastAsia="仿宋_GB2312"/>
          <w:sz w:val="28"/>
          <w:szCs w:val="28"/>
        </w:rPr>
        <w:t>万元，增长</w:t>
      </w:r>
      <w:r>
        <w:rPr>
          <w:rFonts w:hint="eastAsia" w:ascii="仿宋_GB2312" w:eastAsia="仿宋_GB2312"/>
          <w:sz w:val="28"/>
          <w:szCs w:val="28"/>
          <w:lang w:val="en-US" w:eastAsia="zh-CN"/>
        </w:rPr>
        <w:t>9.45</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469.34</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%。其中：一般公共预算财政拨款收入</w:t>
      </w:r>
      <w:r>
        <w:rPr>
          <w:rFonts w:ascii="仿宋_GB2312" w:eastAsia="仿宋_GB2312"/>
          <w:sz w:val="28"/>
          <w:szCs w:val="28"/>
        </w:rPr>
        <w:t>469.34</w:t>
      </w:r>
      <w:r>
        <w:rPr>
          <w:rFonts w:hint="eastAsia" w:ascii="仿宋_GB2312" w:eastAsia="仿宋_GB2312"/>
          <w:sz w:val="28"/>
          <w:szCs w:val="28"/>
        </w:rPr>
        <w:t>万元，占收入合计的</w:t>
      </w:r>
      <w:r>
        <w:rPr>
          <w:rFonts w:ascii="仿宋_GB2312" w:eastAsia="仿宋_GB2312"/>
          <w:sz w:val="28"/>
          <w:szCs w:val="28"/>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jc w:val="center"/>
        <w:rPr>
          <w:rFonts w:hint="eastAsia"/>
          <w:lang w:val="en-US" w:eastAsia="zh-CN"/>
        </w:rPr>
      </w:pPr>
      <w:r>
        <w:rPr>
          <w:rFonts w:hint="eastAsia" w:ascii="Times New Roman" w:hAnsi="Times New Roman" w:eastAsia="宋体" w:cs="Times New Roman"/>
          <w:kern w:val="2"/>
          <w:sz w:val="21"/>
          <w:szCs w:val="24"/>
          <w:lang w:val="en-US" w:eastAsia="zh-CN" w:bidi="ar-SA"/>
        </w:rPr>
        <w:pict>
          <v:shape id="图表 2" o:spid="_x0000_s1038" type="#_x0000_t75" style="height:195.1pt;width:347.15pt;rotation:0f;" o:ole="f" fillcolor="#FFFFFF" filled="f" o:preferrelative="t" stroked="f" coordorigin="0,0" coordsize="21600,21600">
            <v:fill on="f" color2="#FFFFFF" focus="0%"/>
            <v:imagedata gain="65536f" blacklevel="0f" gamma="0" o:title="" r:id="rId32"/>
            <o:lock v:ext="edit" position="f" selection="f" grouping="f" rotation="f" cropping="f" text="f" aspectratio="t"/>
            <w10:wrap type="none"/>
            <w10:anchorlock/>
          </v:shape>
        </w:pic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525.92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97.10</w:t>
      </w:r>
      <w:r>
        <w:rPr>
          <w:rFonts w:hint="eastAsia" w:ascii="仿宋_GB2312" w:eastAsia="仿宋_GB2312"/>
          <w:sz w:val="28"/>
          <w:szCs w:val="28"/>
        </w:rPr>
        <w:t>万元，增长</w:t>
      </w:r>
      <w:r>
        <w:rPr>
          <w:rFonts w:hint="eastAsia" w:ascii="仿宋_GB2312" w:eastAsia="仿宋_GB2312"/>
          <w:sz w:val="28"/>
          <w:szCs w:val="28"/>
          <w:lang w:val="en-US" w:eastAsia="zh-CN"/>
        </w:rPr>
        <w:t>22.64</w:t>
      </w:r>
      <w:r>
        <w:rPr>
          <w:rFonts w:hint="eastAsia" w:ascii="仿宋_GB2312" w:eastAsia="仿宋_GB2312"/>
          <w:sz w:val="28"/>
          <w:szCs w:val="28"/>
        </w:rPr>
        <w:t>%，其中：基本支出</w:t>
      </w:r>
      <w:r>
        <w:rPr>
          <w:rFonts w:ascii="仿宋_GB2312" w:eastAsia="仿宋_GB2312"/>
          <w:sz w:val="28"/>
          <w:szCs w:val="28"/>
        </w:rPr>
        <w:t>525.92</w:t>
      </w:r>
      <w:r>
        <w:rPr>
          <w:rFonts w:hint="eastAsia" w:ascii="仿宋_GB2312" w:eastAsia="仿宋_GB2312"/>
          <w:sz w:val="28"/>
          <w:szCs w:val="28"/>
        </w:rPr>
        <w:t>万元，占支出合计的</w:t>
      </w:r>
      <w:r>
        <w:rPr>
          <w:rFonts w:ascii="仿宋_GB2312" w:eastAsia="仿宋_GB2312"/>
          <w:sz w:val="28"/>
          <w:szCs w:val="28"/>
        </w:rPr>
        <w:t>100</w:t>
      </w:r>
      <w:r>
        <w:rPr>
          <w:rFonts w:hint="eastAsia" w:ascii="仿宋_GB2312" w:eastAsia="仿宋_GB2312"/>
          <w:sz w:val="28"/>
          <w:szCs w:val="28"/>
        </w:rPr>
        <w:t>%；项目支出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lang w:val="en-US"/>
        </w:rPr>
      </w:pPr>
      <w:r>
        <w:rPr>
          <w:rFonts w:hint="eastAsia" w:ascii="Times New Roman" w:hAnsi="Times New Roman" w:eastAsia="宋体" w:cs="Times New Roman"/>
          <w:kern w:val="2"/>
          <w:sz w:val="21"/>
          <w:szCs w:val="24"/>
          <w:lang w:val="en-US" w:eastAsia="zh-CN" w:bidi="ar-SA"/>
        </w:rPr>
        <w:pict>
          <v:shape id="图表 6" o:spid="_x0000_s1039" type="#_x0000_t75" style="height:195.1pt;width:347.15pt;rotation:0f;" o:ole="f" fillcolor="#FFFFFF" filled="f" o:preferrelative="t" stroked="f" coordorigin="0,0" coordsize="21600,21600">
            <v:fill on="f" color2="#FFFFFF" focus="0%"/>
            <v:imagedata gain="65536f" blacklevel="0f" gamma="0" o:title="" r:id="rId33"/>
            <o:lock v:ext="edit" position="f" selection="f" grouping="f" rotation="f" cropping="f" text="f" aspectratio="t"/>
            <w10:wrap type="none"/>
            <w10:anchorlock/>
          </v:shape>
        </w:pict>
      </w:r>
      <w:r>
        <w:rPr>
          <w:rFonts w:hint="eastAsia"/>
          <w:lang w:val="en-US" w:eastAsia="zh-CN"/>
        </w:rPr>
        <w:t xml:space="preserve">  </w:t>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525.92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97.10</w:t>
      </w:r>
      <w:r>
        <w:rPr>
          <w:rFonts w:hint="eastAsia" w:ascii="仿宋_GB2312" w:eastAsia="仿宋_GB2312"/>
          <w:sz w:val="28"/>
          <w:szCs w:val="28"/>
        </w:rPr>
        <w:t>万元，增长</w:t>
      </w:r>
      <w:r>
        <w:rPr>
          <w:rFonts w:hint="eastAsia" w:ascii="仿宋_GB2312" w:eastAsia="仿宋_GB2312"/>
          <w:sz w:val="28"/>
          <w:szCs w:val="28"/>
          <w:lang w:val="en-US" w:eastAsia="zh-CN"/>
        </w:rPr>
        <w:t>22.64</w:t>
      </w:r>
      <w:r>
        <w:rPr>
          <w:rFonts w:hint="eastAsia" w:ascii="仿宋_GB2312" w:eastAsia="仿宋_GB2312"/>
          <w:sz w:val="28"/>
          <w:szCs w:val="28"/>
        </w:rPr>
        <w:t>%。主要原因：</w:t>
      </w:r>
      <w:r>
        <w:rPr>
          <w:rFonts w:hint="eastAsia" w:ascii="仿宋_GB2312" w:eastAsia="仿宋_GB2312"/>
          <w:sz w:val="28"/>
          <w:szCs w:val="28"/>
          <w:lang w:val="en-US" w:eastAsia="zh-CN"/>
        </w:rPr>
        <w:t>人员调动、工资、保险和公积金调整基数等</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525.92</w:t>
      </w:r>
      <w:r>
        <w:rPr>
          <w:rFonts w:hint="eastAsia" w:ascii="仿宋_GB2312" w:eastAsia="仿宋_GB2312"/>
          <w:sz w:val="28"/>
          <w:szCs w:val="28"/>
        </w:rPr>
        <w:t>万元，主要用于以下方面（按功能科目分类）：社会保障和就业支出</w:t>
      </w:r>
      <w:r>
        <w:rPr>
          <w:rFonts w:hint="eastAsia" w:ascii="仿宋_GB2312" w:eastAsia="仿宋_GB2312"/>
          <w:sz w:val="28"/>
          <w:szCs w:val="28"/>
          <w:lang w:val="en-US" w:eastAsia="zh-CN"/>
        </w:rPr>
        <w:t>67.87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12.91</w:t>
      </w:r>
      <w:r>
        <w:rPr>
          <w:rFonts w:hint="eastAsia" w:ascii="仿宋_GB2312" w:eastAsia="仿宋_GB2312"/>
          <w:sz w:val="28"/>
          <w:szCs w:val="28"/>
        </w:rPr>
        <w:t>%；卫生健康支出</w:t>
      </w:r>
      <w:r>
        <w:rPr>
          <w:rFonts w:hint="eastAsia" w:ascii="仿宋_GB2312" w:eastAsia="仿宋_GB2312"/>
          <w:sz w:val="28"/>
          <w:szCs w:val="28"/>
          <w:lang w:val="en-US" w:eastAsia="zh-CN"/>
        </w:rPr>
        <w:t>37.19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7.07</w:t>
      </w:r>
      <w:r>
        <w:rPr>
          <w:rFonts w:hint="eastAsia" w:ascii="仿宋_GB2312" w:eastAsia="仿宋_GB2312"/>
          <w:sz w:val="28"/>
          <w:szCs w:val="28"/>
        </w:rPr>
        <w:t>% ；农林水支出</w:t>
      </w:r>
      <w:r>
        <w:rPr>
          <w:rFonts w:hint="eastAsia" w:ascii="仿宋_GB2312" w:eastAsia="仿宋_GB2312"/>
          <w:sz w:val="28"/>
          <w:szCs w:val="28"/>
          <w:lang w:val="en-US" w:eastAsia="zh-CN"/>
        </w:rPr>
        <w:t>420.86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80.02</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ind w:firstLine="560" w:firstLineChars="200"/>
        <w:rPr>
          <w:rFonts w:hint="eastAsia" w:ascii="仿宋_GB2312" w:eastAsia="仿宋_GB2312"/>
          <w:color w:val="000000"/>
          <w:sz w:val="28"/>
          <w:szCs w:val="28"/>
        </w:rPr>
      </w:pPr>
      <w:r>
        <w:rPr>
          <w:rFonts w:hint="eastAsia" w:ascii="仿宋_GB2312" w:hAnsi="仿宋" w:eastAsia="仿宋_GB2312"/>
          <w:sz w:val="28"/>
          <w:szCs w:val="28"/>
        </w:rPr>
        <w:t>1、“社会保障和就业支出”202</w:t>
      </w:r>
      <w:r>
        <w:rPr>
          <w:rFonts w:hint="eastAsia" w:ascii="仿宋_GB2312" w:hAnsi="仿宋" w:eastAsia="仿宋_GB2312"/>
          <w:sz w:val="28"/>
          <w:szCs w:val="28"/>
          <w:lang w:val="en-US" w:eastAsia="zh-CN"/>
        </w:rPr>
        <w:t>3</w:t>
      </w:r>
      <w:r>
        <w:rPr>
          <w:rFonts w:hint="eastAsia" w:ascii="仿宋_GB2312" w:hAnsi="仿宋" w:eastAsia="仿宋_GB2312"/>
          <w:sz w:val="28"/>
          <w:szCs w:val="28"/>
        </w:rPr>
        <w:t>年度决算</w:t>
      </w:r>
      <w:r>
        <w:rPr>
          <w:rFonts w:hint="eastAsia" w:ascii="仿宋_GB2312" w:hAnsi="仿宋" w:eastAsia="仿宋_GB2312"/>
          <w:sz w:val="28"/>
          <w:szCs w:val="28"/>
          <w:lang w:val="en-US" w:eastAsia="zh-CN"/>
        </w:rPr>
        <w:t>67.87</w:t>
      </w:r>
      <w:r>
        <w:rPr>
          <w:rFonts w:hint="eastAsia" w:ascii="仿宋_GB2312" w:hAnsi="仿宋" w:eastAsia="仿宋_GB2312"/>
          <w:sz w:val="28"/>
          <w:szCs w:val="28"/>
        </w:rPr>
        <w:t>万元，比202</w:t>
      </w:r>
      <w:r>
        <w:rPr>
          <w:rFonts w:hint="eastAsia" w:ascii="仿宋_GB2312" w:hAnsi="仿宋" w:eastAsia="仿宋_GB2312"/>
          <w:sz w:val="28"/>
          <w:szCs w:val="28"/>
          <w:lang w:val="en-US" w:eastAsia="zh-CN"/>
        </w:rPr>
        <w:t>3</w:t>
      </w:r>
      <w:r>
        <w:rPr>
          <w:rFonts w:hint="eastAsia" w:ascii="仿宋_GB2312" w:hAnsi="仿宋" w:eastAsia="仿宋_GB2312"/>
          <w:sz w:val="28"/>
          <w:szCs w:val="28"/>
        </w:rPr>
        <w:t>年年初预算</w:t>
      </w:r>
      <w:r>
        <w:rPr>
          <w:rFonts w:hint="eastAsia" w:ascii="仿宋_GB2312" w:hAnsi="仿宋" w:eastAsia="仿宋_GB2312"/>
          <w:sz w:val="28"/>
          <w:szCs w:val="28"/>
          <w:lang w:val="en-US" w:eastAsia="zh-CN"/>
        </w:rPr>
        <w:t>58.52</w:t>
      </w:r>
      <w:r>
        <w:rPr>
          <w:rFonts w:hint="eastAsia" w:ascii="仿宋_GB2312" w:hAnsi="仿宋" w:eastAsia="仿宋_GB2312"/>
          <w:sz w:val="28"/>
          <w:szCs w:val="28"/>
        </w:rPr>
        <w:t>元增加</w:t>
      </w:r>
      <w:r>
        <w:rPr>
          <w:rFonts w:hint="eastAsia" w:ascii="仿宋_GB2312" w:hAnsi="仿宋" w:eastAsia="仿宋_GB2312"/>
          <w:sz w:val="28"/>
          <w:szCs w:val="28"/>
          <w:lang w:val="en-US" w:eastAsia="zh-CN"/>
        </w:rPr>
        <w:t>9.35</w:t>
      </w:r>
      <w:r>
        <w:rPr>
          <w:rFonts w:hint="eastAsia" w:ascii="仿宋_GB2312" w:hAnsi="仿宋" w:eastAsia="仿宋_GB2312"/>
          <w:sz w:val="28"/>
          <w:szCs w:val="28"/>
        </w:rPr>
        <w:t>万元，增长</w:t>
      </w:r>
      <w:r>
        <w:rPr>
          <w:rFonts w:hint="eastAsia" w:ascii="仿宋_GB2312" w:hAnsi="仿宋" w:eastAsia="仿宋_GB2312"/>
          <w:sz w:val="28"/>
          <w:szCs w:val="28"/>
          <w:lang w:val="en-US" w:eastAsia="zh-CN"/>
        </w:rPr>
        <w:t>15.98</w:t>
      </w:r>
      <w:r>
        <w:rPr>
          <w:rFonts w:hint="eastAsia" w:ascii="仿宋_GB2312" w:hAnsi="仿宋" w:eastAsia="仿宋_GB2312"/>
          <w:sz w:val="28"/>
          <w:szCs w:val="28"/>
        </w:rPr>
        <w:t>%。</w:t>
      </w:r>
      <w:bookmarkStart w:id="0" w:name="_Hlk75792918"/>
      <w:r>
        <w:rPr>
          <w:rFonts w:hint="eastAsia" w:ascii="仿宋_GB2312" w:eastAsia="仿宋_GB2312"/>
          <w:color w:val="000000"/>
          <w:sz w:val="28"/>
          <w:szCs w:val="28"/>
        </w:rPr>
        <w:t>其中：</w:t>
      </w:r>
      <w:bookmarkEnd w:id="0"/>
      <w:r>
        <w:rPr>
          <w:rFonts w:hint="eastAsia" w:ascii="仿宋_GB2312" w:eastAsia="仿宋_GB2312"/>
          <w:color w:val="000000"/>
          <w:sz w:val="28"/>
          <w:szCs w:val="28"/>
        </w:rPr>
        <w:t>行政事业单位养老支出</w:t>
      </w:r>
      <w:r>
        <w:rPr>
          <w:rFonts w:hint="eastAsia" w:ascii="仿宋_GB2312" w:eastAsia="仿宋_GB2312"/>
          <w:color w:val="000000"/>
          <w:sz w:val="28"/>
          <w:szCs w:val="28"/>
          <w:lang w:val="en-US" w:eastAsia="zh-CN"/>
        </w:rPr>
        <w:t>67.87</w:t>
      </w:r>
      <w:r>
        <w:rPr>
          <w:rFonts w:hint="eastAsia" w:ascii="仿宋_GB2312" w:eastAsia="仿宋_GB2312"/>
          <w:color w:val="000000"/>
          <w:sz w:val="28"/>
          <w:szCs w:val="28"/>
        </w:rPr>
        <w:t>万元，比2</w:t>
      </w:r>
      <w:r>
        <w:rPr>
          <w:rFonts w:ascii="仿宋_GB2312" w:eastAsia="仿宋_GB2312"/>
          <w:color w:val="000000"/>
          <w:sz w:val="28"/>
          <w:szCs w:val="28"/>
        </w:rPr>
        <w:t>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年初预算数增加</w:t>
      </w:r>
      <w:r>
        <w:rPr>
          <w:rFonts w:hint="eastAsia" w:ascii="仿宋_GB2312" w:eastAsia="仿宋_GB2312"/>
          <w:color w:val="000000"/>
          <w:sz w:val="28"/>
          <w:szCs w:val="28"/>
          <w:lang w:val="en-US" w:eastAsia="zh-CN"/>
        </w:rPr>
        <w:t>9.35</w:t>
      </w:r>
      <w:r>
        <w:rPr>
          <w:rFonts w:hint="eastAsia" w:ascii="仿宋_GB2312" w:eastAsia="仿宋_GB2312"/>
          <w:color w:val="000000"/>
          <w:sz w:val="28"/>
          <w:szCs w:val="28"/>
        </w:rPr>
        <w:t>万元，增加</w:t>
      </w:r>
      <w:r>
        <w:rPr>
          <w:rFonts w:hint="eastAsia" w:ascii="仿宋_GB2312" w:eastAsia="仿宋_GB2312"/>
          <w:color w:val="000000"/>
          <w:sz w:val="28"/>
          <w:szCs w:val="28"/>
          <w:lang w:val="en-US" w:eastAsia="zh-CN"/>
        </w:rPr>
        <w:t>15.98</w:t>
      </w:r>
      <w:r>
        <w:rPr>
          <w:rFonts w:hint="eastAsia" w:ascii="仿宋_GB2312" w:eastAsia="仿宋_GB2312"/>
          <w:color w:val="000000"/>
          <w:sz w:val="28"/>
          <w:szCs w:val="28"/>
        </w:rPr>
        <w:t>%，</w:t>
      </w:r>
      <w:r>
        <w:rPr>
          <w:rFonts w:hint="eastAsia" w:ascii="仿宋_GB2312" w:eastAsia="仿宋_GB2312"/>
          <w:sz w:val="28"/>
          <w:szCs w:val="28"/>
        </w:rPr>
        <w:t>主要原因：</w:t>
      </w:r>
      <w:r>
        <w:rPr>
          <w:rFonts w:hint="eastAsia" w:ascii="仿宋_GB2312" w:eastAsia="仿宋_GB2312"/>
          <w:sz w:val="28"/>
          <w:szCs w:val="28"/>
          <w:lang w:val="en-US" w:eastAsia="zh-CN"/>
        </w:rPr>
        <w:t>人员调动、</w:t>
      </w:r>
      <w:r>
        <w:rPr>
          <w:rFonts w:hint="eastAsia" w:ascii="仿宋_GB2312" w:hAnsi="仿宋" w:eastAsia="仿宋_GB2312"/>
          <w:sz w:val="28"/>
          <w:szCs w:val="28"/>
          <w:lang w:val="en-US" w:eastAsia="zh-CN"/>
        </w:rPr>
        <w:t>工资基数</w:t>
      </w:r>
      <w:r>
        <w:rPr>
          <w:rFonts w:hint="eastAsia" w:ascii="仿宋_GB2312" w:hAnsi="仿宋" w:eastAsia="仿宋_GB2312"/>
          <w:sz w:val="28"/>
          <w:szCs w:val="28"/>
          <w:lang w:eastAsia="zh-CN"/>
        </w:rPr>
        <w:t>、</w:t>
      </w:r>
      <w:r>
        <w:rPr>
          <w:rFonts w:hint="eastAsia" w:ascii="仿宋_GB2312" w:hAnsi="仿宋" w:eastAsia="仿宋_GB2312"/>
          <w:sz w:val="28"/>
          <w:szCs w:val="28"/>
        </w:rPr>
        <w:t>社保缴费基数调整。</w:t>
      </w:r>
    </w:p>
    <w:p>
      <w:pPr>
        <w:spacing w:line="580" w:lineRule="exact"/>
        <w:ind w:left="700" w:leftChars="200" w:hanging="280" w:hangingChars="100"/>
        <w:rPr>
          <w:rFonts w:ascii="仿宋_GB2312" w:eastAsia="仿宋_GB2312"/>
          <w:color w:val="000000"/>
          <w:sz w:val="28"/>
          <w:szCs w:val="28"/>
        </w:rPr>
      </w:pPr>
      <w:r>
        <w:rPr>
          <w:rFonts w:hint="eastAsia" w:ascii="仿宋_GB2312" w:eastAsia="仿宋_GB2312"/>
          <w:sz w:val="28"/>
          <w:szCs w:val="28"/>
        </w:rPr>
        <w:t>2、</w:t>
      </w:r>
      <w:r>
        <w:rPr>
          <w:rFonts w:hint="eastAsia" w:ascii="仿宋_GB2312" w:hAnsi="仿宋" w:eastAsia="仿宋_GB2312"/>
          <w:sz w:val="28"/>
          <w:szCs w:val="28"/>
        </w:rPr>
        <w:t>“卫生健康支出”202</w:t>
      </w:r>
      <w:r>
        <w:rPr>
          <w:rFonts w:hint="eastAsia" w:ascii="仿宋_GB2312" w:hAnsi="仿宋" w:eastAsia="仿宋_GB2312"/>
          <w:sz w:val="28"/>
          <w:szCs w:val="28"/>
          <w:lang w:val="en-US" w:eastAsia="zh-CN"/>
        </w:rPr>
        <w:t>3</w:t>
      </w:r>
      <w:r>
        <w:rPr>
          <w:rFonts w:hint="eastAsia" w:ascii="仿宋_GB2312" w:hAnsi="仿宋" w:eastAsia="仿宋_GB2312"/>
          <w:sz w:val="28"/>
          <w:szCs w:val="28"/>
        </w:rPr>
        <w:t>年度决算</w:t>
      </w:r>
      <w:r>
        <w:rPr>
          <w:rFonts w:hint="eastAsia" w:ascii="仿宋_GB2312" w:hAnsi="仿宋" w:eastAsia="仿宋_GB2312"/>
          <w:sz w:val="28"/>
          <w:szCs w:val="28"/>
          <w:lang w:val="en-US" w:eastAsia="zh-CN"/>
        </w:rPr>
        <w:t>37.19</w:t>
      </w:r>
      <w:r>
        <w:rPr>
          <w:rFonts w:hint="eastAsia" w:ascii="仿宋_GB2312" w:hAnsi="仿宋" w:eastAsia="仿宋_GB2312"/>
          <w:sz w:val="28"/>
          <w:szCs w:val="28"/>
        </w:rPr>
        <w:t>万元，202</w:t>
      </w:r>
      <w:r>
        <w:rPr>
          <w:rFonts w:hint="eastAsia" w:ascii="仿宋_GB2312" w:hAnsi="仿宋" w:eastAsia="仿宋_GB2312"/>
          <w:sz w:val="28"/>
          <w:szCs w:val="28"/>
          <w:lang w:val="en-US" w:eastAsia="zh-CN"/>
        </w:rPr>
        <w:t>3</w:t>
      </w:r>
      <w:r>
        <w:rPr>
          <w:rFonts w:hint="eastAsia" w:ascii="仿宋_GB2312" w:hAnsi="仿宋" w:eastAsia="仿宋_GB2312"/>
          <w:sz w:val="28"/>
          <w:szCs w:val="28"/>
        </w:rPr>
        <w:t>年年初预算</w:t>
      </w:r>
      <w:r>
        <w:rPr>
          <w:rFonts w:hint="eastAsia" w:ascii="仿宋_GB2312" w:hAnsi="仿宋" w:eastAsia="仿宋_GB2312"/>
          <w:sz w:val="28"/>
          <w:szCs w:val="28"/>
          <w:lang w:val="en-US" w:eastAsia="zh-CN"/>
        </w:rPr>
        <w:t>31.52</w:t>
      </w:r>
      <w:r>
        <w:rPr>
          <w:rFonts w:hint="eastAsia" w:ascii="仿宋_GB2312" w:hAnsi="仿宋" w:eastAsia="仿宋_GB2312"/>
          <w:sz w:val="28"/>
          <w:szCs w:val="28"/>
        </w:rPr>
        <w:t>万元</w:t>
      </w:r>
      <w:r>
        <w:rPr>
          <w:rFonts w:hint="eastAsia" w:ascii="仿宋_GB2312" w:hAnsi="仿宋" w:eastAsia="仿宋_GB2312"/>
          <w:sz w:val="28"/>
          <w:szCs w:val="28"/>
          <w:lang w:val="en-US" w:eastAsia="zh-CN"/>
        </w:rPr>
        <w:t>增加5.67</w:t>
      </w:r>
      <w:r>
        <w:rPr>
          <w:rFonts w:hint="eastAsia" w:ascii="仿宋_GB2312" w:hAnsi="仿宋" w:eastAsia="仿宋_GB2312"/>
          <w:sz w:val="28"/>
          <w:szCs w:val="28"/>
        </w:rPr>
        <w:t>万元，</w:t>
      </w:r>
      <w:r>
        <w:rPr>
          <w:rFonts w:hint="eastAsia" w:ascii="仿宋_GB2312" w:hAnsi="仿宋" w:eastAsia="仿宋_GB2312"/>
          <w:sz w:val="28"/>
          <w:szCs w:val="28"/>
          <w:lang w:val="en-US" w:eastAsia="zh-CN"/>
        </w:rPr>
        <w:t>增加17.99</w:t>
      </w:r>
      <w:r>
        <w:rPr>
          <w:rFonts w:hint="eastAsia" w:ascii="仿宋_GB2312" w:hAnsi="仿宋" w:eastAsia="仿宋_GB2312"/>
          <w:sz w:val="28"/>
          <w:szCs w:val="28"/>
        </w:rPr>
        <w:t>%。</w:t>
      </w:r>
      <w:r>
        <w:rPr>
          <w:rFonts w:hint="eastAsia" w:ascii="仿宋_GB2312" w:eastAsia="仿宋_GB2312"/>
          <w:color w:val="000000"/>
          <w:sz w:val="28"/>
          <w:szCs w:val="28"/>
        </w:rPr>
        <w:t>其中：</w:t>
      </w:r>
    </w:p>
    <w:p>
      <w:pPr>
        <w:spacing w:line="580" w:lineRule="exact"/>
        <w:ind w:left="700" w:leftChars="200" w:hanging="280" w:hangingChars="100"/>
        <w:rPr>
          <w:rFonts w:hint="eastAsia" w:ascii="仿宋_GB2312" w:hAnsi="仿宋" w:eastAsia="仿宋_GB2312"/>
          <w:sz w:val="28"/>
          <w:szCs w:val="28"/>
        </w:rPr>
      </w:pPr>
      <w:r>
        <w:rPr>
          <w:rFonts w:hint="eastAsia" w:ascii="仿宋_GB2312" w:eastAsia="仿宋_GB2312"/>
          <w:color w:val="000000"/>
          <w:sz w:val="28"/>
          <w:szCs w:val="28"/>
        </w:rPr>
        <w:t>行政事业单位医疗</w:t>
      </w:r>
      <w:r>
        <w:rPr>
          <w:rFonts w:hint="eastAsia" w:ascii="仿宋_GB2312" w:eastAsia="仿宋_GB2312"/>
          <w:color w:val="000000"/>
          <w:sz w:val="28"/>
          <w:szCs w:val="28"/>
          <w:lang w:val="en-US" w:eastAsia="zh-CN"/>
        </w:rPr>
        <w:t>37.19</w:t>
      </w:r>
      <w:r>
        <w:rPr>
          <w:rFonts w:hint="eastAsia" w:ascii="仿宋_GB2312" w:eastAsia="仿宋_GB2312"/>
          <w:color w:val="000000"/>
          <w:sz w:val="28"/>
          <w:szCs w:val="28"/>
        </w:rPr>
        <w:t>万元，比2</w:t>
      </w:r>
      <w:r>
        <w:rPr>
          <w:rFonts w:ascii="仿宋_GB2312" w:eastAsia="仿宋_GB2312"/>
          <w:color w:val="000000"/>
          <w:sz w:val="28"/>
          <w:szCs w:val="28"/>
        </w:rPr>
        <w:t>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年初预算数</w:t>
      </w:r>
      <w:r>
        <w:rPr>
          <w:rFonts w:hint="eastAsia" w:ascii="仿宋_GB2312" w:hAnsi="仿宋" w:eastAsia="仿宋_GB2312"/>
          <w:sz w:val="28"/>
          <w:szCs w:val="28"/>
          <w:lang w:val="en-US" w:eastAsia="zh-CN"/>
        </w:rPr>
        <w:t>增加5.67</w:t>
      </w:r>
      <w:r>
        <w:rPr>
          <w:rFonts w:hint="eastAsia" w:ascii="仿宋_GB2312" w:hAnsi="仿宋" w:eastAsia="仿宋_GB2312"/>
          <w:sz w:val="28"/>
          <w:szCs w:val="28"/>
        </w:rPr>
        <w:t>万元，</w:t>
      </w:r>
      <w:r>
        <w:rPr>
          <w:rFonts w:hint="eastAsia" w:ascii="仿宋_GB2312" w:hAnsi="仿宋" w:eastAsia="仿宋_GB2312"/>
          <w:sz w:val="28"/>
          <w:szCs w:val="28"/>
          <w:lang w:val="en-US" w:eastAsia="zh-CN"/>
        </w:rPr>
        <w:t>增加17.99</w:t>
      </w:r>
      <w:r>
        <w:rPr>
          <w:rFonts w:hint="eastAsia" w:ascii="仿宋_GB2312" w:hAnsi="仿宋" w:eastAsia="仿宋_GB2312"/>
          <w:sz w:val="28"/>
          <w:szCs w:val="28"/>
        </w:rPr>
        <w:t>%</w:t>
      </w:r>
      <w:r>
        <w:rPr>
          <w:rFonts w:hint="eastAsia" w:ascii="仿宋_GB2312" w:eastAsia="仿宋_GB2312"/>
          <w:color w:val="000000"/>
          <w:sz w:val="28"/>
          <w:szCs w:val="28"/>
        </w:rPr>
        <w:t>，</w:t>
      </w:r>
      <w:r>
        <w:rPr>
          <w:rFonts w:hint="eastAsia" w:ascii="仿宋_GB2312" w:eastAsia="仿宋_GB2312"/>
          <w:sz w:val="28"/>
          <w:szCs w:val="28"/>
        </w:rPr>
        <w:t>主要原因：</w:t>
      </w:r>
      <w:r>
        <w:rPr>
          <w:rFonts w:hint="eastAsia" w:ascii="仿宋_GB2312" w:hAnsi="仿宋" w:eastAsia="仿宋_GB2312"/>
          <w:sz w:val="28"/>
          <w:szCs w:val="28"/>
        </w:rPr>
        <w:t>医疗缴费比例</w:t>
      </w:r>
      <w:r>
        <w:rPr>
          <w:rFonts w:hint="eastAsia" w:ascii="仿宋_GB2312" w:hAnsi="仿宋" w:eastAsia="仿宋_GB2312"/>
          <w:sz w:val="28"/>
          <w:szCs w:val="28"/>
          <w:lang w:val="en-US" w:eastAsia="zh-CN"/>
        </w:rPr>
        <w:t>增加</w:t>
      </w:r>
      <w:r>
        <w:rPr>
          <w:rFonts w:hint="eastAsia" w:ascii="仿宋_GB2312" w:hAnsi="仿宋" w:eastAsia="仿宋_GB2312"/>
          <w:sz w:val="28"/>
          <w:szCs w:val="28"/>
        </w:rPr>
        <w:t>。</w:t>
      </w:r>
    </w:p>
    <w:p>
      <w:pPr>
        <w:spacing w:line="560" w:lineRule="exact"/>
        <w:ind w:firstLine="560" w:firstLineChars="200"/>
        <w:rPr>
          <w:rFonts w:ascii="仿宋_GB2312" w:eastAsia="仿宋_GB2312"/>
          <w:color w:val="000000"/>
          <w:sz w:val="28"/>
          <w:szCs w:val="28"/>
        </w:rPr>
      </w:pPr>
      <w:r>
        <w:rPr>
          <w:rFonts w:hint="eastAsia" w:ascii="仿宋_GB2312" w:eastAsia="仿宋_GB2312"/>
          <w:sz w:val="28"/>
          <w:szCs w:val="28"/>
        </w:rPr>
        <w:t>3、</w:t>
      </w:r>
      <w:r>
        <w:rPr>
          <w:rFonts w:hint="eastAsia" w:ascii="仿宋_GB2312" w:hAnsi="仿宋" w:eastAsia="仿宋_GB2312"/>
          <w:sz w:val="28"/>
          <w:szCs w:val="28"/>
        </w:rPr>
        <w:t>“农林水支出”202</w:t>
      </w:r>
      <w:r>
        <w:rPr>
          <w:rFonts w:hint="eastAsia" w:ascii="仿宋_GB2312" w:hAnsi="仿宋" w:eastAsia="仿宋_GB2312"/>
          <w:sz w:val="28"/>
          <w:szCs w:val="28"/>
          <w:lang w:val="en-US" w:eastAsia="zh-CN"/>
        </w:rPr>
        <w:t>3</w:t>
      </w:r>
      <w:r>
        <w:rPr>
          <w:rFonts w:hint="eastAsia" w:ascii="仿宋_GB2312" w:hAnsi="仿宋" w:eastAsia="仿宋_GB2312"/>
          <w:sz w:val="28"/>
          <w:szCs w:val="28"/>
        </w:rPr>
        <w:t>年度决算</w:t>
      </w:r>
      <w:r>
        <w:rPr>
          <w:rFonts w:hint="eastAsia" w:ascii="仿宋_GB2312" w:hAnsi="仿宋" w:eastAsia="仿宋_GB2312"/>
          <w:sz w:val="28"/>
          <w:szCs w:val="28"/>
          <w:lang w:val="en-US" w:eastAsia="zh-CN"/>
        </w:rPr>
        <w:t>420.86</w:t>
      </w:r>
      <w:r>
        <w:rPr>
          <w:rFonts w:hint="eastAsia" w:ascii="仿宋_GB2312" w:hAnsi="仿宋" w:eastAsia="仿宋_GB2312"/>
          <w:sz w:val="28"/>
          <w:szCs w:val="28"/>
        </w:rPr>
        <w:t>万元，比202</w:t>
      </w:r>
      <w:r>
        <w:rPr>
          <w:rFonts w:hint="eastAsia" w:ascii="仿宋_GB2312" w:hAnsi="仿宋" w:eastAsia="仿宋_GB2312"/>
          <w:sz w:val="28"/>
          <w:szCs w:val="28"/>
          <w:lang w:val="en-US" w:eastAsia="zh-CN"/>
        </w:rPr>
        <w:t>3</w:t>
      </w:r>
      <w:r>
        <w:rPr>
          <w:rFonts w:hint="eastAsia" w:ascii="仿宋_GB2312" w:hAnsi="仿宋" w:eastAsia="仿宋_GB2312"/>
          <w:sz w:val="28"/>
          <w:szCs w:val="28"/>
        </w:rPr>
        <w:t>年年初预算</w:t>
      </w:r>
      <w:r>
        <w:rPr>
          <w:rFonts w:hint="eastAsia" w:ascii="仿宋_GB2312" w:hAnsi="仿宋" w:eastAsia="仿宋_GB2312"/>
          <w:sz w:val="28"/>
          <w:szCs w:val="28"/>
          <w:lang w:val="en-US" w:eastAsia="zh-CN"/>
        </w:rPr>
        <w:t>296.73</w:t>
      </w:r>
      <w:r>
        <w:rPr>
          <w:rFonts w:hint="eastAsia" w:ascii="仿宋_GB2312" w:hAnsi="仿宋" w:eastAsia="仿宋_GB2312"/>
          <w:sz w:val="28"/>
          <w:szCs w:val="28"/>
        </w:rPr>
        <w:t>万元增加</w:t>
      </w:r>
      <w:r>
        <w:rPr>
          <w:rFonts w:hint="eastAsia" w:ascii="仿宋_GB2312" w:hAnsi="仿宋" w:eastAsia="仿宋_GB2312"/>
          <w:sz w:val="28"/>
          <w:szCs w:val="28"/>
          <w:lang w:val="en-US" w:eastAsia="zh-CN"/>
        </w:rPr>
        <w:t>124.13</w:t>
      </w:r>
      <w:r>
        <w:rPr>
          <w:rFonts w:hint="eastAsia" w:ascii="仿宋_GB2312" w:hAnsi="仿宋" w:eastAsia="仿宋_GB2312"/>
          <w:sz w:val="28"/>
          <w:szCs w:val="28"/>
        </w:rPr>
        <w:t>万元，增长</w:t>
      </w:r>
      <w:r>
        <w:rPr>
          <w:rFonts w:hint="eastAsia" w:ascii="仿宋_GB2312" w:hAnsi="仿宋" w:eastAsia="仿宋_GB2312"/>
          <w:sz w:val="28"/>
          <w:szCs w:val="28"/>
          <w:lang w:val="en-US" w:eastAsia="zh-CN"/>
        </w:rPr>
        <w:t>41.83</w:t>
      </w:r>
      <w:r>
        <w:rPr>
          <w:rFonts w:hint="eastAsia" w:ascii="仿宋_GB2312" w:hAnsi="仿宋" w:eastAsia="仿宋_GB2312"/>
          <w:sz w:val="28"/>
          <w:szCs w:val="28"/>
        </w:rPr>
        <w:t>%。</w:t>
      </w:r>
      <w:r>
        <w:rPr>
          <w:rFonts w:hint="eastAsia" w:ascii="仿宋_GB2312" w:eastAsia="仿宋_GB2312"/>
          <w:color w:val="000000"/>
          <w:sz w:val="28"/>
          <w:szCs w:val="28"/>
        </w:rPr>
        <w:t>其中：水利</w:t>
      </w:r>
      <w:r>
        <w:rPr>
          <w:rFonts w:hint="eastAsia" w:ascii="仿宋_GB2312" w:eastAsia="仿宋_GB2312"/>
          <w:color w:val="000000"/>
          <w:sz w:val="28"/>
          <w:szCs w:val="28"/>
          <w:lang w:val="en-US" w:eastAsia="zh-CN"/>
        </w:rPr>
        <w:t>工程运行与维护420.86</w:t>
      </w:r>
      <w:r>
        <w:rPr>
          <w:rFonts w:hint="eastAsia" w:ascii="仿宋_GB2312" w:eastAsia="仿宋_GB2312"/>
          <w:color w:val="000000"/>
          <w:sz w:val="28"/>
          <w:szCs w:val="28"/>
        </w:rPr>
        <w:t>万元，比2</w:t>
      </w:r>
      <w:r>
        <w:rPr>
          <w:rFonts w:ascii="仿宋_GB2312" w:eastAsia="仿宋_GB2312"/>
          <w:color w:val="000000"/>
          <w:sz w:val="28"/>
          <w:szCs w:val="28"/>
        </w:rPr>
        <w:t>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年初预算数增加</w:t>
      </w:r>
      <w:r>
        <w:rPr>
          <w:rFonts w:hint="eastAsia" w:ascii="仿宋_GB2312" w:eastAsia="仿宋_GB2312"/>
          <w:color w:val="000000"/>
          <w:sz w:val="28"/>
          <w:szCs w:val="28"/>
          <w:lang w:val="en-US" w:eastAsia="zh-CN"/>
        </w:rPr>
        <w:t>124.13</w:t>
      </w:r>
      <w:r>
        <w:rPr>
          <w:rFonts w:hint="eastAsia" w:ascii="仿宋_GB2312" w:eastAsia="仿宋_GB2312"/>
          <w:color w:val="000000"/>
          <w:sz w:val="28"/>
          <w:szCs w:val="28"/>
        </w:rPr>
        <w:t>万元，增加</w:t>
      </w:r>
      <w:r>
        <w:rPr>
          <w:rFonts w:hint="eastAsia" w:ascii="仿宋_GB2312" w:eastAsia="仿宋_GB2312"/>
          <w:color w:val="000000"/>
          <w:sz w:val="28"/>
          <w:szCs w:val="28"/>
          <w:lang w:val="en-US" w:eastAsia="zh-CN"/>
        </w:rPr>
        <w:t>41.83</w:t>
      </w:r>
      <w:r>
        <w:rPr>
          <w:rFonts w:hint="eastAsia" w:ascii="仿宋_GB2312" w:eastAsia="仿宋_GB2312"/>
          <w:color w:val="000000"/>
          <w:sz w:val="28"/>
          <w:szCs w:val="28"/>
        </w:rPr>
        <w:t>%，</w:t>
      </w:r>
      <w:r>
        <w:rPr>
          <w:rFonts w:hint="eastAsia" w:ascii="仿宋_GB2312" w:hAnsi="仿宋" w:eastAsia="仿宋_GB2312"/>
          <w:sz w:val="28"/>
          <w:szCs w:val="28"/>
        </w:rPr>
        <w:t>主要原因：</w:t>
      </w:r>
      <w:r>
        <w:rPr>
          <w:rFonts w:hint="eastAsia" w:ascii="仿宋_GB2312" w:hAnsi="仿宋" w:eastAsia="仿宋_GB2312"/>
          <w:sz w:val="28"/>
          <w:szCs w:val="28"/>
          <w:lang w:val="en-US" w:eastAsia="zh-CN"/>
        </w:rPr>
        <w:t>工资基数</w:t>
      </w:r>
      <w:r>
        <w:rPr>
          <w:rFonts w:hint="eastAsia" w:ascii="仿宋_GB2312" w:hAnsi="仿宋" w:eastAsia="仿宋_GB2312"/>
          <w:sz w:val="28"/>
          <w:szCs w:val="28"/>
        </w:rPr>
        <w:t>，社保缴费基数调整，住房公积金社保基数调整。</w:t>
      </w:r>
    </w:p>
    <w:p>
      <w:pPr>
        <w:spacing w:line="580" w:lineRule="exact"/>
        <w:ind w:firstLine="560" w:firstLineChars="200"/>
        <w:rPr>
          <w:rFonts w:ascii="仿宋_GB2312" w:eastAsia="仿宋_GB2312"/>
          <w:sz w:val="28"/>
          <w:szCs w:val="28"/>
        </w:rPr>
      </w:pPr>
    </w:p>
    <w:p>
      <w:pPr>
        <w:spacing w:line="580" w:lineRule="exact"/>
        <w:ind w:firstLine="560" w:firstLineChars="200"/>
        <w:rPr>
          <w:rFonts w:hint="eastAsia" w:ascii="仿宋_GB2312" w:eastAsia="仿宋_GB2312"/>
          <w:b w:val="0"/>
          <w:bCs/>
          <w:sz w:val="28"/>
          <w:szCs w:val="28"/>
        </w:rPr>
      </w:pPr>
      <w:r>
        <w:rPr>
          <w:rFonts w:hint="eastAsia" w:ascii="黑体" w:eastAsia="黑体"/>
          <w:b w:val="0"/>
          <w:bCs/>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autoSpaceDE w:val="0"/>
        <w:autoSpaceDN w:val="0"/>
        <w:adjustRightInd w:val="0"/>
        <w:spacing w:line="580" w:lineRule="exact"/>
        <w:ind w:firstLine="560" w:firstLineChars="200"/>
        <w:jc w:val="left"/>
        <w:rPr>
          <w:rFonts w:hint="eastAsia" w:ascii="仿宋_GB2312" w:eastAsia="仿宋_GB2312"/>
          <w:sz w:val="28"/>
          <w:szCs w:val="28"/>
          <w:lang w:val="en-US" w:eastAsia="zh-CN"/>
        </w:rPr>
      </w:pPr>
      <w:r>
        <w:rPr>
          <w:rFonts w:hint="eastAsia" w:ascii="仿宋_GB2312" w:eastAsia="仿宋_GB2312"/>
          <w:sz w:val="28"/>
          <w:szCs w:val="28"/>
          <w:lang w:val="en-US" w:eastAsia="zh-CN"/>
        </w:rPr>
        <w:t>本年度无此项支出</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本年度无此项支出</w:t>
      </w:r>
    </w:p>
    <w:p>
      <w:pPr>
        <w:spacing w:line="580" w:lineRule="exact"/>
        <w:ind w:firstLine="560" w:firstLineChars="200"/>
        <w:rPr>
          <w:rFonts w:hint="eastAsia" w:ascii="黑体" w:eastAsia="黑体"/>
          <w:b w:val="0"/>
          <w:bCs/>
          <w:sz w:val="28"/>
          <w:szCs w:val="28"/>
        </w:rPr>
      </w:pPr>
      <w:r>
        <w:rPr>
          <w:rFonts w:hint="eastAsia" w:ascii="黑体" w:eastAsia="黑体"/>
          <w:b w:val="0"/>
          <w:bCs/>
          <w:sz w:val="28"/>
          <w:szCs w:val="28"/>
        </w:rPr>
        <w:t>六、国有资本经营预算财</w:t>
      </w:r>
      <w:r>
        <w:rPr>
          <w:rFonts w:ascii="黑体" w:eastAsia="黑体"/>
          <w:b w:val="0"/>
          <w:bCs/>
          <w:sz w:val="28"/>
          <w:szCs w:val="28"/>
        </w:rPr>
        <w:t>政拨款</w:t>
      </w:r>
      <w:r>
        <w:rPr>
          <w:rFonts w:hint="eastAsia" w:ascii="黑体" w:eastAsia="黑体"/>
          <w:b w:val="0"/>
          <w:bCs/>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525.92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0</w:t>
      </w:r>
      <w:r>
        <w:rPr>
          <w:rFonts w:hint="eastAsia" w:ascii="仿宋_GB2312" w:eastAsia="仿宋_GB2312"/>
          <w:sz w:val="28"/>
          <w:szCs w:val="28"/>
        </w:rPr>
        <w:t>个行政单位、</w:t>
      </w:r>
      <w:r>
        <w:rPr>
          <w:rFonts w:hint="eastAsia" w:ascii="仿宋_GB2312" w:eastAsia="仿宋_GB2312"/>
          <w:sz w:val="28"/>
          <w:szCs w:val="28"/>
          <w:lang w:val="en-US" w:eastAsia="zh-CN"/>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0.61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1.91</w:t>
      </w:r>
      <w:r>
        <w:rPr>
          <w:rFonts w:hint="eastAsia" w:ascii="仿宋_GB2312" w:eastAsia="仿宋_GB2312"/>
          <w:sz w:val="28"/>
          <w:szCs w:val="28"/>
        </w:rPr>
        <w:t>万元增加</w:t>
      </w:r>
      <w:r>
        <w:rPr>
          <w:rFonts w:ascii="仿宋_GB2312" w:eastAsia="仿宋_GB2312"/>
          <w:sz w:val="28"/>
          <w:szCs w:val="28"/>
        </w:rPr>
        <w:t>-1.29</w:t>
      </w:r>
      <w:r>
        <w:rPr>
          <w:rFonts w:hint="eastAsia" w:ascii="仿宋_GB2312" w:eastAsia="仿宋_GB2312"/>
          <w:sz w:val="28"/>
          <w:szCs w:val="28"/>
        </w:rPr>
        <w:t>万元。其中：</w:t>
      </w:r>
    </w:p>
    <w:p>
      <w:pPr>
        <w:numPr>
          <w:numId w:val="0"/>
        </w:numPr>
        <w:spacing w:line="56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1.</w:t>
      </w:r>
      <w:r>
        <w:rPr>
          <w:rFonts w:hint="eastAsia" w:ascii="仿宋_GB2312" w:eastAsia="仿宋_GB2312"/>
          <w:sz w:val="28"/>
          <w:szCs w:val="28"/>
        </w:rPr>
        <w:t>因公出国（境）费用。</w:t>
      </w:r>
    </w:p>
    <w:p>
      <w:pPr>
        <w:numPr>
          <w:numId w:val="0"/>
        </w:numPr>
        <w:spacing w:line="560" w:lineRule="exact"/>
        <w:ind w:firstLine="840" w:firstLineChars="300"/>
        <w:rPr>
          <w:rFonts w:hint="eastAsia" w:ascii="仿宋_GB2312" w:eastAsia="仿宋_GB2312"/>
          <w:sz w:val="28"/>
          <w:szCs w:val="28"/>
          <w:lang w:val="en-US" w:eastAsia="zh-CN"/>
        </w:rPr>
      </w:pPr>
      <w:r>
        <w:rPr>
          <w:rFonts w:hint="eastAsia" w:ascii="仿宋_GB2312" w:eastAsia="仿宋_GB2312"/>
          <w:sz w:val="28"/>
          <w:szCs w:val="28"/>
          <w:lang w:val="en-US" w:eastAsia="zh-CN"/>
        </w:rPr>
        <w:t>本年度无此项支出，与去年相同。</w:t>
      </w:r>
    </w:p>
    <w:p>
      <w:pPr>
        <w:numPr>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公务接待费。</w:t>
      </w:r>
    </w:p>
    <w:p>
      <w:pPr>
        <w:numPr>
          <w:numId w:val="0"/>
        </w:numPr>
        <w:spacing w:line="560" w:lineRule="exact"/>
        <w:ind w:firstLine="840" w:firstLineChars="300"/>
        <w:rPr>
          <w:rFonts w:hint="eastAsia" w:ascii="仿宋_GB2312" w:eastAsia="仿宋_GB2312"/>
          <w:sz w:val="28"/>
          <w:szCs w:val="28"/>
          <w:lang w:val="en-US" w:eastAsia="zh-CN"/>
        </w:rPr>
      </w:pPr>
      <w:r>
        <w:rPr>
          <w:rFonts w:hint="eastAsia" w:ascii="仿宋_GB2312" w:eastAsia="仿宋_GB2312"/>
          <w:sz w:val="28"/>
          <w:szCs w:val="28"/>
          <w:lang w:val="en-US" w:eastAsia="zh-CN"/>
        </w:rPr>
        <w:t>本年度无此项支出，与去年相同。</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0.61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1.91</w:t>
      </w:r>
      <w:r>
        <w:rPr>
          <w:rFonts w:hint="eastAsia" w:ascii="仿宋_GB2312" w:eastAsia="仿宋_GB2312"/>
          <w:sz w:val="28"/>
          <w:szCs w:val="28"/>
        </w:rPr>
        <w:t>万元增加</w:t>
      </w:r>
      <w:r>
        <w:rPr>
          <w:rFonts w:hint="eastAsia" w:ascii="仿宋_GB2312" w:eastAsia="仿宋_GB2312"/>
          <w:sz w:val="28"/>
          <w:szCs w:val="28"/>
          <w:lang w:val="en-US" w:eastAsia="zh-CN"/>
        </w:rPr>
        <w:t>-1.29</w:t>
      </w:r>
      <w:r>
        <w:rPr>
          <w:rFonts w:hint="eastAsia" w:ascii="仿宋_GB2312" w:eastAsia="仿宋_GB2312"/>
          <w:sz w:val="28"/>
          <w:szCs w:val="28"/>
        </w:rPr>
        <w:t>万元。</w:t>
      </w:r>
    </w:p>
    <w:p>
      <w:pPr>
        <w:tabs>
          <w:tab w:val="center" w:pos="6979"/>
        </w:tabs>
        <w:ind w:firstLine="554" w:firstLineChars="198"/>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val="en-US" w:eastAsia="zh-CN"/>
        </w:rPr>
        <w:t>与</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bookmarkStart w:id="1" w:name="_GoBack"/>
      <w:bookmarkEnd w:id="1"/>
      <w:r>
        <w:rPr>
          <w:rFonts w:hint="eastAsia" w:ascii="仿宋_GB2312" w:eastAsia="仿宋_GB2312"/>
          <w:sz w:val="28"/>
          <w:szCs w:val="28"/>
        </w:rPr>
        <w:t>万元</w:t>
      </w:r>
      <w:r>
        <w:rPr>
          <w:rFonts w:hint="eastAsia" w:ascii="仿宋_GB2312" w:eastAsia="仿宋_GB2312"/>
          <w:sz w:val="28"/>
          <w:szCs w:val="28"/>
          <w:lang w:val="en-US" w:eastAsia="zh-CN"/>
        </w:rPr>
        <w:t>相比无变化</w:t>
      </w:r>
      <w:r>
        <w:rPr>
          <w:rFonts w:hint="eastAsia" w:ascii="仿宋_GB2312" w:eastAsia="仿宋_GB2312"/>
          <w:sz w:val="28"/>
          <w:szCs w:val="28"/>
        </w:rPr>
        <w:t>。主要原因：</w:t>
      </w:r>
      <w:r>
        <w:rPr>
          <w:rFonts w:hint="eastAsia" w:ascii="仿宋_GB2312" w:eastAsia="仿宋_GB2312"/>
          <w:sz w:val="28"/>
          <w:szCs w:val="28"/>
          <w:lang w:val="en-US" w:eastAsia="zh-CN"/>
        </w:rPr>
        <w:t>无新购车辆。</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0.61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1.91</w:t>
      </w:r>
      <w:r>
        <w:rPr>
          <w:rFonts w:hint="eastAsia" w:ascii="仿宋_GB2312" w:eastAsia="仿宋_GB2312"/>
          <w:sz w:val="28"/>
          <w:szCs w:val="28"/>
        </w:rPr>
        <w:t>万元增加</w:t>
      </w:r>
      <w:r>
        <w:rPr>
          <w:rFonts w:hint="eastAsia" w:ascii="仿宋_GB2312" w:eastAsia="仿宋_GB2312"/>
          <w:sz w:val="28"/>
          <w:szCs w:val="28"/>
          <w:lang w:val="en-US" w:eastAsia="zh-CN"/>
        </w:rPr>
        <w:t>-1.29</w:t>
      </w:r>
      <w:r>
        <w:rPr>
          <w:rFonts w:hint="eastAsia" w:ascii="仿宋_GB2312" w:eastAsia="仿宋_GB2312"/>
          <w:sz w:val="28"/>
          <w:szCs w:val="28"/>
        </w:rPr>
        <w:t>万元，主要原因：</w:t>
      </w:r>
      <w:r>
        <w:rPr>
          <w:rFonts w:hint="eastAsia" w:ascii="仿宋_GB2312" w:eastAsia="仿宋_GB2312"/>
          <w:sz w:val="28"/>
          <w:szCs w:val="28"/>
          <w:lang w:val="en-US" w:eastAsia="zh-CN"/>
        </w:rPr>
        <w:t>车辆没有维修</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0</w:t>
      </w:r>
      <w:r>
        <w:rPr>
          <w:rFonts w:hint="eastAsia" w:ascii="仿宋_GB2312" w:eastAsia="仿宋_GB2312"/>
          <w:sz w:val="28"/>
          <w:szCs w:val="28"/>
        </w:rPr>
        <w:t>万元，公务用车维修</w:t>
      </w:r>
      <w:r>
        <w:rPr>
          <w:rFonts w:ascii="仿宋_GB2312" w:eastAsia="仿宋_GB2312"/>
          <w:sz w:val="28"/>
          <w:szCs w:val="28"/>
          <w:highlight w:val="none"/>
        </w:rPr>
        <w:t>0</w:t>
      </w:r>
      <w:r>
        <w:rPr>
          <w:rFonts w:hint="eastAsia" w:ascii="仿宋_GB2312" w:eastAsia="仿宋_GB2312"/>
          <w:sz w:val="28"/>
          <w:szCs w:val="28"/>
        </w:rPr>
        <w:t>万元，公务用车保险</w:t>
      </w:r>
      <w:r>
        <w:rPr>
          <w:rFonts w:ascii="仿宋_GB2312" w:eastAsia="仿宋_GB2312"/>
          <w:sz w:val="28"/>
          <w:szCs w:val="28"/>
          <w:highlight w:val="none"/>
        </w:rPr>
        <w:t>0.46</w:t>
      </w:r>
      <w:r>
        <w:rPr>
          <w:rFonts w:hint="eastAsia" w:ascii="仿宋_GB2312" w:eastAsia="仿宋_GB2312"/>
          <w:sz w:val="28"/>
          <w:szCs w:val="28"/>
        </w:rPr>
        <w:t>万元，公务用车其他支出</w:t>
      </w:r>
      <w:r>
        <w:rPr>
          <w:rFonts w:ascii="仿宋_GB2312" w:eastAsia="仿宋_GB2312"/>
          <w:sz w:val="28"/>
          <w:szCs w:val="28"/>
          <w:highlight w:val="none"/>
        </w:rPr>
        <w:t>0.18</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2</w:t>
      </w:r>
      <w:r>
        <w:rPr>
          <w:rFonts w:hint="eastAsia" w:ascii="仿宋_GB2312" w:eastAsia="仿宋_GB2312"/>
          <w:sz w:val="28"/>
          <w:szCs w:val="28"/>
        </w:rPr>
        <w:t>辆，车均运行维护费</w:t>
      </w:r>
      <w:r>
        <w:rPr>
          <w:rFonts w:hint="eastAsia" w:ascii="仿宋_GB2312" w:eastAsia="仿宋_GB2312"/>
          <w:sz w:val="28"/>
          <w:szCs w:val="28"/>
          <w:lang w:val="en-US" w:eastAsia="zh-CN"/>
        </w:rPr>
        <w:t>0.31</w:t>
      </w:r>
      <w:r>
        <w:rPr>
          <w:rFonts w:hint="eastAsia" w:ascii="仿宋_GB2312" w:eastAsia="仿宋_GB2312"/>
          <w:sz w:val="28"/>
          <w:szCs w:val="28"/>
        </w:rPr>
        <w:t>万元。</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rPr>
      </w:pPr>
      <w:r>
        <w:rPr>
          <w:rFonts w:hint="eastAsia" w:ascii="仿宋_GB2312" w:eastAsia="仿宋_GB2312"/>
          <w:sz w:val="28"/>
          <w:szCs w:val="28"/>
        </w:rPr>
        <w:t>不属于机关运行经费统计范围</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0.86</w:t>
      </w:r>
      <w:r>
        <w:rPr>
          <w:rFonts w:hint="eastAsia" w:ascii="仿宋_GB2312" w:eastAsia="仿宋_GB2312"/>
          <w:sz w:val="28"/>
          <w:szCs w:val="28"/>
        </w:rPr>
        <w:t>万元，其中：政府采购货物支出</w:t>
      </w:r>
      <w:r>
        <w:rPr>
          <w:rFonts w:ascii="仿宋_GB2312" w:eastAsia="仿宋_GB2312"/>
          <w:sz w:val="28"/>
          <w:szCs w:val="28"/>
        </w:rPr>
        <w:t>0.39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0.46</w:t>
      </w:r>
      <w:r>
        <w:rPr>
          <w:rFonts w:hint="eastAsia" w:ascii="仿宋_GB2312" w:eastAsia="仿宋_GB2312"/>
          <w:sz w:val="28"/>
          <w:szCs w:val="28"/>
        </w:rPr>
        <w:t>万元。授予中小企业合同金额</w:t>
      </w:r>
      <w:r>
        <w:rPr>
          <w:rFonts w:ascii="仿宋_GB2312" w:eastAsia="仿宋_GB2312"/>
          <w:sz w:val="28"/>
          <w:szCs w:val="28"/>
          <w:highlight w:val="none"/>
        </w:rPr>
        <w:t>0</w:t>
      </w:r>
      <w:r>
        <w:rPr>
          <w:rFonts w:hint="eastAsia" w:ascii="仿宋_GB2312" w:eastAsia="仿宋_GB2312"/>
          <w:sz w:val="28"/>
          <w:szCs w:val="28"/>
        </w:rPr>
        <w:t>万元，占政府采购支出总额的</w:t>
      </w:r>
      <w:r>
        <w:rPr>
          <w:rFonts w:ascii="仿宋_GB2312" w:eastAsia="仿宋_GB2312"/>
          <w:sz w:val="28"/>
          <w:szCs w:val="28"/>
          <w:highlight w:val="none"/>
        </w:rPr>
        <w:t>0</w:t>
      </w:r>
      <w:r>
        <w:rPr>
          <w:rFonts w:hint="eastAsia" w:ascii="仿宋_GB2312" w:eastAsia="仿宋_GB2312"/>
          <w:sz w:val="28"/>
          <w:szCs w:val="28"/>
        </w:rPr>
        <w:t>%，其中：授予小微企业合同金额</w:t>
      </w:r>
      <w:r>
        <w:rPr>
          <w:rFonts w:ascii="仿宋_GB2312" w:eastAsia="仿宋_GB2312"/>
          <w:sz w:val="28"/>
          <w:szCs w:val="28"/>
          <w:highlight w:val="none"/>
        </w:rPr>
        <w:t>0</w:t>
      </w:r>
      <w:r>
        <w:rPr>
          <w:rFonts w:hint="eastAsia" w:ascii="仿宋_GB2312" w:eastAsia="仿宋_GB2312"/>
          <w:sz w:val="28"/>
          <w:szCs w:val="28"/>
        </w:rPr>
        <w:t>万元，占政府采购支出总额的</w:t>
      </w:r>
      <w:r>
        <w:rPr>
          <w:rFonts w:ascii="仿宋_GB2312" w:eastAsia="仿宋_GB2312"/>
          <w:sz w:val="28"/>
          <w:szCs w:val="28"/>
          <w:highlight w:val="none"/>
        </w:rPr>
        <w:t>0</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12月31日，本单位</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26.21</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其中</w:t>
      </w:r>
      <w:r>
        <w:rPr>
          <w:rFonts w:hint="eastAsia" w:ascii="仿宋_GB2312" w:eastAsia="仿宋_GB2312"/>
          <w:sz w:val="28"/>
          <w:szCs w:val="28"/>
          <w:lang w:val="en-US" w:eastAsia="zh-CN"/>
        </w:rPr>
        <w:t>轿</w:t>
      </w:r>
      <w:r>
        <w:rPr>
          <w:rFonts w:hint="eastAsia" w:ascii="仿宋_GB2312" w:eastAsia="仿宋_GB2312"/>
          <w:sz w:val="28"/>
          <w:szCs w:val="28"/>
        </w:rPr>
        <w:t>车</w:t>
      </w:r>
      <w:r>
        <w:rPr>
          <w:rFonts w:hint="eastAsia" w:ascii="仿宋_GB2312" w:eastAsia="仿宋_GB2312"/>
          <w:sz w:val="28"/>
          <w:szCs w:val="28"/>
          <w:lang w:val="en-US" w:eastAsia="zh-CN"/>
        </w:rPr>
        <w:t>15.59</w:t>
      </w:r>
      <w:r>
        <w:rPr>
          <w:rFonts w:hint="eastAsia" w:ascii="仿宋_GB2312" w:eastAsia="仿宋_GB2312"/>
          <w:sz w:val="28"/>
          <w:szCs w:val="28"/>
        </w:rPr>
        <w:t>万元，</w:t>
      </w:r>
      <w:r>
        <w:rPr>
          <w:rFonts w:hint="eastAsia" w:ascii="仿宋_GB2312" w:eastAsia="仿宋_GB2312"/>
          <w:sz w:val="28"/>
          <w:szCs w:val="28"/>
          <w:lang w:val="en-US" w:eastAsia="zh-CN"/>
        </w:rPr>
        <w:t>东风日产</w:t>
      </w:r>
      <w:r>
        <w:rPr>
          <w:rFonts w:hint="eastAsia" w:ascii="仿宋_GB2312" w:eastAsia="仿宋_GB2312"/>
          <w:sz w:val="28"/>
          <w:szCs w:val="28"/>
        </w:rPr>
        <w:t>皮卡</w:t>
      </w:r>
      <w:r>
        <w:rPr>
          <w:rFonts w:hint="eastAsia" w:ascii="仿宋_GB2312" w:eastAsia="仿宋_GB2312"/>
          <w:sz w:val="28"/>
          <w:szCs w:val="28"/>
          <w:lang w:val="en-US" w:eastAsia="zh-CN"/>
        </w:rPr>
        <w:t>10.62</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numPr>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7.社会保障和就业支出（类）行政事业单位养老支出（款）事业单位离退休（项）：反映事业单位开支的离退休经费。</w:t>
      </w:r>
    </w:p>
    <w:p>
      <w:pPr>
        <w:numPr>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8.社会保障和就业支出（类）行政事业单位养老支出（款）机关事业单位基本养老保险缴费支出（项）：反映机关事业单位实施养老保险制度由单位缴纳的基本养老保险费支出。</w:t>
      </w:r>
    </w:p>
    <w:p>
      <w:pPr>
        <w:numPr>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9.社会保障和就业支出（类）行政事业单位养老支出（款）机关事业单位职业年金缴费支出（项）：反映机关事业单位实施养老保险制度由单位实际缴纳的职业年金支出。</w:t>
      </w:r>
    </w:p>
    <w:p>
      <w:pPr>
        <w:numPr>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10.卫生健康支出（类）行政事业单位医疗（款）事业单位医疗（项）：反映财政部门安排的事业单位基本医疗保险缴费经费，未参加医疗保险的事业单位的公费医疗经费，按国家规定享受离休人员待遇的医疗经费。</w:t>
      </w:r>
    </w:p>
    <w:p>
      <w:pPr>
        <w:numPr>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11.农林水支出（类）水利（款）水利工程运行与维护（项）：反映水利系统用于江、河、湖、滩等治理工程运行与维护方面的支出，以及纳入预算管理的水利工程管理单位的支出。</w:t>
      </w:r>
    </w:p>
    <w:p>
      <w:pPr>
        <w:numPr>
          <w:numId w:val="0"/>
        </w:numPr>
        <w:rPr>
          <w:rFonts w:hint="eastAsia" w:ascii="仿宋_GB2312" w:eastAsia="仿宋_GB2312"/>
          <w:sz w:val="28"/>
          <w:szCs w:val="28"/>
          <w:lang w:val="en-US" w:eastAsia="zh-CN"/>
        </w:rPr>
      </w:pPr>
      <w:r>
        <w:rPr>
          <w:rFonts w:hint="eastAsia" w:ascii="仿宋_GB2312" w:eastAsia="仿宋_GB2312"/>
          <w:sz w:val="28"/>
          <w:szCs w:val="28"/>
          <w:lang w:val="en-US" w:eastAsia="zh-CN"/>
        </w:rPr>
        <w:t>12.农林水支出（类）水利（款）其他水利支出（项）：反映除上述项目以外其他用于水利方面的支出。</w:t>
      </w:r>
    </w:p>
    <w:p>
      <w:pPr>
        <w:ind w:firstLine="640" w:firstLineChars="200"/>
        <w:jc w:val="center"/>
        <w:rPr>
          <w:rFonts w:hint="eastAsia" w:ascii="宋体" w:hAnsi="宋体" w:eastAsia="宋体" w:cs="宋体"/>
          <w:b/>
          <w:bCs/>
          <w:sz w:val="32"/>
          <w:szCs w:val="32"/>
        </w:rPr>
      </w:pPr>
      <w:r>
        <w:rPr>
          <w:rFonts w:hint="eastAsia" w:ascii="宋体" w:hAnsi="宋体" w:eastAsia="宋体" w:cs="宋体"/>
          <w:b/>
          <w:bCs/>
          <w:sz w:val="32"/>
          <w:szCs w:val="32"/>
        </w:rPr>
        <w:t>第四部分  202</w:t>
      </w:r>
      <w:r>
        <w:rPr>
          <w:rFonts w:hint="eastAsia" w:ascii="宋体" w:hAnsi="宋体" w:eastAsia="宋体" w:cs="宋体"/>
          <w:b/>
          <w:bCs/>
          <w:sz w:val="32"/>
          <w:szCs w:val="32"/>
          <w:lang w:val="en-US" w:eastAsia="zh-CN"/>
        </w:rPr>
        <w:t>3</w:t>
      </w:r>
      <w:r>
        <w:rPr>
          <w:rFonts w:hint="eastAsia" w:ascii="宋体" w:hAnsi="宋体" w:eastAsia="宋体" w:cs="宋体"/>
          <w:b/>
          <w:bCs/>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黑体" w:eastAsia="黑体"/>
          <w:sz w:val="28"/>
          <w:szCs w:val="28"/>
          <w:lang w:eastAsia="zh-CN"/>
        </w:rPr>
      </w:pPr>
      <w:r>
        <w:rPr>
          <w:rFonts w:hint="eastAsia" w:ascii="黑体" w:eastAsia="黑体"/>
          <w:sz w:val="28"/>
          <w:szCs w:val="28"/>
        </w:rPr>
        <w:t>部门整体绩效评价报告</w:t>
      </w:r>
    </w:p>
    <w:p>
      <w:pPr>
        <w:spacing w:line="580" w:lineRule="exact"/>
        <w:ind w:firstLine="420" w:firstLineChars="200"/>
        <w:rPr>
          <w:rFonts w:hint="eastAsia" w:ascii="仿宋_GB2312" w:hAnsi="仿宋_GB2312" w:eastAsia="仿宋_GB2312" w:cs="仿宋_GB2312"/>
          <w:color w:val="000000"/>
          <w:kern w:val="0"/>
          <w:sz w:val="28"/>
          <w:szCs w:val="28"/>
        </w:rPr>
      </w:pPr>
      <w:r>
        <w:rPr>
          <w:rFonts w:hint="eastAsia"/>
          <w:lang w:val="en-US" w:eastAsia="zh-CN"/>
        </w:rPr>
        <w:t xml:space="preserve">  </w:t>
      </w:r>
      <w:r>
        <w:rPr>
          <w:rFonts w:hint="eastAsia" w:ascii="黑体" w:hAnsi="黑体" w:eastAsia="黑体" w:cs="宋体"/>
          <w:color w:val="000000"/>
          <w:kern w:val="0"/>
          <w:sz w:val="28"/>
          <w:szCs w:val="28"/>
        </w:rPr>
        <w:t>（</w:t>
      </w:r>
      <w:r>
        <w:rPr>
          <w:rFonts w:hint="eastAsia" w:ascii="仿宋_GB2312" w:hAnsi="仿宋_GB2312" w:eastAsia="仿宋_GB2312" w:cs="仿宋_GB2312"/>
          <w:color w:val="000000"/>
          <w:kern w:val="0"/>
          <w:sz w:val="28"/>
          <w:szCs w:val="28"/>
        </w:rPr>
        <w:t>一）部门概况</w:t>
      </w:r>
    </w:p>
    <w:p>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1.承担</w:t>
      </w:r>
      <w:r>
        <w:rPr>
          <w:rFonts w:hint="eastAsia" w:ascii="仿宋_GB2312" w:hAnsi="仿宋_GB2312" w:eastAsia="仿宋_GB2312" w:cs="仿宋_GB2312"/>
          <w:sz w:val="28"/>
          <w:szCs w:val="28"/>
          <w:lang w:val="en-US" w:eastAsia="zh-CN"/>
        </w:rPr>
        <w:t>穆家峪镇</w:t>
      </w:r>
      <w:r>
        <w:rPr>
          <w:rFonts w:hint="eastAsia" w:ascii="仿宋_GB2312" w:hAnsi="仿宋_GB2312" w:eastAsia="仿宋_GB2312" w:cs="仿宋_GB2312"/>
          <w:sz w:val="28"/>
          <w:szCs w:val="28"/>
        </w:rPr>
        <w:t>水利工程运行维护、防汛安全等工作。为已建水利工程运行提供保障。</w:t>
      </w:r>
    </w:p>
    <w:p>
      <w:pPr>
        <w:spacing w:line="540" w:lineRule="exact"/>
        <w:ind w:firstLine="560" w:firstLineChars="200"/>
        <w:rPr>
          <w:rFonts w:hint="eastAsia" w:ascii="仿宋_GB2312" w:hAnsi="仿宋" w:eastAsia="仿宋_GB2312"/>
          <w:sz w:val="32"/>
          <w:szCs w:val="32"/>
        </w:rPr>
      </w:pPr>
      <w:r>
        <w:rPr>
          <w:rFonts w:hint="eastAsia" w:ascii="仿宋_GB2312" w:hAnsi="宋体" w:eastAsia="仿宋_GB2312"/>
          <w:sz w:val="28"/>
          <w:szCs w:val="28"/>
        </w:rPr>
        <w:t>北京市密云区</w:t>
      </w:r>
      <w:r>
        <w:rPr>
          <w:rFonts w:hint="eastAsia" w:ascii="仿宋_GB2312" w:hAnsi="宋体" w:eastAsia="仿宋_GB2312"/>
          <w:sz w:val="28"/>
          <w:szCs w:val="28"/>
          <w:lang w:val="en-US" w:eastAsia="zh-CN"/>
        </w:rPr>
        <w:t>水务局穆家峪水务站</w:t>
      </w:r>
      <w:r>
        <w:rPr>
          <w:rFonts w:hint="eastAsia" w:ascii="仿宋_GB2312" w:hAnsi="宋体" w:eastAsia="仿宋_GB2312"/>
          <w:sz w:val="28"/>
          <w:szCs w:val="28"/>
        </w:rPr>
        <w:t>共有1个预算单位，单位性质属于财政补助事业单位，隶属于北京市密云区水务局。单位内设</w:t>
      </w:r>
      <w:r>
        <w:rPr>
          <w:rFonts w:hint="eastAsia" w:ascii="仿宋_GB2312" w:hAnsi="宋体" w:eastAsia="仿宋_GB2312"/>
          <w:sz w:val="28"/>
          <w:szCs w:val="28"/>
          <w:lang w:val="en-US" w:eastAsia="zh-CN"/>
        </w:rPr>
        <w:t>管理组</w:t>
      </w:r>
      <w:r>
        <w:rPr>
          <w:rFonts w:hint="eastAsia" w:ascii="仿宋_GB2312" w:hAnsi="宋体" w:eastAsia="仿宋_GB2312"/>
          <w:sz w:val="28"/>
          <w:szCs w:val="28"/>
        </w:rPr>
        <w:t>、工程组、</w:t>
      </w:r>
      <w:r>
        <w:rPr>
          <w:rFonts w:hint="eastAsia" w:ascii="仿宋_GB2312" w:hAnsi="宋体" w:eastAsia="仿宋_GB2312"/>
          <w:sz w:val="28"/>
          <w:szCs w:val="28"/>
          <w:lang w:val="en-US" w:eastAsia="zh-CN"/>
        </w:rPr>
        <w:t>办公室</w:t>
      </w:r>
      <w:r>
        <w:rPr>
          <w:rFonts w:hint="eastAsia" w:ascii="仿宋_GB2312" w:hAnsi="宋体" w:eastAsia="仿宋_GB2312"/>
          <w:sz w:val="28"/>
          <w:szCs w:val="28"/>
        </w:rPr>
        <w:t>、</w:t>
      </w:r>
      <w:r>
        <w:rPr>
          <w:rFonts w:hint="eastAsia" w:ascii="仿宋_GB2312" w:hAnsi="宋体" w:eastAsia="仿宋_GB2312"/>
          <w:sz w:val="28"/>
          <w:szCs w:val="28"/>
          <w:lang w:val="en-US" w:eastAsia="zh-CN"/>
        </w:rPr>
        <w:t>财务</w:t>
      </w:r>
      <w:r>
        <w:rPr>
          <w:rFonts w:hint="eastAsia" w:ascii="仿宋_GB2312" w:hAnsi="宋体" w:eastAsia="仿宋_GB2312"/>
          <w:sz w:val="28"/>
          <w:szCs w:val="28"/>
        </w:rPr>
        <w:t>组。</w:t>
      </w:r>
    </w:p>
    <w:p>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2.部门整体绩效目标设立情况</w:t>
      </w:r>
    </w:p>
    <w:p>
      <w:pPr>
        <w:pStyle w:val="2"/>
        <w:ind w:firstLine="199" w:firstLineChars="95"/>
        <w:rPr>
          <w:rFonts w:hint="eastAsia" w:ascii="仿宋_GB2312" w:hAnsi="仿宋_GB2312" w:eastAsia="仿宋_GB2312" w:cs="仿宋_GB2312"/>
          <w:sz w:val="28"/>
          <w:szCs w:val="28"/>
        </w:rPr>
      </w:pPr>
      <w:r>
        <w:rPr>
          <w:rFonts w:hint="eastAsia"/>
        </w:rPr>
        <w:t xml:space="preserve">    </w:t>
      </w:r>
      <w:r>
        <w:rPr>
          <w:rFonts w:hint="eastAsia" w:ascii="仿宋_GB2312" w:hAnsi="仿宋_GB2312" w:eastAsia="仿宋_GB2312" w:cs="仿宋_GB2312"/>
          <w:sz w:val="28"/>
          <w:szCs w:val="28"/>
        </w:rPr>
        <w:t>绩效目标：保障人员经费支出；保障单位正常运转；保障单位业务开展。</w:t>
      </w:r>
    </w:p>
    <w:p>
      <w:pPr>
        <w:pStyle w:val="2"/>
        <w:ind w:firstLine="266" w:firstLineChars="95"/>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严格资金管理，规范使用资金完善制度，创新机制，加强管理，强化监督，保证资金使用管理的规范性、安全性和有效性，提高资金使用效率。</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（二）当年预算执行情况</w:t>
      </w:r>
    </w:p>
    <w:p>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w:t>
      </w:r>
      <w:r>
        <w:rPr>
          <w:rFonts w:hint="eastAsia" w:ascii="仿宋_GB2312" w:hAnsi="仿宋_GB2312" w:eastAsia="仿宋_GB2312" w:cs="仿宋_GB2312"/>
          <w:color w:val="000000"/>
          <w:kern w:val="0"/>
          <w:sz w:val="28"/>
          <w:szCs w:val="28"/>
          <w:lang w:val="en-US" w:eastAsia="zh-CN"/>
        </w:rPr>
        <w:t>3</w:t>
      </w:r>
      <w:r>
        <w:rPr>
          <w:rFonts w:hint="eastAsia" w:ascii="仿宋_GB2312" w:hAnsi="仿宋_GB2312" w:eastAsia="仿宋_GB2312" w:cs="仿宋_GB2312"/>
          <w:color w:val="000000"/>
          <w:kern w:val="0"/>
          <w:sz w:val="28"/>
          <w:szCs w:val="28"/>
        </w:rPr>
        <w:t>年全年预算数</w:t>
      </w:r>
      <w:r>
        <w:rPr>
          <w:rFonts w:hint="eastAsia" w:ascii="仿宋_GB2312" w:hAnsi="仿宋_GB2312" w:eastAsia="仿宋_GB2312" w:cs="仿宋_GB2312"/>
          <w:color w:val="000000"/>
          <w:kern w:val="0"/>
          <w:sz w:val="28"/>
          <w:szCs w:val="28"/>
          <w:lang w:val="en-US" w:eastAsia="zh-CN"/>
        </w:rPr>
        <w:t>469.34</w:t>
      </w:r>
      <w:r>
        <w:rPr>
          <w:rFonts w:hint="eastAsia" w:ascii="仿宋_GB2312" w:hAnsi="仿宋_GB2312" w:eastAsia="仿宋_GB2312" w:cs="仿宋_GB2312"/>
          <w:color w:val="000000"/>
          <w:kern w:val="0"/>
          <w:sz w:val="28"/>
          <w:szCs w:val="28"/>
        </w:rPr>
        <w:t>万元，其中，基本支出预算数</w:t>
      </w:r>
      <w:r>
        <w:rPr>
          <w:rFonts w:hint="eastAsia" w:ascii="仿宋_GB2312" w:hAnsi="仿宋_GB2312" w:eastAsia="仿宋_GB2312" w:cs="仿宋_GB2312"/>
          <w:color w:val="000000"/>
          <w:kern w:val="0"/>
          <w:sz w:val="28"/>
          <w:szCs w:val="28"/>
          <w:lang w:val="en-US" w:eastAsia="zh-CN"/>
        </w:rPr>
        <w:t>469.34</w:t>
      </w:r>
      <w:r>
        <w:rPr>
          <w:rFonts w:hint="eastAsia" w:ascii="仿宋_GB2312" w:hAnsi="仿宋_GB2312" w:eastAsia="仿宋_GB2312" w:cs="仿宋_GB2312"/>
          <w:color w:val="000000"/>
          <w:kern w:val="0"/>
          <w:sz w:val="28"/>
          <w:szCs w:val="28"/>
        </w:rPr>
        <w:t>万元，项目支出预算数</w:t>
      </w:r>
      <w:r>
        <w:rPr>
          <w:rFonts w:hint="eastAsia" w:ascii="仿宋_GB2312" w:hAnsi="仿宋_GB2312" w:eastAsia="仿宋_GB2312" w:cs="仿宋_GB2312"/>
          <w:color w:val="000000"/>
          <w:kern w:val="0"/>
          <w:sz w:val="28"/>
          <w:szCs w:val="28"/>
          <w:lang w:val="en-US" w:eastAsia="zh-CN"/>
        </w:rPr>
        <w:t>0.00</w:t>
      </w:r>
      <w:r>
        <w:rPr>
          <w:rFonts w:hint="eastAsia" w:ascii="仿宋_GB2312" w:hAnsi="仿宋_GB2312" w:eastAsia="仿宋_GB2312" w:cs="仿宋_GB2312"/>
          <w:color w:val="000000"/>
          <w:kern w:val="0"/>
          <w:sz w:val="28"/>
          <w:szCs w:val="28"/>
        </w:rPr>
        <w:t>万元，其他支出预算数0.00万元。资金总体支出</w:t>
      </w:r>
      <w:r>
        <w:rPr>
          <w:rFonts w:hint="eastAsia" w:ascii="仿宋_GB2312" w:hAnsi="仿宋_GB2312" w:eastAsia="仿宋_GB2312" w:cs="仿宋_GB2312"/>
          <w:color w:val="000000"/>
          <w:kern w:val="0"/>
          <w:sz w:val="28"/>
          <w:szCs w:val="28"/>
          <w:lang w:val="en-US" w:eastAsia="zh-CN"/>
        </w:rPr>
        <w:t>525.92</w:t>
      </w:r>
      <w:r>
        <w:rPr>
          <w:rFonts w:hint="eastAsia" w:ascii="仿宋_GB2312" w:hAnsi="仿宋_GB2312" w:eastAsia="仿宋_GB2312" w:cs="仿宋_GB2312"/>
          <w:color w:val="000000"/>
          <w:kern w:val="0"/>
          <w:sz w:val="28"/>
          <w:szCs w:val="28"/>
        </w:rPr>
        <w:t>万元，其中，基本支出</w:t>
      </w:r>
      <w:r>
        <w:rPr>
          <w:rFonts w:hint="eastAsia" w:ascii="仿宋_GB2312" w:hAnsi="仿宋_GB2312" w:eastAsia="仿宋_GB2312" w:cs="仿宋_GB2312"/>
          <w:color w:val="000000"/>
          <w:kern w:val="0"/>
          <w:sz w:val="28"/>
          <w:szCs w:val="28"/>
          <w:lang w:val="en-US" w:eastAsia="zh-CN"/>
        </w:rPr>
        <w:t>525.92</w:t>
      </w:r>
      <w:r>
        <w:rPr>
          <w:rFonts w:hint="eastAsia" w:ascii="仿宋_GB2312" w:hAnsi="仿宋_GB2312" w:eastAsia="仿宋_GB2312" w:cs="仿宋_GB2312"/>
          <w:color w:val="000000"/>
          <w:kern w:val="0"/>
          <w:sz w:val="28"/>
          <w:szCs w:val="28"/>
        </w:rPr>
        <w:t>万元，项目支出</w:t>
      </w:r>
      <w:r>
        <w:rPr>
          <w:rFonts w:hint="eastAsia" w:ascii="仿宋_GB2312" w:hAnsi="仿宋_GB2312" w:eastAsia="仿宋_GB2312" w:cs="仿宋_GB2312"/>
          <w:color w:val="000000"/>
          <w:kern w:val="0"/>
          <w:sz w:val="28"/>
          <w:szCs w:val="28"/>
          <w:lang w:val="en-US" w:eastAsia="zh-CN"/>
        </w:rPr>
        <w:t>0.00</w:t>
      </w:r>
      <w:r>
        <w:rPr>
          <w:rFonts w:hint="eastAsia" w:ascii="仿宋_GB2312" w:hAnsi="仿宋_GB2312" w:eastAsia="仿宋_GB2312" w:cs="仿宋_GB2312"/>
          <w:color w:val="000000"/>
          <w:kern w:val="0"/>
          <w:sz w:val="28"/>
          <w:szCs w:val="28"/>
        </w:rPr>
        <w:t>万元，其他支出0.00万元。预算执行率为100%。</w:t>
      </w:r>
    </w:p>
    <w:p>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（三）整体绩效目标实现情况</w:t>
      </w:r>
    </w:p>
    <w:p>
      <w:pPr>
        <w:pStyle w:val="2"/>
        <w:ind w:firstLine="56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年不涉及此项工作</w:t>
      </w:r>
    </w:p>
    <w:p>
      <w:pPr>
        <w:pStyle w:val="2"/>
        <w:ind w:firstLine="560"/>
        <w:rPr>
          <w:rFonts w:hint="eastAsia" w:ascii="仿宋_GB2312" w:eastAsia="仿宋_GB2312"/>
          <w:sz w:val="28"/>
          <w:szCs w:val="28"/>
        </w:rPr>
      </w:pPr>
      <w:r>
        <w:rPr>
          <w:rFonts w:hint="eastAsia" w:ascii="仿宋_GB2312" w:hAnsi="仿宋_GB2312" w:eastAsia="仿宋_GB2312" w:cs="仿宋_GB2312"/>
          <w:color w:val="000000"/>
          <w:kern w:val="0"/>
          <w:sz w:val="28"/>
          <w:szCs w:val="28"/>
        </w:rPr>
        <w:t>（四）预算管理情况分析</w:t>
      </w:r>
    </w:p>
    <w:p>
      <w:pPr>
        <w:pStyle w:val="2"/>
        <w:ind w:firstLine="56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年不涉及此项工作</w:t>
      </w:r>
    </w:p>
    <w:p>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（五）总体评价结论</w:t>
      </w:r>
    </w:p>
    <w:p>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我单位无存在问题</w:t>
      </w:r>
    </w:p>
    <w:p>
      <w:pPr>
        <w:pStyle w:val="2"/>
        <w:spacing w:line="580" w:lineRule="exact"/>
        <w:ind w:firstLine="56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（六）措施建议</w:t>
      </w:r>
    </w:p>
    <w:p>
      <w:pPr>
        <w:pStyle w:val="2"/>
        <w:spacing w:line="580" w:lineRule="exact"/>
        <w:ind w:firstLine="560"/>
        <w:rPr>
          <w:rFonts w:hint="eastAsia"/>
          <w:sz w:val="28"/>
          <w:szCs w:val="28"/>
        </w:rPr>
      </w:pPr>
      <w:r>
        <w:rPr>
          <w:rFonts w:hint="eastAsia" w:ascii="仿宋_GB2312" w:hAnsi="仿宋_GB2312" w:eastAsia="仿宋_GB2312" w:cs="仿宋_GB2312"/>
          <w:color w:val="000000"/>
          <w:kern w:val="0"/>
          <w:sz w:val="28"/>
          <w:szCs w:val="28"/>
        </w:rPr>
        <w:t>无</w:t>
      </w:r>
    </w:p>
    <w:p>
      <w:pPr>
        <w:pStyle w:val="2"/>
        <w:numPr>
          <w:numId w:val="0"/>
        </w:numPr>
        <w:rPr>
          <w:rFonts w:hint="eastAsia"/>
          <w:lang w:val="en-US" w:eastAsia="zh-CN"/>
        </w:rPr>
      </w:pPr>
    </w:p>
    <w:p>
      <w:pPr>
        <w:numPr>
          <w:ilvl w:val="0"/>
          <w:numId w:val="1"/>
        </w:numPr>
        <w:ind w:left="0" w:leftChars="0" w:firstLine="560" w:firstLineChars="200"/>
        <w:rPr>
          <w:rFonts w:ascii="黑体" w:eastAsia="黑体"/>
          <w:sz w:val="28"/>
          <w:szCs w:val="28"/>
        </w:rPr>
      </w:pPr>
      <w:r>
        <w:rPr>
          <w:rFonts w:hint="eastAsia" w:ascii="黑体" w:eastAsia="黑体"/>
          <w:sz w:val="28"/>
          <w:szCs w:val="28"/>
        </w:rPr>
        <w:t>项目支出绩效评价报告</w:t>
      </w:r>
    </w:p>
    <w:p>
      <w:pPr>
        <w:spacing w:line="580" w:lineRule="exact"/>
        <w:ind w:left="105" w:leftChars="50" w:firstLine="420" w:firstLineChars="15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本年不涉及此项工作</w:t>
      </w:r>
    </w:p>
    <w:p>
      <w:pPr>
        <w:pStyle w:val="2"/>
      </w:pPr>
    </w:p>
    <w:p>
      <w:pPr>
        <w:numPr>
          <w:ilvl w:val="0"/>
          <w:numId w:val="1"/>
        </w:numPr>
        <w:ind w:left="0" w:leftChars="0"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pPr>
        <w:spacing w:line="580" w:lineRule="exact"/>
        <w:ind w:left="105" w:leftChars="50" w:firstLine="420" w:firstLineChars="15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本年不涉及此项工作</w:t>
      </w:r>
    </w:p>
    <w:p>
      <w:pPr>
        <w:pStyle w:val="2"/>
      </w:pPr>
    </w:p>
    <w:p>
      <w:pPr>
        <w:numPr>
          <w:ilvl w:val="0"/>
          <w:numId w:val="1"/>
        </w:numPr>
        <w:spacing w:line="480" w:lineRule="exact"/>
        <w:ind w:left="0" w:leftChars="0" w:firstLine="560" w:firstLineChars="200"/>
        <w:rPr>
          <w:rFonts w:hint="eastAsia" w:ascii="黑体" w:hAnsi="Times New Roman" w:eastAsia="黑体" w:cs="Times New Roman"/>
          <w:sz w:val="28"/>
          <w:szCs w:val="28"/>
          <w:lang w:val="en-US" w:eastAsia="zh-CN"/>
        </w:rPr>
      </w:pPr>
      <w:r>
        <w:rPr>
          <w:rFonts w:hint="eastAsia" w:ascii="黑体" w:hAnsi="Times New Roman" w:eastAsia="黑体" w:cs="Times New Roman"/>
          <w:sz w:val="28"/>
          <w:szCs w:val="28"/>
          <w:lang w:val="en-US" w:eastAsia="zh-CN"/>
        </w:rPr>
        <w:t>中央对北京转移支付预算执行情况绩效自评报告</w:t>
      </w:r>
    </w:p>
    <w:p>
      <w:pPr>
        <w:pStyle w:val="2"/>
        <w:numPr>
          <w:numId w:val="0"/>
        </w:numPr>
        <w:ind w:leftChars="200"/>
        <w:rPr>
          <w:rFonts w:hint="eastAsia"/>
          <w:lang w:val="en-US" w:eastAsia="zh-CN"/>
        </w:rPr>
      </w:pPr>
      <w:r>
        <w:rPr>
          <w:rFonts w:hint="eastAsia"/>
          <w:lang w:val="en-US" w:eastAsia="zh-CN"/>
        </w:rPr>
        <w:t xml:space="preserve">   </w:t>
      </w:r>
    </w:p>
    <w:p>
      <w:pPr>
        <w:pStyle w:val="2"/>
        <w:numPr>
          <w:numId w:val="0"/>
        </w:numPr>
        <w:ind w:leftChars="200"/>
        <w:rPr>
          <w:rFonts w:hint="eastAsia"/>
          <w:lang w:val="en-US" w:eastAsia="zh-CN"/>
        </w:rPr>
      </w:pPr>
    </w:p>
    <w:p>
      <w:pPr>
        <w:spacing w:line="580" w:lineRule="exact"/>
        <w:ind w:left="105" w:leftChars="50" w:firstLine="420" w:firstLineChars="150"/>
        <w:rPr>
          <w:rFonts w:hint="default"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本年不涉及此项工作</w:t>
      </w:r>
    </w:p>
    <w:p>
      <w:pPr>
        <w:pStyle w:val="2"/>
        <w:ind w:left="0" w:leftChars="0" w:firstLine="0" w:firstLineChars="0"/>
        <w:rPr>
          <w:rFonts w:hint="eastAsia"/>
        </w:rPr>
      </w:pPr>
    </w:p>
    <w:sectPr>
      <w:footerReference r:id="rId5" w:type="default"/>
      <w:footerReference r:id="rId6"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Calibri">
    <w:panose1 w:val="020F0502020204030204"/>
    <w:charset w:val="00"/>
    <w:family w:val="auto"/>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2987028540">
    <w:nsid w:val="B20A703C"/>
    <w:multiLevelType w:val="singleLevel"/>
    <w:tmpl w:val="B20A703C"/>
    <w:lvl w:ilvl="0" w:tentative="1">
      <w:start w:val="1"/>
      <w:numFmt w:val="chineseCounting"/>
      <w:suff w:val="nothing"/>
      <w:lvlText w:val="%1、"/>
      <w:lvlJc w:val="left"/>
      <w:rPr>
        <w:rFonts w:hint="eastAsia"/>
      </w:rPr>
    </w:lvl>
  </w:abstractNum>
  <w:num w:numId="1">
    <w:abstractNumId w:val="29870285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NjA1Y2ZhNzQzOGM3ZjdmOTkyM2IxYzdlMDEyMWVkYzg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8DD"/>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9020557"/>
    <w:rsid w:val="0A6C019B"/>
    <w:rsid w:val="0C9D59DC"/>
    <w:rsid w:val="0F8E2C57"/>
    <w:rsid w:val="1059665E"/>
    <w:rsid w:val="10AC13BA"/>
    <w:rsid w:val="135C26A6"/>
    <w:rsid w:val="1AEC0734"/>
    <w:rsid w:val="1DEF20B0"/>
    <w:rsid w:val="214243FA"/>
    <w:rsid w:val="22EE415A"/>
    <w:rsid w:val="257A14F5"/>
    <w:rsid w:val="27196C26"/>
    <w:rsid w:val="29EF086F"/>
    <w:rsid w:val="2DDD2800"/>
    <w:rsid w:val="2EFFE297"/>
    <w:rsid w:val="301437CA"/>
    <w:rsid w:val="316B1AFD"/>
    <w:rsid w:val="32967835"/>
    <w:rsid w:val="3B2C2019"/>
    <w:rsid w:val="3D9F4E86"/>
    <w:rsid w:val="4041206D"/>
    <w:rsid w:val="40894B0D"/>
    <w:rsid w:val="433E495C"/>
    <w:rsid w:val="43BF4221"/>
    <w:rsid w:val="4AC27CB3"/>
    <w:rsid w:val="4BF72BEF"/>
    <w:rsid w:val="51DB3C59"/>
    <w:rsid w:val="51FC345E"/>
    <w:rsid w:val="55762E42"/>
    <w:rsid w:val="57272E32"/>
    <w:rsid w:val="57A7B272"/>
    <w:rsid w:val="58470068"/>
    <w:rsid w:val="5A1720F9"/>
    <w:rsid w:val="5A8432EA"/>
    <w:rsid w:val="5B9C37C2"/>
    <w:rsid w:val="5BA7C654"/>
    <w:rsid w:val="64155DB5"/>
    <w:rsid w:val="64C0607C"/>
    <w:rsid w:val="65FF43FA"/>
    <w:rsid w:val="676F09E1"/>
    <w:rsid w:val="6E1DD6B5"/>
    <w:rsid w:val="6EC27BF0"/>
    <w:rsid w:val="71B51E4B"/>
    <w:rsid w:val="77FFF19E"/>
    <w:rsid w:val="7A7F1C49"/>
    <w:rsid w:val="7B330394"/>
    <w:rsid w:val="7B5B7AE6"/>
    <w:rsid w:val="7BA7071E"/>
    <w:rsid w:val="7BDF6DA8"/>
    <w:rsid w:val="7C7EDC1A"/>
    <w:rsid w:val="7CCED98D"/>
    <w:rsid w:val="7D08410F"/>
    <w:rsid w:val="7DB96DED"/>
    <w:rsid w:val="7DD3AD81"/>
    <w:rsid w:val="7F7FE70F"/>
    <w:rsid w:val="7FFF772F"/>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0">
    <w:name w:val="Default Paragraph Font"/>
    <w:semiHidden/>
    <w:qFormat/>
    <w:uiPriority w:val="0"/>
  </w:style>
  <w:style w:type="table" w:default="1" w:styleId="13">
    <w:name w:val="Normal Table"/>
    <w:semiHidden/>
    <w:qFormat/>
    <w:uiPriority w:val="0"/>
    <w:tblPr>
      <w:tblStyle w:val="13"/>
      <w:tblLayout w:type="fixed"/>
      <w:tblCellMar>
        <w:top w:w="0" w:type="dxa"/>
        <w:left w:w="108" w:type="dxa"/>
        <w:bottom w:w="0" w:type="dxa"/>
        <w:right w:w="108" w:type="dxa"/>
      </w:tblCellMar>
    </w:tblPr>
    <w:tcPr>
      <w:textDirection w:val="lrTb"/>
    </w:tc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paragraph" w:customStyle="1" w:styleId="14">
    <w:name w:val=" Char Char Char Char Char Char Char"/>
    <w:basedOn w:val="1"/>
    <w:qFormat/>
    <w:uiPriority w:val="0"/>
    <w:rPr>
      <w:rFonts w:ascii="Tahoma" w:hAnsi="Tahoma"/>
      <w:sz w:val="24"/>
      <w:szCs w:val="20"/>
    </w:rPr>
  </w:style>
  <w:style w:type="paragraph" w:customStyle="1" w:styleId="15">
    <w:name w:val="Char1 Char Char Char"/>
    <w:basedOn w:val="1"/>
    <w:qFormat/>
    <w:uiPriority w:val="0"/>
    <w:pPr>
      <w:widowControl/>
      <w:spacing w:after="160" w:line="240" w:lineRule="exact"/>
      <w:jc w:val="left"/>
    </w:pPr>
    <w:rPr>
      <w:szCs w:val="20"/>
    </w:rPr>
  </w:style>
  <w:style w:type="paragraph" w:customStyle="1" w:styleId="16">
    <w:name w:val="Char"/>
    <w:basedOn w:val="1"/>
    <w:qFormat/>
    <w:uiPriority w:val="0"/>
    <w:rPr>
      <w:rFonts w:ascii="Tahoma" w:hAnsi="Tahoma"/>
      <w:sz w:val="24"/>
      <w:szCs w:val="20"/>
    </w:rPr>
  </w:style>
  <w:style w:type="paragraph" w:customStyle="1" w:styleId="17">
    <w:name w:val="Char Char3 Char Char"/>
    <w:basedOn w:val="1"/>
    <w:qFormat/>
    <w:uiPriority w:val="0"/>
    <w:rPr>
      <w:szCs w:val="21"/>
    </w:rPr>
  </w:style>
  <w:style w:type="character" w:customStyle="1" w:styleId="18">
    <w:name w:val="页脚 Char"/>
    <w:link w:val="7"/>
    <w:qFormat/>
    <w:uiPriority w:val="0"/>
    <w:rPr>
      <w:rFonts w:eastAsia="宋体"/>
      <w:kern w:val="2"/>
      <w:sz w:val="18"/>
      <w:szCs w:val="18"/>
      <w:lang w:val="en-US" w:eastAsia="zh-CN" w:bidi="ar-SA"/>
    </w:rPr>
  </w:style>
  <w:style w:type="character" w:customStyle="1" w:styleId="19">
    <w:name w:val="页眉 Char"/>
    <w:link w:val="8"/>
    <w:qFormat/>
    <w:uiPriority w:val="0"/>
    <w:rPr>
      <w:rFonts w:ascii="Calibri" w:hAnsi="Calibri"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1.e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image" Target="media/image14.png"/><Relationship Id="rId32" Type="http://schemas.openxmlformats.org/officeDocument/2006/relationships/image" Target="media/image13.png"/><Relationship Id="rId31" Type="http://schemas.openxmlformats.org/officeDocument/2006/relationships/image" Target="media/image12.emf"/><Relationship Id="rId30" Type="http://schemas.openxmlformats.org/officeDocument/2006/relationships/oleObject" Target="embeddings/oleObject12.bin"/><Relationship Id="rId3" Type="http://schemas.openxmlformats.org/officeDocument/2006/relationships/settings" Target="settings.xml"/><Relationship Id="rId29" Type="http://schemas.openxmlformats.org/officeDocument/2006/relationships/image" Target="media/image11.emf"/><Relationship Id="rId28" Type="http://schemas.openxmlformats.org/officeDocument/2006/relationships/oleObject" Target="embeddings/oleObject11.bin"/><Relationship Id="rId27" Type="http://schemas.openxmlformats.org/officeDocument/2006/relationships/image" Target="media/image10.emf"/><Relationship Id="rId26" Type="http://schemas.openxmlformats.org/officeDocument/2006/relationships/oleObject" Target="embeddings/oleObject10.bin"/><Relationship Id="rId25" Type="http://schemas.openxmlformats.org/officeDocument/2006/relationships/image" Target="media/image9.emf"/><Relationship Id="rId24" Type="http://schemas.openxmlformats.org/officeDocument/2006/relationships/oleObject" Target="embeddings/oleObject9.bin"/><Relationship Id="rId23" Type="http://schemas.openxmlformats.org/officeDocument/2006/relationships/image" Target="media/image8.emf"/><Relationship Id="rId22" Type="http://schemas.openxmlformats.org/officeDocument/2006/relationships/oleObject" Target="embeddings/oleObject8.bin"/><Relationship Id="rId21" Type="http://schemas.openxmlformats.org/officeDocument/2006/relationships/image" Target="media/image7.emf"/><Relationship Id="rId20" Type="http://schemas.openxmlformats.org/officeDocument/2006/relationships/oleObject" Target="embeddings/oleObject7.bin"/><Relationship Id="rId2" Type="http://schemas.openxmlformats.org/officeDocument/2006/relationships/styles" Target="styles.xml"/><Relationship Id="rId19" Type="http://schemas.openxmlformats.org/officeDocument/2006/relationships/image" Target="media/image6.emf"/><Relationship Id="rId18" Type="http://schemas.openxmlformats.org/officeDocument/2006/relationships/oleObject" Target="embeddings/oleObject6.bin"/><Relationship Id="rId17" Type="http://schemas.openxmlformats.org/officeDocument/2006/relationships/image" Target="media/image5.emf"/><Relationship Id="rId16" Type="http://schemas.openxmlformats.org/officeDocument/2006/relationships/oleObject" Target="embeddings/oleObject5.bin"/><Relationship Id="rId15" Type="http://schemas.openxmlformats.org/officeDocument/2006/relationships/image" Target="media/image4.emf"/><Relationship Id="rId14" Type="http://schemas.openxmlformats.org/officeDocument/2006/relationships/oleObject" Target="embeddings/oleObject4.bin"/><Relationship Id="rId13" Type="http://schemas.openxmlformats.org/officeDocument/2006/relationships/image" Target="media/image3.emf"/><Relationship Id="rId12" Type="http://schemas.openxmlformats.org/officeDocument/2006/relationships/oleObject" Target="embeddings/oleObject3.bin"/><Relationship Id="rId11" Type="http://schemas.openxmlformats.org/officeDocument/2006/relationships/image" Target="media/image2.emf"/><Relationship Id="rId10" Type="http://schemas.openxmlformats.org/officeDocument/2006/relationships/oleObject" Target="embeddings/oleObject2.bin"/><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4253</Words>
  <Characters>4747</Characters>
  <Lines>77</Lines>
  <Paragraphs>21</Paragraphs>
  <ScaleCrop>false</ScaleCrop>
  <LinksUpToDate>false</LinksUpToDate>
  <CharactersWithSpaces>0</CharactersWithSpaces>
  <Application>WPS Office 专业版_9.1.0.5012_F1E327BC-269C-435d-A152-05C5408002CA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lenovo、</cp:lastModifiedBy>
  <cp:lastPrinted>2020-08-08T03:39:00Z</cp:lastPrinted>
  <dcterms:modified xsi:type="dcterms:W3CDTF">2024-12-09T03:11:02Z</dcterms:modified>
  <dc:title>北京市财政局关于做好向市人大常委会报送2015年度市级部门决算（草案）</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2052-9.1.0.5012</vt:lpwstr>
  </property>
  <property fmtid="{D5CDD505-2E9C-101B-9397-08002B2CF9AE}" pid="3" name="ICV">
    <vt:lpwstr>C53E0049DD7D4F56A956C4A3BA3D12CC_13</vt:lpwstr>
  </property>
</Properties>
</file>