
<file path=[Content_Types].xml><?xml version="1.0" encoding="utf-8"?>
<Types xmlns="http://schemas.openxmlformats.org/package/2006/content-types">
  <Default Extension="xlsx" ContentType="application/vnd.openxmlformats-officedocument.spreadsheetml.sheet"/>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theme/themeOverride1.xml" ContentType="application/vnd.openxmlformats-officedocument.themeOverrid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17073C">
      <w:pPr>
        <w:pStyle w:val="2"/>
        <w:ind w:firstLine="420"/>
        <w:rPr>
          <w:rFonts w:hint="eastAsia"/>
        </w:rPr>
      </w:pPr>
    </w:p>
    <w:p w14:paraId="557331C9">
      <w:pPr>
        <w:pStyle w:val="2"/>
        <w:ind w:firstLine="420"/>
        <w:rPr>
          <w:rFonts w:hint="eastAsia"/>
        </w:rPr>
      </w:pPr>
    </w:p>
    <w:p w14:paraId="47DDE37F">
      <w:pPr>
        <w:pStyle w:val="2"/>
        <w:ind w:firstLine="420"/>
        <w:rPr>
          <w:rFonts w:hint="eastAsia"/>
        </w:rPr>
      </w:pPr>
    </w:p>
    <w:p w14:paraId="3D1BB291">
      <w:pPr>
        <w:pStyle w:val="2"/>
        <w:ind w:firstLine="420"/>
        <w:rPr>
          <w:rFonts w:hint="eastAsia"/>
        </w:rPr>
      </w:pPr>
    </w:p>
    <w:p w14:paraId="07EA66B5">
      <w:pPr>
        <w:pStyle w:val="2"/>
        <w:ind w:firstLine="420"/>
        <w:rPr>
          <w:rFonts w:hint="eastAsia"/>
        </w:rPr>
      </w:pPr>
    </w:p>
    <w:p w14:paraId="4E52EB3E">
      <w:pPr>
        <w:pStyle w:val="2"/>
        <w:ind w:firstLine="420"/>
        <w:rPr>
          <w:rFonts w:hint="eastAsia"/>
        </w:rPr>
      </w:pPr>
    </w:p>
    <w:p w14:paraId="1333DA83">
      <w:pPr>
        <w:pStyle w:val="2"/>
        <w:ind w:firstLine="420"/>
        <w:rPr>
          <w:rFonts w:hint="eastAsia"/>
        </w:rPr>
      </w:pPr>
    </w:p>
    <w:p w14:paraId="5CD95496">
      <w:pPr>
        <w:pStyle w:val="2"/>
        <w:ind w:firstLine="420"/>
        <w:rPr>
          <w:rFonts w:hint="eastAsia"/>
        </w:rPr>
      </w:pPr>
    </w:p>
    <w:p w14:paraId="3F8C748E">
      <w:pPr>
        <w:pStyle w:val="2"/>
        <w:ind w:firstLine="420"/>
        <w:rPr>
          <w:rFonts w:hint="eastAsia"/>
        </w:rPr>
      </w:pPr>
    </w:p>
    <w:p w14:paraId="2B3B31ED">
      <w:pPr>
        <w:pStyle w:val="2"/>
        <w:ind w:firstLine="420"/>
        <w:rPr>
          <w:rFonts w:hint="eastAsia"/>
        </w:rPr>
      </w:pPr>
    </w:p>
    <w:p w14:paraId="7CF12612">
      <w:pPr>
        <w:pStyle w:val="2"/>
        <w:ind w:firstLine="420"/>
        <w:rPr>
          <w:rFonts w:hint="eastAsia"/>
        </w:rPr>
      </w:pPr>
    </w:p>
    <w:p w14:paraId="76BA7F9A">
      <w:pPr>
        <w:pStyle w:val="2"/>
        <w:ind w:firstLine="420"/>
        <w:rPr>
          <w:rFonts w:hint="eastAsia"/>
        </w:rPr>
      </w:pPr>
    </w:p>
    <w:p w14:paraId="0D04E1BF">
      <w:pPr>
        <w:pStyle w:val="2"/>
        <w:ind w:firstLine="420"/>
        <w:rPr>
          <w:rFonts w:hint="eastAsia"/>
        </w:rPr>
      </w:pPr>
    </w:p>
    <w:p w14:paraId="43C5C3DC">
      <w:pPr>
        <w:jc w:val="center"/>
        <w:rPr>
          <w:rFonts w:hint="eastAsia" w:ascii="黑体" w:eastAsia="黑体"/>
          <w:sz w:val="72"/>
          <w:szCs w:val="72"/>
        </w:rPr>
      </w:pPr>
      <w:r>
        <w:rPr>
          <w:rFonts w:hint="eastAsia" w:ascii="黑体" w:eastAsia="黑体"/>
          <w:sz w:val="72"/>
          <w:szCs w:val="72"/>
        </w:rPr>
        <w:t>2023年度部门决算公开</w:t>
      </w:r>
    </w:p>
    <w:p w14:paraId="12FBB96E">
      <w:pPr>
        <w:pStyle w:val="2"/>
        <w:ind w:firstLine="420"/>
        <w:rPr>
          <w:rFonts w:hint="eastAsia"/>
        </w:rPr>
      </w:pPr>
    </w:p>
    <w:p w14:paraId="20521F15">
      <w:pPr>
        <w:pStyle w:val="2"/>
        <w:ind w:firstLine="420"/>
        <w:rPr>
          <w:rFonts w:hint="eastAsia"/>
        </w:rPr>
      </w:pPr>
    </w:p>
    <w:p w14:paraId="03979D79">
      <w:pPr>
        <w:pStyle w:val="2"/>
        <w:ind w:firstLine="420"/>
        <w:rPr>
          <w:rFonts w:hint="eastAsia"/>
        </w:rPr>
      </w:pPr>
    </w:p>
    <w:p w14:paraId="3620D88A">
      <w:pPr>
        <w:pStyle w:val="2"/>
        <w:ind w:firstLine="420"/>
        <w:rPr>
          <w:rFonts w:hint="eastAsia"/>
        </w:rPr>
      </w:pPr>
    </w:p>
    <w:p w14:paraId="51BCB877">
      <w:pPr>
        <w:pStyle w:val="2"/>
        <w:ind w:firstLine="420"/>
        <w:rPr>
          <w:rFonts w:hint="eastAsia"/>
        </w:rPr>
      </w:pPr>
    </w:p>
    <w:p w14:paraId="59D1BC92">
      <w:pPr>
        <w:pStyle w:val="2"/>
        <w:ind w:firstLine="420"/>
        <w:rPr>
          <w:rFonts w:hint="eastAsia"/>
        </w:rPr>
      </w:pPr>
    </w:p>
    <w:p w14:paraId="6E6C29CB">
      <w:pPr>
        <w:pStyle w:val="2"/>
        <w:ind w:firstLine="420"/>
        <w:rPr>
          <w:rFonts w:hint="eastAsia"/>
        </w:rPr>
      </w:pPr>
    </w:p>
    <w:p w14:paraId="4C670FA3">
      <w:pPr>
        <w:pStyle w:val="2"/>
        <w:ind w:firstLine="420"/>
        <w:rPr>
          <w:rFonts w:hint="eastAsia"/>
        </w:rPr>
      </w:pPr>
    </w:p>
    <w:p w14:paraId="5B0887EA">
      <w:pPr>
        <w:pStyle w:val="2"/>
        <w:ind w:firstLine="420"/>
        <w:rPr>
          <w:rFonts w:hint="eastAsia"/>
        </w:rPr>
      </w:pPr>
    </w:p>
    <w:p w14:paraId="03DC21BF">
      <w:pPr>
        <w:pStyle w:val="2"/>
        <w:ind w:firstLine="420"/>
        <w:rPr>
          <w:rFonts w:hint="eastAsia"/>
        </w:rPr>
      </w:pPr>
    </w:p>
    <w:p w14:paraId="7585E898">
      <w:pPr>
        <w:pStyle w:val="2"/>
        <w:ind w:firstLine="420"/>
        <w:rPr>
          <w:rFonts w:hint="eastAsia"/>
        </w:rPr>
      </w:pPr>
    </w:p>
    <w:p w14:paraId="48DD2EEB">
      <w:pPr>
        <w:pStyle w:val="2"/>
        <w:ind w:firstLine="420"/>
        <w:rPr>
          <w:rFonts w:hint="eastAsia"/>
        </w:rPr>
      </w:pPr>
    </w:p>
    <w:p w14:paraId="437805FE">
      <w:pPr>
        <w:pStyle w:val="2"/>
        <w:ind w:firstLine="420"/>
        <w:rPr>
          <w:rFonts w:hint="eastAsia"/>
        </w:rPr>
      </w:pPr>
    </w:p>
    <w:p w14:paraId="055F068F">
      <w:pPr>
        <w:pStyle w:val="2"/>
        <w:ind w:firstLine="420"/>
      </w:pPr>
    </w:p>
    <w:p w14:paraId="4E4F141E">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3B581DB3">
      <w:pPr>
        <w:spacing w:line="500" w:lineRule="exact"/>
        <w:ind w:firstLine="645"/>
        <w:jc w:val="center"/>
        <w:rPr>
          <w:rFonts w:ascii="宋体" w:hAnsi="宋体" w:cs="宋体"/>
          <w:b/>
          <w:bCs/>
          <w:kern w:val="0"/>
          <w:sz w:val="36"/>
          <w:szCs w:val="36"/>
        </w:rPr>
      </w:pPr>
    </w:p>
    <w:p w14:paraId="030F0B54">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2023年度部门决算报表</w:t>
      </w:r>
    </w:p>
    <w:p w14:paraId="4B336859">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78F0F786">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22427B0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14AE8A49">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080181C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14:paraId="2A7EAD18">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14:paraId="4C17AB7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14:paraId="12D146A0">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2339317A">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41C5ECEA">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14:paraId="14A50271">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14:paraId="6D807B30">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14:paraId="2F740528">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14:paraId="18086086">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2023年度部门决算说明</w:t>
      </w:r>
    </w:p>
    <w:p w14:paraId="4E85E8A1">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2023年度</w:t>
      </w:r>
      <w:r>
        <w:rPr>
          <w:rFonts w:hint="eastAsia" w:ascii="宋体" w:hAnsi="宋体" w:cs="宋体"/>
          <w:spacing w:val="40"/>
          <w:kern w:val="0"/>
          <w:sz w:val="32"/>
          <w:szCs w:val="32"/>
        </w:rPr>
        <w:t>其他重要事项的情况说明</w:t>
      </w:r>
    </w:p>
    <w:p w14:paraId="03986199">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2023年度部门绩效评价情况</w:t>
      </w:r>
    </w:p>
    <w:p w14:paraId="2CFEBF9F">
      <w:pPr>
        <w:tabs>
          <w:tab w:val="center" w:pos="6979"/>
        </w:tabs>
        <w:spacing w:before="156" w:beforeLines="50" w:after="156" w:afterLines="50"/>
        <w:jc w:val="center"/>
        <w:rPr>
          <w:rFonts w:ascii="宋体" w:hAnsi="宋体" w:cs="宋体"/>
          <w:b/>
          <w:bCs/>
          <w:spacing w:val="40"/>
          <w:kern w:val="0"/>
          <w:sz w:val="32"/>
          <w:szCs w:val="32"/>
        </w:rPr>
      </w:pPr>
    </w:p>
    <w:p w14:paraId="1FE23B1E">
      <w:pPr>
        <w:tabs>
          <w:tab w:val="center" w:pos="6979"/>
        </w:tabs>
        <w:spacing w:before="156" w:beforeLines="50" w:after="156" w:afterLines="50"/>
        <w:jc w:val="center"/>
        <w:rPr>
          <w:rFonts w:ascii="宋体" w:hAnsi="宋体" w:cs="宋体"/>
          <w:b/>
          <w:bCs/>
          <w:spacing w:val="40"/>
          <w:kern w:val="0"/>
          <w:sz w:val="32"/>
          <w:szCs w:val="32"/>
        </w:rPr>
      </w:pPr>
    </w:p>
    <w:p w14:paraId="0A0F5FFE">
      <w:pPr>
        <w:tabs>
          <w:tab w:val="center" w:pos="6979"/>
        </w:tabs>
        <w:spacing w:before="156" w:beforeLines="50" w:after="156" w:afterLines="50"/>
        <w:jc w:val="center"/>
        <w:rPr>
          <w:rFonts w:ascii="宋体" w:hAnsi="宋体" w:cs="宋体"/>
          <w:b/>
          <w:bCs/>
          <w:spacing w:val="40"/>
          <w:kern w:val="0"/>
          <w:sz w:val="32"/>
          <w:szCs w:val="32"/>
        </w:rPr>
      </w:pPr>
    </w:p>
    <w:p w14:paraId="79F81FF7">
      <w:pPr>
        <w:tabs>
          <w:tab w:val="center" w:pos="6979"/>
        </w:tabs>
        <w:spacing w:before="156" w:beforeLines="50" w:after="156" w:afterLines="50"/>
        <w:jc w:val="center"/>
        <w:rPr>
          <w:rFonts w:ascii="宋体" w:hAnsi="宋体" w:cs="宋体"/>
          <w:b/>
          <w:bCs/>
          <w:spacing w:val="40"/>
          <w:kern w:val="0"/>
          <w:sz w:val="32"/>
          <w:szCs w:val="32"/>
        </w:rPr>
      </w:pPr>
    </w:p>
    <w:p w14:paraId="2B5BE15E">
      <w:pPr>
        <w:tabs>
          <w:tab w:val="center" w:pos="6979"/>
        </w:tabs>
        <w:spacing w:before="156" w:beforeLines="50" w:after="156" w:afterLines="50"/>
        <w:jc w:val="center"/>
        <w:rPr>
          <w:rFonts w:ascii="宋体" w:hAnsi="宋体" w:cs="宋体"/>
          <w:b/>
          <w:bCs/>
          <w:spacing w:val="40"/>
          <w:kern w:val="0"/>
          <w:sz w:val="32"/>
          <w:szCs w:val="32"/>
        </w:rPr>
      </w:pPr>
    </w:p>
    <w:p w14:paraId="43844556">
      <w:pPr>
        <w:tabs>
          <w:tab w:val="center" w:pos="6979"/>
        </w:tabs>
        <w:spacing w:before="156" w:beforeLines="50" w:after="156" w:afterLines="50"/>
        <w:jc w:val="center"/>
        <w:rPr>
          <w:rFonts w:ascii="宋体" w:hAnsi="宋体" w:cs="宋体"/>
          <w:b/>
          <w:bCs/>
          <w:spacing w:val="40"/>
          <w:kern w:val="0"/>
          <w:sz w:val="32"/>
          <w:szCs w:val="32"/>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宋体" w:hAnsi="宋体" w:cs="宋体"/>
          <w:b/>
          <w:bCs/>
          <w:spacing w:val="40"/>
          <w:kern w:val="0"/>
          <w:sz w:val="32"/>
          <w:szCs w:val="32"/>
        </w:rPr>
        <w:t>第一部分 2023年度部门决算报表</w:t>
      </w:r>
      <w:r>
        <w:rPr>
          <w:rFonts w:hint="eastAsia"/>
        </w:rPr>
        <w:drawing>
          <wp:inline distT="0" distB="0" distL="0" distR="0">
            <wp:extent cx="9124315" cy="5738495"/>
            <wp:effectExtent l="0" t="0" r="635"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9129985" cy="5742499"/>
                    </a:xfrm>
                    <a:prstGeom prst="rect">
                      <a:avLst/>
                    </a:prstGeom>
                    <a:noFill/>
                    <a:ln>
                      <a:noFill/>
                    </a:ln>
                  </pic:spPr>
                </pic:pic>
              </a:graphicData>
            </a:graphic>
          </wp:inline>
        </w:drawing>
      </w:r>
    </w:p>
    <w:p w14:paraId="23CA3F23">
      <w:pPr>
        <w:tabs>
          <w:tab w:val="center" w:pos="6979"/>
        </w:tabs>
        <w:spacing w:before="156" w:beforeLines="50" w:after="156" w:afterLines="50"/>
        <w:jc w:val="center"/>
        <w:rPr>
          <w:rFonts w:ascii="宋体" w:hAnsi="宋体" w:cs="宋体"/>
          <w:b/>
          <w:bCs/>
          <w:spacing w:val="40"/>
          <w:kern w:val="0"/>
          <w:sz w:val="32"/>
          <w:szCs w:val="32"/>
        </w:rPr>
      </w:pPr>
      <w:r>
        <w:rPr>
          <w:rFonts w:hint="eastAsia"/>
        </w:rPr>
        <w:drawing>
          <wp:inline distT="0" distB="0" distL="0" distR="0">
            <wp:extent cx="9251950" cy="3384550"/>
            <wp:effectExtent l="0" t="0" r="6350" b="635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9251950" cy="3384860"/>
                    </a:xfrm>
                    <a:prstGeom prst="rect">
                      <a:avLst/>
                    </a:prstGeom>
                    <a:noFill/>
                    <a:ln>
                      <a:noFill/>
                    </a:ln>
                  </pic:spPr>
                </pic:pic>
              </a:graphicData>
            </a:graphic>
          </wp:inline>
        </w:drawing>
      </w:r>
    </w:p>
    <w:p w14:paraId="17773FAC">
      <w:pPr>
        <w:tabs>
          <w:tab w:val="center" w:pos="6979"/>
        </w:tabs>
        <w:spacing w:before="156" w:beforeLines="50" w:after="156" w:afterLines="50"/>
        <w:jc w:val="center"/>
        <w:rPr>
          <w:rFonts w:ascii="宋体" w:hAnsi="宋体" w:cs="宋体"/>
          <w:b/>
          <w:bCs/>
          <w:spacing w:val="40"/>
          <w:kern w:val="0"/>
          <w:sz w:val="32"/>
          <w:szCs w:val="32"/>
        </w:rPr>
      </w:pPr>
      <w:r>
        <w:rPr>
          <w:rFonts w:hint="eastAsia"/>
        </w:rPr>
        <w:drawing>
          <wp:inline distT="0" distB="0" distL="0" distR="0">
            <wp:extent cx="9057005" cy="365760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9057005" cy="3657600"/>
                    </a:xfrm>
                    <a:prstGeom prst="rect">
                      <a:avLst/>
                    </a:prstGeom>
                    <a:noFill/>
                    <a:ln>
                      <a:noFill/>
                    </a:ln>
                  </pic:spPr>
                </pic:pic>
              </a:graphicData>
            </a:graphic>
          </wp:inline>
        </w:drawing>
      </w:r>
    </w:p>
    <w:p w14:paraId="1BDC452B">
      <w:pPr>
        <w:tabs>
          <w:tab w:val="center" w:pos="6979"/>
        </w:tabs>
        <w:spacing w:before="156" w:beforeLines="50" w:after="156" w:afterLines="50"/>
        <w:jc w:val="center"/>
        <w:rPr>
          <w:rFonts w:ascii="宋体" w:hAnsi="宋体" w:cs="宋体"/>
          <w:b/>
          <w:bCs/>
          <w:spacing w:val="40"/>
          <w:kern w:val="0"/>
          <w:sz w:val="32"/>
          <w:szCs w:val="32"/>
        </w:rPr>
      </w:pPr>
      <w:r>
        <w:rPr>
          <w:rFonts w:hint="eastAsia"/>
        </w:rPr>
        <w:drawing>
          <wp:inline distT="0" distB="0" distL="0" distR="0">
            <wp:extent cx="9251950" cy="5076190"/>
            <wp:effectExtent l="0" t="0" r="635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9251950" cy="5076571"/>
                    </a:xfrm>
                    <a:prstGeom prst="rect">
                      <a:avLst/>
                    </a:prstGeom>
                    <a:noFill/>
                    <a:ln>
                      <a:noFill/>
                    </a:ln>
                  </pic:spPr>
                </pic:pic>
              </a:graphicData>
            </a:graphic>
          </wp:inline>
        </w:drawing>
      </w:r>
    </w:p>
    <w:p w14:paraId="0D9A12F7">
      <w:pPr>
        <w:pStyle w:val="2"/>
        <w:ind w:firstLine="420"/>
      </w:pPr>
    </w:p>
    <w:p w14:paraId="0FD6B2A2">
      <w:pPr>
        <w:tabs>
          <w:tab w:val="center" w:pos="6979"/>
        </w:tabs>
        <w:spacing w:before="156" w:beforeLines="50" w:after="156" w:afterLines="50"/>
        <w:jc w:val="center"/>
        <w:rPr>
          <w:rFonts w:ascii="宋体" w:hAnsi="宋体" w:cs="宋体"/>
          <w:b/>
          <w:bCs/>
          <w:spacing w:val="40"/>
          <w:kern w:val="0"/>
          <w:sz w:val="32"/>
          <w:szCs w:val="32"/>
        </w:rPr>
      </w:pPr>
      <w:r>
        <w:rPr>
          <w:rFonts w:hint="eastAsia"/>
        </w:rPr>
        <w:drawing>
          <wp:inline distT="0" distB="0" distL="0" distR="0">
            <wp:extent cx="9251950" cy="2865120"/>
            <wp:effectExtent l="0" t="0" r="635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9251950" cy="2865582"/>
                    </a:xfrm>
                    <a:prstGeom prst="rect">
                      <a:avLst/>
                    </a:prstGeom>
                    <a:noFill/>
                    <a:ln>
                      <a:noFill/>
                    </a:ln>
                  </pic:spPr>
                </pic:pic>
              </a:graphicData>
            </a:graphic>
          </wp:inline>
        </w:drawing>
      </w:r>
    </w:p>
    <w:p w14:paraId="5669DF14">
      <w:pPr>
        <w:tabs>
          <w:tab w:val="center" w:pos="6979"/>
        </w:tabs>
        <w:spacing w:before="156" w:beforeLines="50" w:after="156" w:afterLines="50"/>
        <w:jc w:val="center"/>
        <w:rPr>
          <w:rFonts w:ascii="宋体" w:hAnsi="宋体" w:cs="宋体"/>
          <w:b/>
          <w:bCs/>
          <w:spacing w:val="40"/>
          <w:kern w:val="0"/>
          <w:sz w:val="32"/>
          <w:szCs w:val="32"/>
        </w:rPr>
      </w:pPr>
      <w:r>
        <w:rPr>
          <w:rFonts w:hint="eastAsia"/>
        </w:rPr>
        <w:drawing>
          <wp:inline distT="0" distB="0" distL="0" distR="0">
            <wp:extent cx="8490585" cy="3762375"/>
            <wp:effectExtent l="0" t="0" r="5715" b="9525"/>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8490585" cy="3762375"/>
                    </a:xfrm>
                    <a:prstGeom prst="rect">
                      <a:avLst/>
                    </a:prstGeom>
                    <a:noFill/>
                    <a:ln>
                      <a:noFill/>
                    </a:ln>
                  </pic:spPr>
                </pic:pic>
              </a:graphicData>
            </a:graphic>
          </wp:inline>
        </w:drawing>
      </w:r>
    </w:p>
    <w:p w14:paraId="0ABEB635">
      <w:pPr>
        <w:pStyle w:val="2"/>
        <w:ind w:firstLine="420"/>
      </w:pPr>
    </w:p>
    <w:p w14:paraId="0ED9FC2F">
      <w:pPr>
        <w:tabs>
          <w:tab w:val="center" w:pos="6979"/>
        </w:tabs>
        <w:spacing w:before="156" w:beforeLines="50" w:after="156" w:afterLines="50"/>
        <w:jc w:val="center"/>
        <w:rPr>
          <w:rFonts w:ascii="宋体" w:hAnsi="宋体" w:cs="宋体"/>
          <w:b/>
          <w:bCs/>
          <w:spacing w:val="40"/>
          <w:kern w:val="0"/>
          <w:sz w:val="32"/>
          <w:szCs w:val="32"/>
        </w:rPr>
      </w:pPr>
      <w:r>
        <w:rPr>
          <w:rFonts w:hint="eastAsia"/>
        </w:rPr>
        <w:drawing>
          <wp:inline distT="0" distB="0" distL="0" distR="0">
            <wp:extent cx="9251950" cy="6299200"/>
            <wp:effectExtent l="0" t="0" r="6350" b="635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9251950" cy="6299478"/>
                    </a:xfrm>
                    <a:prstGeom prst="rect">
                      <a:avLst/>
                    </a:prstGeom>
                    <a:noFill/>
                    <a:ln>
                      <a:noFill/>
                    </a:ln>
                  </pic:spPr>
                </pic:pic>
              </a:graphicData>
            </a:graphic>
          </wp:inline>
        </w:drawing>
      </w:r>
    </w:p>
    <w:p w14:paraId="7AC71C09">
      <w:pPr>
        <w:tabs>
          <w:tab w:val="center" w:pos="6979"/>
        </w:tabs>
        <w:spacing w:before="156" w:beforeLines="50" w:after="156" w:afterLines="50"/>
        <w:jc w:val="center"/>
        <w:rPr>
          <w:rFonts w:ascii="宋体" w:hAnsi="宋体" w:cs="宋体"/>
          <w:b/>
          <w:bCs/>
          <w:spacing w:val="40"/>
          <w:kern w:val="0"/>
          <w:sz w:val="32"/>
          <w:szCs w:val="32"/>
        </w:rPr>
      </w:pPr>
      <w:r>
        <w:rPr>
          <w:rFonts w:hint="eastAsia"/>
        </w:rPr>
        <w:drawing>
          <wp:inline distT="0" distB="0" distL="0" distR="0">
            <wp:extent cx="9251950" cy="1143000"/>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9251950" cy="1143511"/>
                    </a:xfrm>
                    <a:prstGeom prst="rect">
                      <a:avLst/>
                    </a:prstGeom>
                    <a:noFill/>
                    <a:ln>
                      <a:noFill/>
                    </a:ln>
                  </pic:spPr>
                </pic:pic>
              </a:graphicData>
            </a:graphic>
          </wp:inline>
        </w:drawing>
      </w:r>
    </w:p>
    <w:p w14:paraId="08F29453">
      <w:pPr>
        <w:tabs>
          <w:tab w:val="center" w:pos="6979"/>
        </w:tabs>
        <w:spacing w:before="156" w:beforeLines="50" w:after="156" w:afterLines="50"/>
        <w:jc w:val="center"/>
        <w:rPr>
          <w:rFonts w:ascii="宋体" w:hAnsi="宋体" w:cs="宋体"/>
          <w:b/>
          <w:bCs/>
          <w:spacing w:val="40"/>
          <w:kern w:val="0"/>
          <w:sz w:val="32"/>
          <w:szCs w:val="32"/>
        </w:rPr>
      </w:pPr>
      <w:r>
        <w:rPr>
          <w:rFonts w:hint="eastAsia"/>
        </w:rPr>
        <w:drawing>
          <wp:inline distT="0" distB="0" distL="0" distR="0">
            <wp:extent cx="9251950" cy="6299200"/>
            <wp:effectExtent l="0" t="0" r="6350" b="635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a:xfrm>
                      <a:off x="0" y="0"/>
                      <a:ext cx="9251950" cy="6299478"/>
                    </a:xfrm>
                    <a:prstGeom prst="rect">
                      <a:avLst/>
                    </a:prstGeom>
                    <a:noFill/>
                    <a:ln>
                      <a:noFill/>
                    </a:ln>
                  </pic:spPr>
                </pic:pic>
              </a:graphicData>
            </a:graphic>
          </wp:inline>
        </w:drawing>
      </w:r>
    </w:p>
    <w:p w14:paraId="30241BFA">
      <w:pPr>
        <w:pStyle w:val="2"/>
        <w:ind w:firstLine="420"/>
      </w:pPr>
    </w:p>
    <w:tbl>
      <w:tblPr>
        <w:tblStyle w:val="10"/>
        <w:tblW w:w="0" w:type="auto"/>
        <w:tblInd w:w="0" w:type="dxa"/>
        <w:tblLayout w:type="fixed"/>
        <w:tblCellMar>
          <w:top w:w="0" w:type="dxa"/>
          <w:left w:w="30" w:type="dxa"/>
          <w:bottom w:w="0" w:type="dxa"/>
          <w:right w:w="30" w:type="dxa"/>
        </w:tblCellMar>
      </w:tblPr>
      <w:tblGrid>
        <w:gridCol w:w="346"/>
        <w:gridCol w:w="345"/>
        <w:gridCol w:w="346"/>
        <w:gridCol w:w="3554"/>
        <w:gridCol w:w="1695"/>
        <w:gridCol w:w="1694"/>
        <w:gridCol w:w="1694"/>
      </w:tblGrid>
      <w:tr w14:paraId="456BB17D">
        <w:tblPrEx>
          <w:tblCellMar>
            <w:top w:w="0" w:type="dxa"/>
            <w:left w:w="30" w:type="dxa"/>
            <w:bottom w:w="0" w:type="dxa"/>
            <w:right w:w="30" w:type="dxa"/>
          </w:tblCellMar>
        </w:tblPrEx>
        <w:trPr>
          <w:trHeight w:val="499" w:hRule="atLeast"/>
        </w:trPr>
        <w:tc>
          <w:tcPr>
            <w:tcW w:w="9674" w:type="dxa"/>
            <w:gridSpan w:val="7"/>
            <w:tcBorders>
              <w:top w:val="nil"/>
              <w:left w:val="nil"/>
              <w:bottom w:val="nil"/>
              <w:right w:val="nil"/>
            </w:tcBorders>
          </w:tcPr>
          <w:p w14:paraId="479ACA7D">
            <w:pPr>
              <w:autoSpaceDE w:val="0"/>
              <w:autoSpaceDN w:val="0"/>
              <w:adjustRightInd w:val="0"/>
              <w:jc w:val="center"/>
              <w:rPr>
                <w:rFonts w:ascii="宋体" w:cs="宋体"/>
                <w:color w:val="000000"/>
                <w:kern w:val="0"/>
                <w:sz w:val="22"/>
                <w:szCs w:val="22"/>
              </w:rPr>
            </w:pPr>
            <w:r>
              <w:rPr>
                <w:rFonts w:hint="eastAsia" w:ascii="宋体" w:cs="宋体"/>
                <w:b/>
                <w:bCs/>
                <w:color w:val="000000"/>
                <w:kern w:val="0"/>
                <w:sz w:val="28"/>
                <w:szCs w:val="28"/>
              </w:rPr>
              <w:t>国有资本经营预算财政拨款支出决算表</w:t>
            </w:r>
          </w:p>
        </w:tc>
      </w:tr>
      <w:tr w14:paraId="63412473">
        <w:tblPrEx>
          <w:tblCellMar>
            <w:top w:w="0" w:type="dxa"/>
            <w:left w:w="30" w:type="dxa"/>
            <w:bottom w:w="0" w:type="dxa"/>
            <w:right w:w="30" w:type="dxa"/>
          </w:tblCellMar>
        </w:tblPrEx>
        <w:trPr>
          <w:trHeight w:val="276" w:hRule="atLeast"/>
        </w:trPr>
        <w:tc>
          <w:tcPr>
            <w:tcW w:w="346" w:type="dxa"/>
            <w:tcBorders>
              <w:top w:val="nil"/>
              <w:left w:val="nil"/>
              <w:bottom w:val="nil"/>
              <w:right w:val="nil"/>
            </w:tcBorders>
          </w:tcPr>
          <w:p w14:paraId="28B94462">
            <w:pPr>
              <w:autoSpaceDE w:val="0"/>
              <w:autoSpaceDN w:val="0"/>
              <w:adjustRightInd w:val="0"/>
              <w:jc w:val="right"/>
              <w:rPr>
                <w:rFonts w:ascii="宋体" w:cs="宋体"/>
                <w:color w:val="000000"/>
                <w:kern w:val="0"/>
                <w:sz w:val="22"/>
                <w:szCs w:val="22"/>
              </w:rPr>
            </w:pPr>
          </w:p>
        </w:tc>
        <w:tc>
          <w:tcPr>
            <w:tcW w:w="345" w:type="dxa"/>
            <w:tcBorders>
              <w:top w:val="nil"/>
              <w:left w:val="nil"/>
              <w:bottom w:val="nil"/>
              <w:right w:val="nil"/>
            </w:tcBorders>
          </w:tcPr>
          <w:p w14:paraId="59DAB375">
            <w:pPr>
              <w:autoSpaceDE w:val="0"/>
              <w:autoSpaceDN w:val="0"/>
              <w:adjustRightInd w:val="0"/>
              <w:jc w:val="right"/>
              <w:rPr>
                <w:rFonts w:ascii="宋体" w:cs="宋体"/>
                <w:color w:val="000000"/>
                <w:kern w:val="0"/>
                <w:sz w:val="22"/>
                <w:szCs w:val="22"/>
              </w:rPr>
            </w:pPr>
          </w:p>
        </w:tc>
        <w:tc>
          <w:tcPr>
            <w:tcW w:w="346" w:type="dxa"/>
            <w:tcBorders>
              <w:top w:val="nil"/>
              <w:left w:val="nil"/>
              <w:bottom w:val="nil"/>
              <w:right w:val="nil"/>
            </w:tcBorders>
          </w:tcPr>
          <w:p w14:paraId="001EA29B">
            <w:pPr>
              <w:autoSpaceDE w:val="0"/>
              <w:autoSpaceDN w:val="0"/>
              <w:adjustRightInd w:val="0"/>
              <w:jc w:val="right"/>
              <w:rPr>
                <w:rFonts w:ascii="宋体" w:cs="宋体"/>
                <w:color w:val="000000"/>
                <w:kern w:val="0"/>
                <w:sz w:val="22"/>
                <w:szCs w:val="22"/>
              </w:rPr>
            </w:pPr>
          </w:p>
        </w:tc>
        <w:tc>
          <w:tcPr>
            <w:tcW w:w="3554" w:type="dxa"/>
            <w:tcBorders>
              <w:top w:val="nil"/>
              <w:left w:val="nil"/>
              <w:bottom w:val="nil"/>
              <w:right w:val="nil"/>
            </w:tcBorders>
          </w:tcPr>
          <w:p w14:paraId="27C36FC0">
            <w:pPr>
              <w:autoSpaceDE w:val="0"/>
              <w:autoSpaceDN w:val="0"/>
              <w:adjustRightInd w:val="0"/>
              <w:jc w:val="right"/>
              <w:rPr>
                <w:rFonts w:ascii="宋体" w:cs="宋体"/>
                <w:color w:val="000000"/>
                <w:kern w:val="0"/>
                <w:sz w:val="22"/>
                <w:szCs w:val="22"/>
              </w:rPr>
            </w:pPr>
          </w:p>
        </w:tc>
        <w:tc>
          <w:tcPr>
            <w:tcW w:w="1695" w:type="dxa"/>
            <w:tcBorders>
              <w:top w:val="nil"/>
              <w:left w:val="nil"/>
              <w:bottom w:val="nil"/>
              <w:right w:val="nil"/>
            </w:tcBorders>
          </w:tcPr>
          <w:p w14:paraId="6495792C">
            <w:pPr>
              <w:autoSpaceDE w:val="0"/>
              <w:autoSpaceDN w:val="0"/>
              <w:adjustRightInd w:val="0"/>
              <w:jc w:val="right"/>
              <w:rPr>
                <w:rFonts w:ascii="宋体" w:cs="宋体"/>
                <w:color w:val="000000"/>
                <w:kern w:val="0"/>
                <w:sz w:val="22"/>
                <w:szCs w:val="22"/>
              </w:rPr>
            </w:pPr>
          </w:p>
        </w:tc>
        <w:tc>
          <w:tcPr>
            <w:tcW w:w="1694" w:type="dxa"/>
            <w:tcBorders>
              <w:top w:val="nil"/>
              <w:left w:val="nil"/>
              <w:bottom w:val="nil"/>
              <w:right w:val="nil"/>
            </w:tcBorders>
          </w:tcPr>
          <w:p w14:paraId="6E644CF7">
            <w:pPr>
              <w:autoSpaceDE w:val="0"/>
              <w:autoSpaceDN w:val="0"/>
              <w:adjustRightInd w:val="0"/>
              <w:jc w:val="right"/>
              <w:rPr>
                <w:rFonts w:ascii="宋体" w:cs="宋体"/>
                <w:color w:val="000000"/>
                <w:kern w:val="0"/>
                <w:sz w:val="22"/>
                <w:szCs w:val="22"/>
              </w:rPr>
            </w:pPr>
          </w:p>
        </w:tc>
        <w:tc>
          <w:tcPr>
            <w:tcW w:w="1694" w:type="dxa"/>
            <w:tcBorders>
              <w:top w:val="nil"/>
              <w:left w:val="nil"/>
              <w:bottom w:val="nil"/>
              <w:right w:val="nil"/>
            </w:tcBorders>
          </w:tcPr>
          <w:p w14:paraId="0DF07F36">
            <w:pPr>
              <w:autoSpaceDE w:val="0"/>
              <w:autoSpaceDN w:val="0"/>
              <w:adjustRightInd w:val="0"/>
              <w:jc w:val="center"/>
              <w:rPr>
                <w:rFonts w:ascii="宋体" w:cs="宋体"/>
                <w:b/>
                <w:bCs/>
                <w:color w:val="000000"/>
                <w:kern w:val="0"/>
                <w:sz w:val="20"/>
                <w:szCs w:val="20"/>
              </w:rPr>
            </w:pPr>
          </w:p>
        </w:tc>
      </w:tr>
      <w:tr w14:paraId="0EA18CEF">
        <w:tblPrEx>
          <w:tblCellMar>
            <w:top w:w="0" w:type="dxa"/>
            <w:left w:w="30" w:type="dxa"/>
            <w:bottom w:w="0" w:type="dxa"/>
            <w:right w:w="30" w:type="dxa"/>
          </w:tblCellMar>
        </w:tblPrEx>
        <w:trPr>
          <w:trHeight w:val="276" w:hRule="atLeast"/>
        </w:trPr>
        <w:tc>
          <w:tcPr>
            <w:tcW w:w="4591" w:type="dxa"/>
            <w:gridSpan w:val="4"/>
            <w:tcBorders>
              <w:top w:val="nil"/>
              <w:left w:val="nil"/>
              <w:bottom w:val="nil"/>
              <w:right w:val="nil"/>
            </w:tcBorders>
          </w:tcPr>
          <w:p w14:paraId="525DD14E">
            <w:pPr>
              <w:autoSpaceDE w:val="0"/>
              <w:autoSpaceDN w:val="0"/>
              <w:adjustRightInd w:val="0"/>
              <w:jc w:val="left"/>
              <w:rPr>
                <w:rFonts w:ascii="宋体" w:cs="宋体"/>
                <w:b/>
                <w:bCs/>
                <w:color w:val="000000"/>
                <w:kern w:val="0"/>
                <w:sz w:val="20"/>
                <w:szCs w:val="20"/>
              </w:rPr>
            </w:pPr>
            <w:r>
              <w:rPr>
                <w:rFonts w:hint="eastAsia" w:ascii="宋体" w:cs="宋体"/>
                <w:b/>
                <w:bCs/>
                <w:color w:val="000000"/>
                <w:kern w:val="0"/>
                <w:sz w:val="20"/>
                <w:szCs w:val="20"/>
              </w:rPr>
              <w:t>单位名称：北京市密云区水务局河南寨水务站</w:t>
            </w:r>
          </w:p>
        </w:tc>
        <w:tc>
          <w:tcPr>
            <w:tcW w:w="1695" w:type="dxa"/>
            <w:tcBorders>
              <w:top w:val="nil"/>
              <w:left w:val="nil"/>
              <w:bottom w:val="nil"/>
              <w:right w:val="nil"/>
            </w:tcBorders>
          </w:tcPr>
          <w:p w14:paraId="6CE658AE">
            <w:pPr>
              <w:autoSpaceDE w:val="0"/>
              <w:autoSpaceDN w:val="0"/>
              <w:adjustRightInd w:val="0"/>
              <w:jc w:val="right"/>
              <w:rPr>
                <w:rFonts w:ascii="宋体" w:cs="宋体"/>
                <w:color w:val="000000"/>
                <w:kern w:val="0"/>
                <w:sz w:val="22"/>
                <w:szCs w:val="22"/>
              </w:rPr>
            </w:pPr>
          </w:p>
        </w:tc>
        <w:tc>
          <w:tcPr>
            <w:tcW w:w="1694" w:type="dxa"/>
            <w:tcBorders>
              <w:top w:val="nil"/>
              <w:left w:val="nil"/>
              <w:bottom w:val="nil"/>
              <w:right w:val="nil"/>
            </w:tcBorders>
          </w:tcPr>
          <w:p w14:paraId="4850D81E">
            <w:pPr>
              <w:autoSpaceDE w:val="0"/>
              <w:autoSpaceDN w:val="0"/>
              <w:adjustRightInd w:val="0"/>
              <w:jc w:val="right"/>
              <w:rPr>
                <w:rFonts w:ascii="宋体" w:cs="宋体"/>
                <w:color w:val="000000"/>
                <w:kern w:val="0"/>
                <w:sz w:val="22"/>
                <w:szCs w:val="22"/>
              </w:rPr>
            </w:pPr>
          </w:p>
        </w:tc>
        <w:tc>
          <w:tcPr>
            <w:tcW w:w="1694" w:type="dxa"/>
            <w:tcBorders>
              <w:top w:val="nil"/>
              <w:left w:val="nil"/>
              <w:bottom w:val="nil"/>
              <w:right w:val="nil"/>
            </w:tcBorders>
          </w:tcPr>
          <w:p w14:paraId="7F9A3AE1">
            <w:pPr>
              <w:autoSpaceDE w:val="0"/>
              <w:autoSpaceDN w:val="0"/>
              <w:adjustRightInd w:val="0"/>
              <w:jc w:val="center"/>
              <w:rPr>
                <w:rFonts w:ascii="宋体" w:cs="宋体"/>
                <w:b/>
                <w:bCs/>
                <w:color w:val="000000"/>
                <w:kern w:val="0"/>
                <w:sz w:val="20"/>
                <w:szCs w:val="20"/>
              </w:rPr>
            </w:pPr>
            <w:r>
              <w:rPr>
                <w:rFonts w:hint="eastAsia" w:ascii="宋体" w:cs="宋体"/>
                <w:b/>
                <w:bCs/>
                <w:color w:val="000000"/>
                <w:kern w:val="0"/>
                <w:sz w:val="20"/>
                <w:szCs w:val="20"/>
              </w:rPr>
              <w:t>单位</w:t>
            </w:r>
            <w:r>
              <w:rPr>
                <w:rFonts w:ascii="宋体" w:cs="宋体"/>
                <w:b/>
                <w:bCs/>
                <w:color w:val="000000"/>
                <w:kern w:val="0"/>
                <w:sz w:val="20"/>
                <w:szCs w:val="20"/>
              </w:rPr>
              <w:t>:</w:t>
            </w:r>
            <w:r>
              <w:rPr>
                <w:rFonts w:hint="eastAsia" w:ascii="宋体" w:cs="宋体"/>
                <w:b/>
                <w:bCs/>
                <w:color w:val="000000"/>
                <w:kern w:val="0"/>
                <w:sz w:val="20"/>
                <w:szCs w:val="20"/>
              </w:rPr>
              <w:t>万元</w:t>
            </w:r>
          </w:p>
        </w:tc>
      </w:tr>
      <w:tr w14:paraId="6C221849">
        <w:tblPrEx>
          <w:tblCellMar>
            <w:top w:w="0" w:type="dxa"/>
            <w:left w:w="30" w:type="dxa"/>
            <w:bottom w:w="0" w:type="dxa"/>
            <w:right w:w="30" w:type="dxa"/>
          </w:tblCellMar>
        </w:tblPrEx>
        <w:trPr>
          <w:trHeight w:val="331" w:hRule="atLeast"/>
        </w:trPr>
        <w:tc>
          <w:tcPr>
            <w:tcW w:w="691" w:type="dxa"/>
            <w:gridSpan w:val="2"/>
            <w:tcBorders>
              <w:top w:val="single" w:color="auto" w:sz="6" w:space="0"/>
              <w:left w:val="single" w:color="auto" w:sz="6" w:space="0"/>
              <w:bottom w:val="single" w:color="auto" w:sz="6" w:space="0"/>
              <w:right w:val="single" w:color="auto" w:sz="6" w:space="0"/>
            </w:tcBorders>
            <w:shd w:val="solid" w:color="C0C0C0" w:fill="auto"/>
          </w:tcPr>
          <w:p w14:paraId="0A821BD3">
            <w:pPr>
              <w:autoSpaceDE w:val="0"/>
              <w:autoSpaceDN w:val="0"/>
              <w:adjustRightInd w:val="0"/>
              <w:jc w:val="center"/>
              <w:rPr>
                <w:rFonts w:ascii="宋体" w:cs="宋体"/>
                <w:b/>
                <w:bCs/>
                <w:color w:val="000000"/>
                <w:kern w:val="0"/>
                <w:sz w:val="18"/>
                <w:szCs w:val="18"/>
              </w:rPr>
            </w:pPr>
            <w:r>
              <w:rPr>
                <w:rFonts w:hint="eastAsia" w:ascii="宋体" w:cs="宋体"/>
                <w:b/>
                <w:bCs/>
                <w:color w:val="000000"/>
                <w:kern w:val="0"/>
                <w:sz w:val="18"/>
                <w:szCs w:val="18"/>
              </w:rPr>
              <w:t>项目</w:t>
            </w:r>
          </w:p>
        </w:tc>
        <w:tc>
          <w:tcPr>
            <w:tcW w:w="346" w:type="dxa"/>
            <w:tcBorders>
              <w:top w:val="single" w:color="auto" w:sz="6" w:space="0"/>
              <w:left w:val="single" w:color="auto" w:sz="6" w:space="0"/>
              <w:bottom w:val="single" w:color="auto" w:sz="6" w:space="0"/>
              <w:right w:val="single" w:color="auto" w:sz="6" w:space="0"/>
            </w:tcBorders>
            <w:shd w:val="solid" w:color="C0C0C0" w:fill="auto"/>
          </w:tcPr>
          <w:p w14:paraId="7826E247">
            <w:pPr>
              <w:autoSpaceDE w:val="0"/>
              <w:autoSpaceDN w:val="0"/>
              <w:adjustRightInd w:val="0"/>
              <w:jc w:val="center"/>
              <w:rPr>
                <w:rFonts w:ascii="宋体" w:cs="宋体"/>
                <w:b/>
                <w:bCs/>
                <w:color w:val="000000"/>
                <w:kern w:val="0"/>
                <w:sz w:val="18"/>
                <w:szCs w:val="18"/>
              </w:rPr>
            </w:pPr>
          </w:p>
        </w:tc>
        <w:tc>
          <w:tcPr>
            <w:tcW w:w="3554" w:type="dxa"/>
            <w:tcBorders>
              <w:top w:val="single" w:color="auto" w:sz="6" w:space="0"/>
              <w:left w:val="single" w:color="auto" w:sz="6" w:space="0"/>
              <w:bottom w:val="single" w:color="auto" w:sz="6" w:space="0"/>
              <w:right w:val="single" w:color="auto" w:sz="6" w:space="0"/>
            </w:tcBorders>
            <w:shd w:val="solid" w:color="C0C0C0" w:fill="auto"/>
          </w:tcPr>
          <w:p w14:paraId="0E210613">
            <w:pPr>
              <w:autoSpaceDE w:val="0"/>
              <w:autoSpaceDN w:val="0"/>
              <w:adjustRightInd w:val="0"/>
              <w:jc w:val="center"/>
              <w:rPr>
                <w:rFonts w:ascii="宋体" w:cs="宋体"/>
                <w:b/>
                <w:bCs/>
                <w:color w:val="000000"/>
                <w:kern w:val="0"/>
                <w:sz w:val="18"/>
                <w:szCs w:val="18"/>
              </w:rPr>
            </w:pPr>
          </w:p>
        </w:tc>
        <w:tc>
          <w:tcPr>
            <w:tcW w:w="5083" w:type="dxa"/>
            <w:gridSpan w:val="3"/>
            <w:tcBorders>
              <w:top w:val="single" w:color="auto" w:sz="6" w:space="0"/>
              <w:left w:val="single" w:color="auto" w:sz="6" w:space="0"/>
              <w:bottom w:val="single" w:color="auto" w:sz="6" w:space="0"/>
              <w:right w:val="single" w:color="auto" w:sz="6" w:space="0"/>
            </w:tcBorders>
            <w:shd w:val="solid" w:color="C0C0C0" w:fill="auto"/>
          </w:tcPr>
          <w:p w14:paraId="173CD4D2">
            <w:pPr>
              <w:autoSpaceDE w:val="0"/>
              <w:autoSpaceDN w:val="0"/>
              <w:adjustRightInd w:val="0"/>
              <w:jc w:val="center"/>
              <w:rPr>
                <w:rFonts w:ascii="宋体" w:cs="宋体"/>
                <w:b/>
                <w:bCs/>
                <w:color w:val="000000"/>
                <w:kern w:val="0"/>
                <w:sz w:val="18"/>
                <w:szCs w:val="18"/>
              </w:rPr>
            </w:pPr>
            <w:r>
              <w:rPr>
                <w:rFonts w:ascii="宋体" w:cs="宋体"/>
                <w:b/>
                <w:bCs/>
                <w:color w:val="000000"/>
                <w:kern w:val="0"/>
                <w:sz w:val="18"/>
                <w:szCs w:val="18"/>
              </w:rPr>
              <w:t>2023</w:t>
            </w:r>
            <w:r>
              <w:rPr>
                <w:rFonts w:hint="eastAsia" w:ascii="宋体" w:cs="宋体"/>
                <w:b/>
                <w:bCs/>
                <w:color w:val="000000"/>
                <w:kern w:val="0"/>
                <w:sz w:val="18"/>
                <w:szCs w:val="18"/>
              </w:rPr>
              <w:t>年度决算数</w:t>
            </w:r>
          </w:p>
        </w:tc>
      </w:tr>
      <w:tr w14:paraId="528FB2FD">
        <w:tblPrEx>
          <w:tblCellMar>
            <w:top w:w="0" w:type="dxa"/>
            <w:left w:w="30" w:type="dxa"/>
            <w:bottom w:w="0" w:type="dxa"/>
            <w:right w:w="30" w:type="dxa"/>
          </w:tblCellMar>
        </w:tblPrEx>
        <w:trPr>
          <w:trHeight w:val="331" w:hRule="atLeast"/>
        </w:trPr>
        <w:tc>
          <w:tcPr>
            <w:tcW w:w="1037" w:type="dxa"/>
            <w:gridSpan w:val="3"/>
            <w:tcBorders>
              <w:top w:val="single" w:color="auto" w:sz="6" w:space="0"/>
              <w:left w:val="single" w:color="auto" w:sz="6" w:space="0"/>
              <w:bottom w:val="single" w:color="auto" w:sz="6" w:space="0"/>
              <w:right w:val="single" w:color="auto" w:sz="6" w:space="0"/>
            </w:tcBorders>
            <w:shd w:val="solid" w:color="C0C0C0" w:fill="auto"/>
          </w:tcPr>
          <w:p w14:paraId="56441593">
            <w:pPr>
              <w:autoSpaceDE w:val="0"/>
              <w:autoSpaceDN w:val="0"/>
              <w:adjustRightInd w:val="0"/>
              <w:jc w:val="center"/>
              <w:rPr>
                <w:rFonts w:ascii="宋体" w:cs="宋体"/>
                <w:b/>
                <w:bCs/>
                <w:color w:val="000000"/>
                <w:kern w:val="0"/>
                <w:sz w:val="18"/>
                <w:szCs w:val="18"/>
              </w:rPr>
            </w:pPr>
            <w:r>
              <w:rPr>
                <w:rFonts w:hint="eastAsia" w:ascii="宋体" w:cs="宋体"/>
                <w:b/>
                <w:bCs/>
                <w:color w:val="000000"/>
                <w:kern w:val="0"/>
                <w:sz w:val="18"/>
                <w:szCs w:val="18"/>
              </w:rPr>
              <w:t>支出功能分类科目编码</w:t>
            </w:r>
          </w:p>
        </w:tc>
        <w:tc>
          <w:tcPr>
            <w:tcW w:w="3554" w:type="dxa"/>
            <w:tcBorders>
              <w:top w:val="single" w:color="auto" w:sz="6" w:space="0"/>
              <w:left w:val="single" w:color="auto" w:sz="6" w:space="0"/>
              <w:bottom w:val="single" w:color="auto" w:sz="6" w:space="0"/>
              <w:right w:val="single" w:color="auto" w:sz="6" w:space="0"/>
            </w:tcBorders>
            <w:shd w:val="solid" w:color="C0C0C0" w:fill="auto"/>
          </w:tcPr>
          <w:p w14:paraId="67910582">
            <w:pPr>
              <w:autoSpaceDE w:val="0"/>
              <w:autoSpaceDN w:val="0"/>
              <w:adjustRightInd w:val="0"/>
              <w:jc w:val="center"/>
              <w:rPr>
                <w:rFonts w:ascii="宋体" w:cs="宋体"/>
                <w:b/>
                <w:bCs/>
                <w:color w:val="000000"/>
                <w:kern w:val="0"/>
                <w:sz w:val="18"/>
                <w:szCs w:val="18"/>
              </w:rPr>
            </w:pPr>
            <w:r>
              <w:rPr>
                <w:rFonts w:hint="eastAsia" w:ascii="宋体" w:cs="宋体"/>
                <w:b/>
                <w:bCs/>
                <w:color w:val="000000"/>
                <w:kern w:val="0"/>
                <w:sz w:val="18"/>
                <w:szCs w:val="18"/>
              </w:rPr>
              <w:t>科目名称</w:t>
            </w:r>
          </w:p>
        </w:tc>
        <w:tc>
          <w:tcPr>
            <w:tcW w:w="1695" w:type="dxa"/>
            <w:tcBorders>
              <w:top w:val="single" w:color="auto" w:sz="6" w:space="0"/>
              <w:left w:val="single" w:color="auto" w:sz="6" w:space="0"/>
              <w:bottom w:val="single" w:color="auto" w:sz="6" w:space="0"/>
              <w:right w:val="single" w:color="auto" w:sz="6" w:space="0"/>
            </w:tcBorders>
            <w:shd w:val="solid" w:color="C0C0C0" w:fill="auto"/>
          </w:tcPr>
          <w:p w14:paraId="66C44957">
            <w:pPr>
              <w:autoSpaceDE w:val="0"/>
              <w:autoSpaceDN w:val="0"/>
              <w:adjustRightInd w:val="0"/>
              <w:jc w:val="center"/>
              <w:rPr>
                <w:rFonts w:ascii="宋体" w:cs="宋体"/>
                <w:b/>
                <w:bCs/>
                <w:color w:val="000000"/>
                <w:kern w:val="0"/>
                <w:sz w:val="18"/>
                <w:szCs w:val="18"/>
              </w:rPr>
            </w:pPr>
            <w:r>
              <w:rPr>
                <w:rFonts w:hint="eastAsia" w:ascii="宋体" w:cs="宋体"/>
                <w:b/>
                <w:bCs/>
                <w:color w:val="000000"/>
                <w:kern w:val="0"/>
                <w:sz w:val="18"/>
                <w:szCs w:val="18"/>
              </w:rPr>
              <w:t>合计</w:t>
            </w:r>
          </w:p>
        </w:tc>
        <w:tc>
          <w:tcPr>
            <w:tcW w:w="1694" w:type="dxa"/>
            <w:tcBorders>
              <w:top w:val="single" w:color="auto" w:sz="6" w:space="0"/>
              <w:left w:val="single" w:color="auto" w:sz="6" w:space="0"/>
              <w:bottom w:val="single" w:color="auto" w:sz="6" w:space="0"/>
              <w:right w:val="single" w:color="auto" w:sz="6" w:space="0"/>
            </w:tcBorders>
            <w:shd w:val="solid" w:color="C0C0C0" w:fill="auto"/>
          </w:tcPr>
          <w:p w14:paraId="332E97F1">
            <w:pPr>
              <w:autoSpaceDE w:val="0"/>
              <w:autoSpaceDN w:val="0"/>
              <w:adjustRightInd w:val="0"/>
              <w:jc w:val="center"/>
              <w:rPr>
                <w:rFonts w:ascii="宋体" w:cs="宋体"/>
                <w:b/>
                <w:bCs/>
                <w:color w:val="000000"/>
                <w:kern w:val="0"/>
                <w:sz w:val="18"/>
                <w:szCs w:val="18"/>
              </w:rPr>
            </w:pPr>
            <w:r>
              <w:rPr>
                <w:rFonts w:hint="eastAsia" w:ascii="宋体" w:cs="宋体"/>
                <w:b/>
                <w:bCs/>
                <w:color w:val="000000"/>
                <w:kern w:val="0"/>
                <w:sz w:val="18"/>
                <w:szCs w:val="18"/>
              </w:rPr>
              <w:t>基本支出</w:t>
            </w:r>
          </w:p>
        </w:tc>
        <w:tc>
          <w:tcPr>
            <w:tcW w:w="1694" w:type="dxa"/>
            <w:tcBorders>
              <w:top w:val="single" w:color="auto" w:sz="6" w:space="0"/>
              <w:left w:val="single" w:color="auto" w:sz="6" w:space="0"/>
              <w:bottom w:val="single" w:color="auto" w:sz="6" w:space="0"/>
              <w:right w:val="single" w:color="auto" w:sz="6" w:space="0"/>
            </w:tcBorders>
            <w:shd w:val="solid" w:color="C0C0C0" w:fill="auto"/>
          </w:tcPr>
          <w:p w14:paraId="392E3CCA">
            <w:pPr>
              <w:autoSpaceDE w:val="0"/>
              <w:autoSpaceDN w:val="0"/>
              <w:adjustRightInd w:val="0"/>
              <w:jc w:val="center"/>
              <w:rPr>
                <w:rFonts w:ascii="宋体" w:cs="宋体"/>
                <w:b/>
                <w:bCs/>
                <w:color w:val="000000"/>
                <w:kern w:val="0"/>
                <w:sz w:val="18"/>
                <w:szCs w:val="18"/>
              </w:rPr>
            </w:pPr>
            <w:r>
              <w:rPr>
                <w:rFonts w:hint="eastAsia" w:ascii="宋体" w:cs="宋体"/>
                <w:b/>
                <w:bCs/>
                <w:color w:val="000000"/>
                <w:kern w:val="0"/>
                <w:sz w:val="18"/>
                <w:szCs w:val="18"/>
              </w:rPr>
              <w:t>项目支出</w:t>
            </w:r>
          </w:p>
        </w:tc>
      </w:tr>
      <w:tr w14:paraId="3E6B3ED0">
        <w:tblPrEx>
          <w:tblCellMar>
            <w:top w:w="0" w:type="dxa"/>
            <w:left w:w="30" w:type="dxa"/>
            <w:bottom w:w="0" w:type="dxa"/>
            <w:right w:w="30" w:type="dxa"/>
          </w:tblCellMar>
        </w:tblPrEx>
        <w:trPr>
          <w:trHeight w:val="331" w:hRule="atLeast"/>
        </w:trPr>
        <w:tc>
          <w:tcPr>
            <w:tcW w:w="346" w:type="dxa"/>
            <w:tcBorders>
              <w:top w:val="single" w:color="auto" w:sz="6" w:space="0"/>
              <w:left w:val="single" w:color="auto" w:sz="6" w:space="0"/>
              <w:bottom w:val="single" w:color="auto" w:sz="6" w:space="0"/>
              <w:right w:val="single" w:color="auto" w:sz="6" w:space="0"/>
            </w:tcBorders>
            <w:shd w:val="solid" w:color="C0C0C0" w:fill="auto"/>
          </w:tcPr>
          <w:p w14:paraId="584CC57E">
            <w:pPr>
              <w:autoSpaceDE w:val="0"/>
              <w:autoSpaceDN w:val="0"/>
              <w:adjustRightInd w:val="0"/>
              <w:jc w:val="center"/>
              <w:rPr>
                <w:rFonts w:ascii="宋体" w:cs="宋体"/>
                <w:b/>
                <w:bCs/>
                <w:color w:val="000000"/>
                <w:kern w:val="0"/>
                <w:sz w:val="18"/>
                <w:szCs w:val="18"/>
              </w:rPr>
            </w:pPr>
          </w:p>
        </w:tc>
        <w:tc>
          <w:tcPr>
            <w:tcW w:w="345" w:type="dxa"/>
            <w:tcBorders>
              <w:top w:val="single" w:color="auto" w:sz="6" w:space="0"/>
              <w:left w:val="single" w:color="auto" w:sz="6" w:space="0"/>
              <w:bottom w:val="single" w:color="auto" w:sz="6" w:space="0"/>
              <w:right w:val="single" w:color="auto" w:sz="6" w:space="0"/>
            </w:tcBorders>
            <w:shd w:val="solid" w:color="C0C0C0" w:fill="auto"/>
          </w:tcPr>
          <w:p w14:paraId="73667A66">
            <w:pPr>
              <w:autoSpaceDE w:val="0"/>
              <w:autoSpaceDN w:val="0"/>
              <w:adjustRightInd w:val="0"/>
              <w:jc w:val="center"/>
              <w:rPr>
                <w:rFonts w:ascii="宋体" w:cs="宋体"/>
                <w:b/>
                <w:bCs/>
                <w:color w:val="000000"/>
                <w:kern w:val="0"/>
                <w:sz w:val="18"/>
                <w:szCs w:val="18"/>
              </w:rPr>
            </w:pPr>
          </w:p>
        </w:tc>
        <w:tc>
          <w:tcPr>
            <w:tcW w:w="346" w:type="dxa"/>
            <w:tcBorders>
              <w:top w:val="single" w:color="auto" w:sz="6" w:space="0"/>
              <w:left w:val="single" w:color="auto" w:sz="6" w:space="0"/>
              <w:bottom w:val="single" w:color="auto" w:sz="6" w:space="0"/>
              <w:right w:val="single" w:color="auto" w:sz="6" w:space="0"/>
            </w:tcBorders>
            <w:shd w:val="solid" w:color="C0C0C0" w:fill="auto"/>
          </w:tcPr>
          <w:p w14:paraId="5EB30824">
            <w:pPr>
              <w:autoSpaceDE w:val="0"/>
              <w:autoSpaceDN w:val="0"/>
              <w:adjustRightInd w:val="0"/>
              <w:jc w:val="center"/>
              <w:rPr>
                <w:rFonts w:ascii="宋体" w:cs="宋体"/>
                <w:b/>
                <w:bCs/>
                <w:color w:val="000000"/>
                <w:kern w:val="0"/>
                <w:sz w:val="18"/>
                <w:szCs w:val="18"/>
              </w:rPr>
            </w:pPr>
          </w:p>
        </w:tc>
        <w:tc>
          <w:tcPr>
            <w:tcW w:w="3554" w:type="dxa"/>
            <w:tcBorders>
              <w:top w:val="single" w:color="auto" w:sz="6" w:space="0"/>
              <w:left w:val="single" w:color="auto" w:sz="6" w:space="0"/>
              <w:bottom w:val="single" w:color="auto" w:sz="6" w:space="0"/>
              <w:right w:val="single" w:color="auto" w:sz="6" w:space="0"/>
            </w:tcBorders>
            <w:shd w:val="solid" w:color="C0C0C0" w:fill="auto"/>
          </w:tcPr>
          <w:p w14:paraId="7B2446F0">
            <w:pPr>
              <w:autoSpaceDE w:val="0"/>
              <w:autoSpaceDN w:val="0"/>
              <w:adjustRightInd w:val="0"/>
              <w:jc w:val="center"/>
              <w:rPr>
                <w:rFonts w:ascii="宋体" w:cs="宋体"/>
                <w:b/>
                <w:bCs/>
                <w:color w:val="000000"/>
                <w:kern w:val="0"/>
                <w:sz w:val="18"/>
                <w:szCs w:val="18"/>
              </w:rPr>
            </w:pPr>
            <w:r>
              <w:rPr>
                <w:rFonts w:hint="eastAsia" w:ascii="宋体" w:cs="宋体"/>
                <w:b/>
                <w:bCs/>
                <w:color w:val="000000"/>
                <w:kern w:val="0"/>
                <w:sz w:val="18"/>
                <w:szCs w:val="18"/>
              </w:rPr>
              <w:t>栏次</w:t>
            </w:r>
          </w:p>
        </w:tc>
        <w:tc>
          <w:tcPr>
            <w:tcW w:w="1695" w:type="dxa"/>
            <w:tcBorders>
              <w:top w:val="single" w:color="auto" w:sz="6" w:space="0"/>
              <w:left w:val="single" w:color="auto" w:sz="6" w:space="0"/>
              <w:bottom w:val="single" w:color="auto" w:sz="6" w:space="0"/>
              <w:right w:val="single" w:color="auto" w:sz="6" w:space="0"/>
            </w:tcBorders>
            <w:shd w:val="solid" w:color="C0C0C0" w:fill="auto"/>
          </w:tcPr>
          <w:p w14:paraId="02A78D1B">
            <w:pPr>
              <w:autoSpaceDE w:val="0"/>
              <w:autoSpaceDN w:val="0"/>
              <w:adjustRightInd w:val="0"/>
              <w:jc w:val="center"/>
              <w:rPr>
                <w:rFonts w:ascii="宋体" w:cs="宋体"/>
                <w:b/>
                <w:bCs/>
                <w:color w:val="000000"/>
                <w:kern w:val="0"/>
                <w:sz w:val="18"/>
                <w:szCs w:val="18"/>
              </w:rPr>
            </w:pPr>
            <w:r>
              <w:rPr>
                <w:rFonts w:ascii="宋体" w:cs="宋体"/>
                <w:b/>
                <w:bCs/>
                <w:color w:val="000000"/>
                <w:kern w:val="0"/>
                <w:sz w:val="18"/>
                <w:szCs w:val="18"/>
              </w:rPr>
              <w:t>1</w:t>
            </w:r>
          </w:p>
        </w:tc>
        <w:tc>
          <w:tcPr>
            <w:tcW w:w="1694" w:type="dxa"/>
            <w:tcBorders>
              <w:top w:val="single" w:color="auto" w:sz="6" w:space="0"/>
              <w:left w:val="single" w:color="auto" w:sz="6" w:space="0"/>
              <w:bottom w:val="single" w:color="auto" w:sz="6" w:space="0"/>
              <w:right w:val="single" w:color="auto" w:sz="6" w:space="0"/>
            </w:tcBorders>
            <w:shd w:val="solid" w:color="C0C0C0" w:fill="auto"/>
          </w:tcPr>
          <w:p w14:paraId="00771800">
            <w:pPr>
              <w:autoSpaceDE w:val="0"/>
              <w:autoSpaceDN w:val="0"/>
              <w:adjustRightInd w:val="0"/>
              <w:jc w:val="center"/>
              <w:rPr>
                <w:rFonts w:ascii="宋体" w:cs="宋体"/>
                <w:b/>
                <w:bCs/>
                <w:color w:val="000000"/>
                <w:kern w:val="0"/>
                <w:sz w:val="18"/>
                <w:szCs w:val="18"/>
              </w:rPr>
            </w:pPr>
            <w:r>
              <w:rPr>
                <w:rFonts w:ascii="宋体" w:cs="宋体"/>
                <w:b/>
                <w:bCs/>
                <w:color w:val="000000"/>
                <w:kern w:val="0"/>
                <w:sz w:val="18"/>
                <w:szCs w:val="18"/>
              </w:rPr>
              <w:t>2</w:t>
            </w:r>
          </w:p>
        </w:tc>
        <w:tc>
          <w:tcPr>
            <w:tcW w:w="1694" w:type="dxa"/>
            <w:tcBorders>
              <w:top w:val="single" w:color="auto" w:sz="6" w:space="0"/>
              <w:left w:val="single" w:color="auto" w:sz="6" w:space="0"/>
              <w:bottom w:val="single" w:color="auto" w:sz="6" w:space="0"/>
              <w:right w:val="single" w:color="auto" w:sz="6" w:space="0"/>
            </w:tcBorders>
            <w:shd w:val="solid" w:color="C0C0C0" w:fill="auto"/>
          </w:tcPr>
          <w:p w14:paraId="1D5BEC96">
            <w:pPr>
              <w:autoSpaceDE w:val="0"/>
              <w:autoSpaceDN w:val="0"/>
              <w:adjustRightInd w:val="0"/>
              <w:jc w:val="center"/>
              <w:rPr>
                <w:rFonts w:ascii="宋体" w:cs="宋体"/>
                <w:b/>
                <w:bCs/>
                <w:color w:val="000000"/>
                <w:kern w:val="0"/>
                <w:sz w:val="18"/>
                <w:szCs w:val="18"/>
              </w:rPr>
            </w:pPr>
            <w:r>
              <w:rPr>
                <w:rFonts w:ascii="宋体" w:cs="宋体"/>
                <w:b/>
                <w:bCs/>
                <w:color w:val="000000"/>
                <w:kern w:val="0"/>
                <w:sz w:val="18"/>
                <w:szCs w:val="18"/>
              </w:rPr>
              <w:t>3</w:t>
            </w:r>
          </w:p>
        </w:tc>
      </w:tr>
      <w:tr w14:paraId="52A11133">
        <w:tblPrEx>
          <w:tblCellMar>
            <w:top w:w="0" w:type="dxa"/>
            <w:left w:w="30" w:type="dxa"/>
            <w:bottom w:w="0" w:type="dxa"/>
            <w:right w:w="30" w:type="dxa"/>
          </w:tblCellMar>
        </w:tblPrEx>
        <w:trPr>
          <w:trHeight w:val="331" w:hRule="atLeast"/>
        </w:trPr>
        <w:tc>
          <w:tcPr>
            <w:tcW w:w="346" w:type="dxa"/>
            <w:tcBorders>
              <w:top w:val="single" w:color="auto" w:sz="6" w:space="0"/>
              <w:left w:val="single" w:color="auto" w:sz="6" w:space="0"/>
              <w:bottom w:val="single" w:color="auto" w:sz="6" w:space="0"/>
              <w:right w:val="single" w:color="auto" w:sz="6" w:space="0"/>
            </w:tcBorders>
            <w:shd w:val="solid" w:color="C0C0C0" w:fill="auto"/>
          </w:tcPr>
          <w:p w14:paraId="5AE4C20F">
            <w:pPr>
              <w:autoSpaceDE w:val="0"/>
              <w:autoSpaceDN w:val="0"/>
              <w:adjustRightInd w:val="0"/>
              <w:jc w:val="center"/>
              <w:rPr>
                <w:rFonts w:ascii="宋体" w:cs="宋体"/>
                <w:b/>
                <w:bCs/>
                <w:color w:val="000000"/>
                <w:kern w:val="0"/>
                <w:sz w:val="18"/>
                <w:szCs w:val="18"/>
              </w:rPr>
            </w:pPr>
            <w:r>
              <w:rPr>
                <w:rFonts w:hint="eastAsia" w:ascii="宋体" w:cs="宋体"/>
                <w:b/>
                <w:bCs/>
                <w:color w:val="000000"/>
                <w:kern w:val="0"/>
                <w:sz w:val="18"/>
                <w:szCs w:val="18"/>
              </w:rPr>
              <w:t>类</w:t>
            </w:r>
          </w:p>
        </w:tc>
        <w:tc>
          <w:tcPr>
            <w:tcW w:w="345" w:type="dxa"/>
            <w:tcBorders>
              <w:top w:val="single" w:color="auto" w:sz="6" w:space="0"/>
              <w:left w:val="single" w:color="auto" w:sz="6" w:space="0"/>
              <w:bottom w:val="single" w:color="auto" w:sz="6" w:space="0"/>
              <w:right w:val="single" w:color="auto" w:sz="6" w:space="0"/>
            </w:tcBorders>
            <w:shd w:val="solid" w:color="C0C0C0" w:fill="auto"/>
          </w:tcPr>
          <w:p w14:paraId="74050E51">
            <w:pPr>
              <w:autoSpaceDE w:val="0"/>
              <w:autoSpaceDN w:val="0"/>
              <w:adjustRightInd w:val="0"/>
              <w:jc w:val="center"/>
              <w:rPr>
                <w:rFonts w:ascii="宋体" w:cs="宋体"/>
                <w:b/>
                <w:bCs/>
                <w:color w:val="000000"/>
                <w:kern w:val="0"/>
                <w:sz w:val="18"/>
                <w:szCs w:val="18"/>
              </w:rPr>
            </w:pPr>
            <w:r>
              <w:rPr>
                <w:rFonts w:hint="eastAsia" w:ascii="宋体" w:cs="宋体"/>
                <w:b/>
                <w:bCs/>
                <w:color w:val="000000"/>
                <w:kern w:val="0"/>
                <w:sz w:val="18"/>
                <w:szCs w:val="18"/>
              </w:rPr>
              <w:t>款</w:t>
            </w:r>
          </w:p>
        </w:tc>
        <w:tc>
          <w:tcPr>
            <w:tcW w:w="346" w:type="dxa"/>
            <w:tcBorders>
              <w:top w:val="single" w:color="auto" w:sz="6" w:space="0"/>
              <w:left w:val="single" w:color="auto" w:sz="6" w:space="0"/>
              <w:bottom w:val="single" w:color="auto" w:sz="6" w:space="0"/>
              <w:right w:val="single" w:color="auto" w:sz="6" w:space="0"/>
            </w:tcBorders>
            <w:shd w:val="solid" w:color="C0C0C0" w:fill="auto"/>
          </w:tcPr>
          <w:p w14:paraId="03B809CB">
            <w:pPr>
              <w:autoSpaceDE w:val="0"/>
              <w:autoSpaceDN w:val="0"/>
              <w:adjustRightInd w:val="0"/>
              <w:jc w:val="center"/>
              <w:rPr>
                <w:rFonts w:ascii="宋体" w:cs="宋体"/>
                <w:b/>
                <w:bCs/>
                <w:color w:val="000000"/>
                <w:kern w:val="0"/>
                <w:sz w:val="18"/>
                <w:szCs w:val="18"/>
              </w:rPr>
            </w:pPr>
            <w:r>
              <w:rPr>
                <w:rFonts w:hint="eastAsia" w:ascii="宋体" w:cs="宋体"/>
                <w:b/>
                <w:bCs/>
                <w:color w:val="000000"/>
                <w:kern w:val="0"/>
                <w:sz w:val="18"/>
                <w:szCs w:val="18"/>
              </w:rPr>
              <w:t>项</w:t>
            </w:r>
          </w:p>
        </w:tc>
        <w:tc>
          <w:tcPr>
            <w:tcW w:w="3554" w:type="dxa"/>
            <w:tcBorders>
              <w:top w:val="single" w:color="auto" w:sz="6" w:space="0"/>
              <w:left w:val="single" w:color="auto" w:sz="6" w:space="0"/>
              <w:bottom w:val="single" w:color="auto" w:sz="6" w:space="0"/>
              <w:right w:val="single" w:color="auto" w:sz="6" w:space="0"/>
            </w:tcBorders>
            <w:shd w:val="solid" w:color="C0C0C0" w:fill="auto"/>
          </w:tcPr>
          <w:p w14:paraId="22E623BF">
            <w:pPr>
              <w:autoSpaceDE w:val="0"/>
              <w:autoSpaceDN w:val="0"/>
              <w:adjustRightInd w:val="0"/>
              <w:jc w:val="center"/>
              <w:rPr>
                <w:rFonts w:ascii="宋体" w:cs="宋体"/>
                <w:b/>
                <w:bCs/>
                <w:color w:val="000000"/>
                <w:kern w:val="0"/>
                <w:sz w:val="18"/>
                <w:szCs w:val="18"/>
              </w:rPr>
            </w:pPr>
            <w:r>
              <w:rPr>
                <w:rFonts w:hint="eastAsia" w:ascii="宋体" w:cs="宋体"/>
                <w:b/>
                <w:bCs/>
                <w:color w:val="000000"/>
                <w:kern w:val="0"/>
                <w:sz w:val="18"/>
                <w:szCs w:val="18"/>
              </w:rPr>
              <w:t>合计</w:t>
            </w:r>
          </w:p>
        </w:tc>
        <w:tc>
          <w:tcPr>
            <w:tcW w:w="1695" w:type="dxa"/>
            <w:tcBorders>
              <w:top w:val="single" w:color="auto" w:sz="6" w:space="0"/>
              <w:left w:val="single" w:color="auto" w:sz="6" w:space="0"/>
              <w:bottom w:val="single" w:color="auto" w:sz="6" w:space="0"/>
              <w:right w:val="single" w:color="auto" w:sz="6" w:space="0"/>
            </w:tcBorders>
            <w:shd w:val="solid" w:color="C0C0C0" w:fill="auto"/>
          </w:tcPr>
          <w:p w14:paraId="0E8C595C">
            <w:pPr>
              <w:autoSpaceDE w:val="0"/>
              <w:autoSpaceDN w:val="0"/>
              <w:adjustRightInd w:val="0"/>
              <w:jc w:val="right"/>
              <w:rPr>
                <w:rFonts w:ascii="宋体" w:cs="宋体"/>
                <w:b/>
                <w:bCs/>
                <w:color w:val="000000"/>
                <w:kern w:val="0"/>
                <w:sz w:val="20"/>
                <w:szCs w:val="20"/>
              </w:rPr>
            </w:pPr>
            <w:r>
              <w:rPr>
                <w:rFonts w:ascii="宋体" w:cs="宋体"/>
                <w:b/>
                <w:bCs/>
                <w:color w:val="000000"/>
                <w:kern w:val="0"/>
                <w:sz w:val="20"/>
                <w:szCs w:val="20"/>
              </w:rPr>
              <w:t>0.000000</w:t>
            </w:r>
          </w:p>
        </w:tc>
        <w:tc>
          <w:tcPr>
            <w:tcW w:w="1694" w:type="dxa"/>
            <w:tcBorders>
              <w:top w:val="single" w:color="auto" w:sz="6" w:space="0"/>
              <w:left w:val="single" w:color="auto" w:sz="6" w:space="0"/>
              <w:bottom w:val="single" w:color="auto" w:sz="6" w:space="0"/>
              <w:right w:val="single" w:color="auto" w:sz="6" w:space="0"/>
            </w:tcBorders>
            <w:shd w:val="solid" w:color="C0C0C0" w:fill="auto"/>
          </w:tcPr>
          <w:p w14:paraId="734669DB">
            <w:pPr>
              <w:autoSpaceDE w:val="0"/>
              <w:autoSpaceDN w:val="0"/>
              <w:adjustRightInd w:val="0"/>
              <w:jc w:val="right"/>
              <w:rPr>
                <w:rFonts w:ascii="宋体" w:cs="宋体"/>
                <w:b/>
                <w:bCs/>
                <w:color w:val="000000"/>
                <w:kern w:val="0"/>
                <w:sz w:val="20"/>
                <w:szCs w:val="20"/>
              </w:rPr>
            </w:pPr>
            <w:r>
              <w:rPr>
                <w:rFonts w:ascii="宋体" w:cs="宋体"/>
                <w:b/>
                <w:bCs/>
                <w:color w:val="000000"/>
                <w:kern w:val="0"/>
                <w:sz w:val="20"/>
                <w:szCs w:val="20"/>
              </w:rPr>
              <w:t>0.000000</w:t>
            </w:r>
          </w:p>
        </w:tc>
        <w:tc>
          <w:tcPr>
            <w:tcW w:w="1694" w:type="dxa"/>
            <w:tcBorders>
              <w:top w:val="single" w:color="auto" w:sz="6" w:space="0"/>
              <w:left w:val="single" w:color="auto" w:sz="6" w:space="0"/>
              <w:bottom w:val="single" w:color="auto" w:sz="6" w:space="0"/>
              <w:right w:val="single" w:color="auto" w:sz="6" w:space="0"/>
            </w:tcBorders>
            <w:shd w:val="solid" w:color="C0C0C0" w:fill="auto"/>
          </w:tcPr>
          <w:p w14:paraId="175E9896">
            <w:pPr>
              <w:autoSpaceDE w:val="0"/>
              <w:autoSpaceDN w:val="0"/>
              <w:adjustRightInd w:val="0"/>
              <w:jc w:val="right"/>
              <w:rPr>
                <w:rFonts w:ascii="宋体" w:cs="宋体"/>
                <w:b/>
                <w:bCs/>
                <w:color w:val="000000"/>
                <w:kern w:val="0"/>
                <w:sz w:val="20"/>
                <w:szCs w:val="20"/>
              </w:rPr>
            </w:pPr>
            <w:r>
              <w:rPr>
                <w:rFonts w:ascii="宋体" w:cs="宋体"/>
                <w:b/>
                <w:bCs/>
                <w:color w:val="000000"/>
                <w:kern w:val="0"/>
                <w:sz w:val="20"/>
                <w:szCs w:val="20"/>
              </w:rPr>
              <w:t>0.000000</w:t>
            </w:r>
          </w:p>
        </w:tc>
      </w:tr>
      <w:tr w14:paraId="6BD65063">
        <w:tblPrEx>
          <w:tblCellMar>
            <w:top w:w="0" w:type="dxa"/>
            <w:left w:w="30" w:type="dxa"/>
            <w:bottom w:w="0" w:type="dxa"/>
            <w:right w:w="30" w:type="dxa"/>
          </w:tblCellMar>
        </w:tblPrEx>
        <w:trPr>
          <w:trHeight w:val="276" w:hRule="atLeast"/>
        </w:trPr>
        <w:tc>
          <w:tcPr>
            <w:tcW w:w="346" w:type="dxa"/>
            <w:tcBorders>
              <w:top w:val="nil"/>
              <w:left w:val="nil"/>
              <w:bottom w:val="nil"/>
              <w:right w:val="nil"/>
            </w:tcBorders>
          </w:tcPr>
          <w:p w14:paraId="4AAA71A6">
            <w:pPr>
              <w:autoSpaceDE w:val="0"/>
              <w:autoSpaceDN w:val="0"/>
              <w:adjustRightInd w:val="0"/>
              <w:jc w:val="right"/>
              <w:rPr>
                <w:rFonts w:ascii="宋体" w:cs="宋体"/>
                <w:color w:val="000000"/>
                <w:kern w:val="0"/>
                <w:sz w:val="22"/>
                <w:szCs w:val="22"/>
              </w:rPr>
            </w:pPr>
          </w:p>
        </w:tc>
        <w:tc>
          <w:tcPr>
            <w:tcW w:w="345" w:type="dxa"/>
            <w:tcBorders>
              <w:top w:val="nil"/>
              <w:left w:val="nil"/>
              <w:bottom w:val="nil"/>
              <w:right w:val="nil"/>
            </w:tcBorders>
          </w:tcPr>
          <w:p w14:paraId="0C0B9FA4">
            <w:pPr>
              <w:autoSpaceDE w:val="0"/>
              <w:autoSpaceDN w:val="0"/>
              <w:adjustRightInd w:val="0"/>
              <w:jc w:val="right"/>
              <w:rPr>
                <w:rFonts w:ascii="宋体" w:cs="宋体"/>
                <w:color w:val="000000"/>
                <w:kern w:val="0"/>
                <w:sz w:val="22"/>
                <w:szCs w:val="22"/>
              </w:rPr>
            </w:pPr>
          </w:p>
        </w:tc>
        <w:tc>
          <w:tcPr>
            <w:tcW w:w="346" w:type="dxa"/>
            <w:tcBorders>
              <w:top w:val="nil"/>
              <w:left w:val="nil"/>
              <w:bottom w:val="nil"/>
              <w:right w:val="nil"/>
            </w:tcBorders>
          </w:tcPr>
          <w:p w14:paraId="51B665FB">
            <w:pPr>
              <w:autoSpaceDE w:val="0"/>
              <w:autoSpaceDN w:val="0"/>
              <w:adjustRightInd w:val="0"/>
              <w:jc w:val="right"/>
              <w:rPr>
                <w:rFonts w:ascii="宋体" w:cs="宋体"/>
                <w:color w:val="000000"/>
                <w:kern w:val="0"/>
                <w:sz w:val="22"/>
                <w:szCs w:val="22"/>
              </w:rPr>
            </w:pPr>
          </w:p>
        </w:tc>
        <w:tc>
          <w:tcPr>
            <w:tcW w:w="3554" w:type="dxa"/>
            <w:tcBorders>
              <w:top w:val="nil"/>
              <w:left w:val="nil"/>
              <w:bottom w:val="nil"/>
              <w:right w:val="nil"/>
            </w:tcBorders>
          </w:tcPr>
          <w:p w14:paraId="496E2EC4">
            <w:pPr>
              <w:autoSpaceDE w:val="0"/>
              <w:autoSpaceDN w:val="0"/>
              <w:adjustRightInd w:val="0"/>
              <w:jc w:val="right"/>
              <w:rPr>
                <w:rFonts w:ascii="宋体" w:cs="宋体"/>
                <w:color w:val="000000"/>
                <w:kern w:val="0"/>
                <w:sz w:val="22"/>
                <w:szCs w:val="22"/>
              </w:rPr>
            </w:pPr>
          </w:p>
        </w:tc>
        <w:tc>
          <w:tcPr>
            <w:tcW w:w="1695" w:type="dxa"/>
            <w:tcBorders>
              <w:top w:val="nil"/>
              <w:left w:val="nil"/>
              <w:bottom w:val="nil"/>
              <w:right w:val="nil"/>
            </w:tcBorders>
          </w:tcPr>
          <w:p w14:paraId="20815CE7">
            <w:pPr>
              <w:autoSpaceDE w:val="0"/>
              <w:autoSpaceDN w:val="0"/>
              <w:adjustRightInd w:val="0"/>
              <w:jc w:val="right"/>
              <w:rPr>
                <w:rFonts w:ascii="宋体" w:cs="宋体"/>
                <w:color w:val="000000"/>
                <w:kern w:val="0"/>
                <w:sz w:val="22"/>
                <w:szCs w:val="22"/>
              </w:rPr>
            </w:pPr>
          </w:p>
        </w:tc>
        <w:tc>
          <w:tcPr>
            <w:tcW w:w="1694" w:type="dxa"/>
            <w:tcBorders>
              <w:top w:val="nil"/>
              <w:left w:val="nil"/>
              <w:bottom w:val="nil"/>
              <w:right w:val="nil"/>
            </w:tcBorders>
          </w:tcPr>
          <w:p w14:paraId="22E1F366">
            <w:pPr>
              <w:autoSpaceDE w:val="0"/>
              <w:autoSpaceDN w:val="0"/>
              <w:adjustRightInd w:val="0"/>
              <w:jc w:val="right"/>
              <w:rPr>
                <w:rFonts w:ascii="宋体" w:cs="宋体"/>
                <w:color w:val="000000"/>
                <w:kern w:val="0"/>
                <w:sz w:val="22"/>
                <w:szCs w:val="22"/>
              </w:rPr>
            </w:pPr>
          </w:p>
        </w:tc>
        <w:tc>
          <w:tcPr>
            <w:tcW w:w="1694" w:type="dxa"/>
            <w:tcBorders>
              <w:top w:val="nil"/>
              <w:left w:val="nil"/>
              <w:bottom w:val="nil"/>
              <w:right w:val="nil"/>
            </w:tcBorders>
          </w:tcPr>
          <w:p w14:paraId="1D045769">
            <w:pPr>
              <w:autoSpaceDE w:val="0"/>
              <w:autoSpaceDN w:val="0"/>
              <w:adjustRightInd w:val="0"/>
              <w:jc w:val="right"/>
              <w:rPr>
                <w:rFonts w:ascii="宋体" w:cs="宋体"/>
                <w:color w:val="000000"/>
                <w:kern w:val="0"/>
                <w:sz w:val="22"/>
                <w:szCs w:val="22"/>
              </w:rPr>
            </w:pPr>
          </w:p>
        </w:tc>
      </w:tr>
    </w:tbl>
    <w:p w14:paraId="6CAD62A2">
      <w:pPr>
        <w:pStyle w:val="2"/>
        <w:ind w:firstLine="420"/>
      </w:pPr>
    </w:p>
    <w:p w14:paraId="27951A41">
      <w:pPr>
        <w:pStyle w:val="2"/>
        <w:ind w:firstLine="420"/>
      </w:pPr>
    </w:p>
    <w:p w14:paraId="616EFC1A">
      <w:pPr>
        <w:pStyle w:val="2"/>
        <w:ind w:firstLine="420"/>
      </w:pPr>
    </w:p>
    <w:p w14:paraId="1F533C50">
      <w:pPr>
        <w:pStyle w:val="2"/>
        <w:ind w:firstLine="420"/>
      </w:pPr>
    </w:p>
    <w:p w14:paraId="3F2BBF66">
      <w:pPr>
        <w:pStyle w:val="2"/>
        <w:ind w:firstLine="420"/>
      </w:pPr>
    </w:p>
    <w:p w14:paraId="1791046B">
      <w:pPr>
        <w:pStyle w:val="2"/>
        <w:ind w:firstLine="420"/>
      </w:pPr>
      <w:r>
        <w:rPr>
          <w:rFonts w:hint="eastAsia"/>
        </w:rPr>
        <w:drawing>
          <wp:inline distT="0" distB="0" distL="0" distR="0">
            <wp:extent cx="9251950" cy="1528445"/>
            <wp:effectExtent l="0" t="0" r="6350"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a:xfrm>
                      <a:off x="0" y="0"/>
                      <a:ext cx="9251950" cy="1528792"/>
                    </a:xfrm>
                    <a:prstGeom prst="rect">
                      <a:avLst/>
                    </a:prstGeom>
                    <a:noFill/>
                    <a:ln>
                      <a:noFill/>
                    </a:ln>
                  </pic:spPr>
                </pic:pic>
              </a:graphicData>
            </a:graphic>
          </wp:inline>
        </w:drawing>
      </w:r>
    </w:p>
    <w:p w14:paraId="636D894F">
      <w:pPr>
        <w:pStyle w:val="2"/>
        <w:ind w:firstLine="420"/>
      </w:pPr>
      <w:r>
        <w:rPr>
          <w:rFonts w:hint="eastAsia"/>
        </w:rPr>
        <w:drawing>
          <wp:inline distT="0" distB="0" distL="0" distR="0">
            <wp:extent cx="5660390" cy="3936365"/>
            <wp:effectExtent l="0" t="0" r="0" b="6985"/>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0" y="0"/>
                      <a:ext cx="5660390" cy="3936365"/>
                    </a:xfrm>
                    <a:prstGeom prst="rect">
                      <a:avLst/>
                    </a:prstGeom>
                    <a:noFill/>
                    <a:ln>
                      <a:noFill/>
                    </a:ln>
                  </pic:spPr>
                </pic:pic>
              </a:graphicData>
            </a:graphic>
          </wp:inline>
        </w:drawing>
      </w:r>
    </w:p>
    <w:p w14:paraId="78CCC56F">
      <w:pPr>
        <w:pStyle w:val="2"/>
        <w:ind w:firstLine="420"/>
      </w:pPr>
    </w:p>
    <w:p w14:paraId="7ACFD74E">
      <w:pPr>
        <w:tabs>
          <w:tab w:val="center" w:pos="6979"/>
        </w:tabs>
        <w:spacing w:before="156" w:beforeLines="50" w:after="156" w:afterLines="50"/>
        <w:jc w:val="center"/>
        <w:rPr>
          <w:rFonts w:ascii="宋体" w:hAnsi="宋体" w:cs="宋体"/>
          <w:b/>
          <w:bCs/>
          <w:spacing w:val="40"/>
          <w:kern w:val="0"/>
          <w:sz w:val="32"/>
          <w:szCs w:val="32"/>
        </w:rPr>
      </w:pPr>
      <w:r>
        <w:rPr>
          <w:rFonts w:hint="eastAsia"/>
        </w:rPr>
        <w:drawing>
          <wp:inline distT="0" distB="0" distL="0" distR="0">
            <wp:extent cx="8342630" cy="6560185"/>
            <wp:effectExtent l="0" t="0" r="1270"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a:xfrm>
                      <a:off x="0" y="0"/>
                      <a:ext cx="8350093" cy="6565948"/>
                    </a:xfrm>
                    <a:prstGeom prst="rect">
                      <a:avLst/>
                    </a:prstGeom>
                    <a:noFill/>
                    <a:ln>
                      <a:noFill/>
                    </a:ln>
                  </pic:spPr>
                </pic:pic>
              </a:graphicData>
            </a:graphic>
          </wp:inline>
        </w:drawing>
      </w:r>
    </w:p>
    <w:p w14:paraId="753E6CEC">
      <w:pPr>
        <w:tabs>
          <w:tab w:val="center" w:pos="6979"/>
        </w:tabs>
        <w:spacing w:before="156" w:beforeLines="50" w:after="156"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2023年度部门决算说明</w:t>
      </w:r>
    </w:p>
    <w:p w14:paraId="64EAE5BF">
      <w:pPr>
        <w:tabs>
          <w:tab w:val="center" w:pos="6979"/>
        </w:tabs>
        <w:spacing w:line="580" w:lineRule="exact"/>
        <w:ind w:firstLine="548" w:firstLineChars="196"/>
        <w:rPr>
          <w:rFonts w:ascii="黑体" w:eastAsia="黑体"/>
          <w:b/>
          <w:sz w:val="28"/>
          <w:szCs w:val="28"/>
        </w:rPr>
      </w:pPr>
      <w:r>
        <w:rPr>
          <w:rFonts w:hint="eastAsia" w:ascii="黑体" w:eastAsia="黑体"/>
          <w:bCs/>
          <w:sz w:val="28"/>
          <w:szCs w:val="28"/>
        </w:rPr>
        <w:t>一、</w:t>
      </w:r>
      <w:bookmarkStart w:id="1" w:name="_GoBack"/>
      <w:bookmarkEnd w:id="1"/>
      <w:r>
        <w:rPr>
          <w:rFonts w:hint="eastAsia" w:ascii="黑体" w:eastAsia="黑体"/>
          <w:bCs/>
          <w:sz w:val="28"/>
          <w:szCs w:val="28"/>
        </w:rPr>
        <w:t>单位基本情况</w:t>
      </w:r>
    </w:p>
    <w:p w14:paraId="728D78BD">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（一）机构</w:t>
      </w:r>
      <w:r>
        <w:rPr>
          <w:rFonts w:ascii="仿宋_GB2312" w:eastAsia="仿宋_GB2312"/>
          <w:sz w:val="28"/>
          <w:szCs w:val="28"/>
        </w:rPr>
        <w:t>设置、</w:t>
      </w:r>
      <w:r>
        <w:rPr>
          <w:rFonts w:hint="eastAsia" w:ascii="仿宋_GB2312" w:eastAsia="仿宋_GB2312"/>
          <w:sz w:val="28"/>
          <w:szCs w:val="28"/>
        </w:rPr>
        <w:t>职责</w:t>
      </w:r>
    </w:p>
    <w:p w14:paraId="77181B18">
      <w:pPr>
        <w:snapToGrid w:val="0"/>
        <w:spacing w:line="520" w:lineRule="exact"/>
        <w:ind w:firstLine="560" w:firstLineChars="200"/>
        <w:rPr>
          <w:rFonts w:ascii="仿宋_GB2312" w:hAnsi="仿宋" w:eastAsia="仿宋_GB2312"/>
          <w:sz w:val="28"/>
          <w:szCs w:val="28"/>
        </w:rPr>
      </w:pPr>
      <w:r>
        <w:rPr>
          <w:rFonts w:hint="eastAsia" w:ascii="仿宋_GB2312" w:hAnsi="仿宋" w:eastAsia="仿宋_GB2312"/>
          <w:sz w:val="28"/>
          <w:szCs w:val="28"/>
        </w:rPr>
        <w:t>1．主要职能。</w:t>
      </w:r>
    </w:p>
    <w:p w14:paraId="4F008A75">
      <w:pPr>
        <w:snapToGrid w:val="0"/>
        <w:spacing w:line="520" w:lineRule="exact"/>
        <w:ind w:left="630" w:leftChars="300" w:firstLine="500" w:firstLineChars="200"/>
        <w:rPr>
          <w:rFonts w:ascii="仿宋_GB2312" w:hAnsi="仿宋" w:eastAsia="仿宋_GB2312" w:cs="仿宋"/>
          <w:spacing w:val="-15"/>
          <w:sz w:val="28"/>
          <w:szCs w:val="28"/>
        </w:rPr>
      </w:pPr>
      <w:r>
        <w:rPr>
          <w:rFonts w:hint="eastAsia" w:ascii="仿宋_GB2312" w:hAnsi="仿宋" w:eastAsia="仿宋_GB2312" w:cs="仿宋"/>
          <w:spacing w:val="-15"/>
          <w:sz w:val="28"/>
          <w:szCs w:val="28"/>
        </w:rPr>
        <w:t>负责果园街道、河南寨镇、十里堡镇辖区内的供水、节水、排水、污水处理、水环境保护以及水旱灾害防御、水利工程建设等事务性工作</w:t>
      </w:r>
    </w:p>
    <w:p w14:paraId="2D85DFD6">
      <w:pPr>
        <w:snapToGrid w:val="0"/>
        <w:spacing w:line="520" w:lineRule="exact"/>
        <w:ind w:firstLine="560" w:firstLineChars="200"/>
        <w:rPr>
          <w:rFonts w:ascii="仿宋_GB2312" w:hAnsi="仿宋" w:eastAsia="仿宋_GB2312"/>
          <w:sz w:val="28"/>
          <w:szCs w:val="28"/>
        </w:rPr>
      </w:pPr>
      <w:r>
        <w:rPr>
          <w:rFonts w:hint="eastAsia" w:ascii="仿宋_GB2312" w:hAnsi="仿宋" w:eastAsia="仿宋_GB2312"/>
          <w:sz w:val="28"/>
          <w:szCs w:val="28"/>
        </w:rPr>
        <w:t>2．机构情况，包括当年变动情况及原因。</w:t>
      </w:r>
    </w:p>
    <w:p w14:paraId="4587BB4D">
      <w:pPr>
        <w:ind w:firstLine="560" w:firstLineChars="200"/>
        <w:rPr>
          <w:rFonts w:ascii="仿宋_GB2312" w:hAnsi="仿宋" w:eastAsia="仿宋_GB2312"/>
          <w:sz w:val="28"/>
          <w:szCs w:val="28"/>
        </w:rPr>
      </w:pPr>
      <w:r>
        <w:rPr>
          <w:rFonts w:hint="eastAsia" w:ascii="仿宋_GB2312" w:hAnsi="仿宋" w:eastAsia="仿宋_GB2312"/>
          <w:sz w:val="28"/>
          <w:szCs w:val="28"/>
        </w:rPr>
        <w:t>北京市密云区水务局河南寨水务站共有1个预算单位，单位性质属于财政补助事业单位。</w:t>
      </w:r>
    </w:p>
    <w:p w14:paraId="2E6B3DF2">
      <w:pPr>
        <w:snapToGrid w:val="0"/>
        <w:spacing w:line="520" w:lineRule="exact"/>
        <w:ind w:firstLine="560" w:firstLineChars="200"/>
        <w:rPr>
          <w:rFonts w:ascii="仿宋_GB2312" w:hAnsi="仿宋" w:eastAsia="仿宋_GB2312"/>
          <w:sz w:val="28"/>
          <w:szCs w:val="28"/>
        </w:rPr>
      </w:pPr>
      <w:r>
        <w:rPr>
          <w:rFonts w:hint="eastAsia" w:ascii="仿宋_GB2312" w:hAnsi="仿宋" w:eastAsia="仿宋_GB2312"/>
          <w:sz w:val="28"/>
          <w:szCs w:val="28"/>
        </w:rPr>
        <w:t>3．人员情况，包括当年变动情况及原因。</w:t>
      </w:r>
    </w:p>
    <w:p w14:paraId="51FF603F">
      <w:pPr>
        <w:ind w:firstLine="560" w:firstLineChars="200"/>
        <w:rPr>
          <w:rFonts w:ascii="仿宋_GB2312" w:hAnsi="仿宋" w:eastAsia="仿宋_GB2312"/>
          <w:sz w:val="28"/>
          <w:szCs w:val="28"/>
        </w:rPr>
      </w:pPr>
      <w:r>
        <w:rPr>
          <w:rFonts w:hint="eastAsia" w:ascii="仿宋_GB2312" w:hAnsi="仿宋" w:eastAsia="仿宋_GB2312"/>
          <w:sz w:val="28"/>
          <w:szCs w:val="28"/>
        </w:rPr>
        <w:t>（1）北京市密云区水务局河南寨水务站共有编制18人。</w:t>
      </w:r>
    </w:p>
    <w:p w14:paraId="7D11EAC8">
      <w:pPr>
        <w:ind w:firstLine="560" w:firstLineChars="200"/>
        <w:rPr>
          <w:rFonts w:ascii="仿宋" w:hAnsi="仿宋" w:eastAsia="仿宋"/>
          <w:sz w:val="28"/>
          <w:szCs w:val="28"/>
        </w:rPr>
      </w:pPr>
      <w:r>
        <w:rPr>
          <w:rFonts w:hint="eastAsia" w:ascii="仿宋_GB2312" w:hAnsi="仿宋" w:eastAsia="仿宋_GB2312"/>
          <w:sz w:val="28"/>
          <w:szCs w:val="28"/>
        </w:rPr>
        <w:t>（2）</w:t>
      </w:r>
      <w:r>
        <w:rPr>
          <w:rFonts w:hint="eastAsia" w:ascii="仿宋" w:hAnsi="仿宋" w:eastAsia="仿宋"/>
          <w:sz w:val="28"/>
          <w:szCs w:val="28"/>
        </w:rPr>
        <w:t>北京市密云区水务局河南寨水务站2023年末财政供养实有人数37人，比上年新增7人，其中：</w:t>
      </w:r>
    </w:p>
    <w:p w14:paraId="7154B6B8">
      <w:pPr>
        <w:ind w:firstLine="560" w:firstLineChars="200"/>
        <w:rPr>
          <w:rFonts w:ascii="仿宋" w:hAnsi="仿宋" w:eastAsia="仿宋"/>
          <w:sz w:val="28"/>
          <w:szCs w:val="28"/>
        </w:rPr>
      </w:pPr>
      <w:r>
        <w:rPr>
          <w:rFonts w:hint="eastAsia" w:ascii="仿宋" w:hAnsi="仿宋" w:eastAsia="仿宋"/>
          <w:sz w:val="28"/>
          <w:szCs w:val="28"/>
        </w:rPr>
        <w:t>在职人员17人。比上年新增2人，2023年3月刘翠华由北京市密云区密云水务站工作调到我单位；2023年3月金鑫由北京市密云区西田各庄水务站工作调到我单位。2023年1月肖德民在职转退休。离退休20人，与上年新增6人，在职转退休1人，因密云水务站撤站，退休5人调入本单位。</w:t>
      </w:r>
    </w:p>
    <w:p w14:paraId="189A5B7A">
      <w:pPr>
        <w:pStyle w:val="2"/>
        <w:ind w:firstLine="420"/>
      </w:pPr>
    </w:p>
    <w:p w14:paraId="4C1F09A0">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（二）人员构成情况</w:t>
      </w:r>
    </w:p>
    <w:p w14:paraId="63E4CD0D">
      <w:pPr>
        <w:tabs>
          <w:tab w:val="center" w:pos="6979"/>
        </w:tabs>
        <w:spacing w:line="580" w:lineRule="exact"/>
        <w:ind w:firstLine="560" w:firstLineChars="200"/>
        <w:rPr>
          <w:rFonts w:ascii="仿宋_GB2312" w:eastAsia="仿宋_GB2312"/>
          <w:kern w:val="0"/>
          <w:sz w:val="28"/>
          <w:szCs w:val="28"/>
        </w:rPr>
      </w:pPr>
      <w:r>
        <w:rPr>
          <w:rFonts w:hint="eastAsia" w:ascii="仿宋_GB2312" w:eastAsia="仿宋_GB2312"/>
          <w:kern w:val="0"/>
          <w:sz w:val="28"/>
          <w:szCs w:val="28"/>
        </w:rPr>
        <w:t>行政编制0人，实有人数0人；事业编制18人，实有人数17人。</w:t>
      </w:r>
    </w:p>
    <w:p w14:paraId="63D39B73">
      <w:pPr>
        <w:tabs>
          <w:tab w:val="center" w:pos="6979"/>
        </w:tabs>
        <w:spacing w:line="580" w:lineRule="exact"/>
        <w:rPr>
          <w:rFonts w:ascii="黑体" w:eastAsia="黑体"/>
          <w:bCs/>
          <w:sz w:val="28"/>
          <w:szCs w:val="28"/>
        </w:rPr>
      </w:pPr>
      <w:r>
        <w:rPr>
          <w:rFonts w:hint="eastAsia" w:ascii="仿宋_GB2312" w:eastAsia="仿宋_GB2312"/>
          <w:b/>
          <w:sz w:val="32"/>
          <w:szCs w:val="32"/>
        </w:rPr>
        <w:t xml:space="preserve">  </w:t>
      </w:r>
      <w:r>
        <w:rPr>
          <w:rFonts w:hint="eastAsia" w:ascii="仿宋_GB2312" w:eastAsia="仿宋_GB2312"/>
          <w:bCs/>
          <w:sz w:val="32"/>
          <w:szCs w:val="32"/>
        </w:rPr>
        <w:t xml:space="preserve"> </w:t>
      </w:r>
      <w:r>
        <w:rPr>
          <w:rFonts w:hint="eastAsia" w:ascii="黑体" w:eastAsia="黑体"/>
          <w:bCs/>
          <w:sz w:val="28"/>
          <w:szCs w:val="28"/>
        </w:rPr>
        <w:t>二、收入支出决算总体情况说明</w:t>
      </w:r>
    </w:p>
    <w:p w14:paraId="2F8C2B01">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548.05</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413.85万元</w:t>
      </w:r>
      <w:r>
        <w:rPr>
          <w:rFonts w:ascii="仿宋_GB2312" w:eastAsia="仿宋_GB2312"/>
          <w:sz w:val="28"/>
          <w:szCs w:val="28"/>
        </w:rPr>
        <w:t>增加</w:t>
      </w:r>
      <w:r>
        <w:rPr>
          <w:rFonts w:hint="eastAsia" w:ascii="仿宋_GB2312" w:eastAsia="仿宋_GB2312"/>
          <w:sz w:val="28"/>
          <w:szCs w:val="28"/>
        </w:rPr>
        <w:t>134.2万元，增长24.49%。</w:t>
      </w:r>
    </w:p>
    <w:p w14:paraId="6299D08F">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14:paraId="52AABC16">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2023年度本年收入合计</w:t>
      </w:r>
      <w:r>
        <w:rPr>
          <w:rFonts w:ascii="仿宋_GB2312" w:eastAsia="仿宋_GB2312"/>
          <w:sz w:val="28"/>
          <w:szCs w:val="28"/>
        </w:rPr>
        <w:t>497.59</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413.85万元</w:t>
      </w:r>
      <w:r>
        <w:rPr>
          <w:rFonts w:ascii="仿宋_GB2312" w:eastAsia="仿宋_GB2312"/>
          <w:sz w:val="28"/>
          <w:szCs w:val="28"/>
        </w:rPr>
        <w:t>增加</w:t>
      </w:r>
      <w:r>
        <w:rPr>
          <w:rFonts w:hint="eastAsia" w:ascii="仿宋_GB2312" w:eastAsia="仿宋_GB2312"/>
          <w:sz w:val="28"/>
          <w:szCs w:val="28"/>
        </w:rPr>
        <w:t>83.74万元，增长20.23%。</w:t>
      </w:r>
    </w:p>
    <w:p w14:paraId="6206A7DB">
      <w:pPr>
        <w:tabs>
          <w:tab w:val="center" w:pos="6979"/>
        </w:tabs>
        <w:spacing w:line="580" w:lineRule="exact"/>
        <w:ind w:firstLine="560" w:firstLineChars="200"/>
      </w:pPr>
      <w:r>
        <w:rPr>
          <w:rFonts w:hint="eastAsia" w:ascii="仿宋_GB2312" w:eastAsia="仿宋_GB2312"/>
          <w:sz w:val="28"/>
          <w:szCs w:val="28"/>
        </w:rPr>
        <w:t>1.财政拨款收入</w:t>
      </w:r>
      <w:r>
        <w:rPr>
          <w:rFonts w:ascii="仿宋_GB2312" w:eastAsia="仿宋_GB2312"/>
          <w:sz w:val="28"/>
          <w:szCs w:val="28"/>
        </w:rPr>
        <w:t>497.59</w:t>
      </w:r>
      <w:r>
        <w:rPr>
          <w:rFonts w:hint="eastAsia" w:ascii="仿宋_GB2312" w:eastAsia="仿宋_GB2312"/>
          <w:sz w:val="28"/>
          <w:szCs w:val="28"/>
        </w:rPr>
        <w:t>万元，占收入合计的</w:t>
      </w:r>
      <w:r>
        <w:rPr>
          <w:rFonts w:ascii="仿宋_GB2312" w:eastAsia="仿宋_GB2312"/>
          <w:sz w:val="28"/>
          <w:szCs w:val="28"/>
        </w:rPr>
        <w:t>100</w:t>
      </w:r>
      <w:r>
        <w:rPr>
          <w:rFonts w:hint="eastAsia" w:ascii="仿宋_GB2312" w:eastAsia="仿宋_GB2312"/>
          <w:sz w:val="28"/>
          <w:szCs w:val="28"/>
        </w:rPr>
        <w:t>%。其中：一般公共预算财政拨款收入</w:t>
      </w:r>
      <w:r>
        <w:rPr>
          <w:rFonts w:ascii="仿宋_GB2312" w:eastAsia="仿宋_GB2312"/>
          <w:sz w:val="28"/>
          <w:szCs w:val="28"/>
        </w:rPr>
        <w:t>497.59</w:t>
      </w:r>
      <w:r>
        <w:rPr>
          <w:rFonts w:hint="eastAsia" w:ascii="仿宋_GB2312" w:eastAsia="仿宋_GB2312"/>
          <w:sz w:val="28"/>
          <w:szCs w:val="28"/>
        </w:rPr>
        <w:t>万元，占收入合计的</w:t>
      </w:r>
      <w:r>
        <w:rPr>
          <w:rFonts w:ascii="仿宋_GB2312" w:eastAsia="仿宋_GB2312"/>
          <w:sz w:val="28"/>
          <w:szCs w:val="28"/>
        </w:rPr>
        <w:t>100</w:t>
      </w:r>
      <w:r>
        <w:rPr>
          <w:rFonts w:hint="eastAsia" w:ascii="仿宋_GB2312" w:eastAsia="仿宋_GB2312"/>
          <w:sz w:val="28"/>
          <w:szCs w:val="28"/>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14:paraId="3771A4C8">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14:paraId="247D2A36">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14:paraId="18815622">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14:paraId="2310B867">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14:paraId="3EDA0441">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14:paraId="1BF1781E">
      <w:pPr>
        <w:pStyle w:val="3"/>
        <w:jc w:val="center"/>
      </w:pPr>
      <w:r>
        <w:rPr>
          <w:rFonts w:hint="eastAsia" w:ascii="仿宋_GB2312" w:eastAsia="仿宋_GB2312"/>
          <w:color w:val="000000"/>
          <w:sz w:val="32"/>
        </w:rPr>
        <w:t>图1：收入决算</w:t>
      </w:r>
    </w:p>
    <w:p w14:paraId="4330FABB">
      <w:pPr>
        <w:jc w:val="center"/>
      </w:pPr>
      <w:r>
        <w:rPr>
          <w:rFonts w:hint="eastAsia"/>
        </w:rPr>
        <w:drawing>
          <wp:inline distT="0" distB="0" distL="114300" distR="114300">
            <wp:extent cx="4408805" cy="2477770"/>
            <wp:effectExtent l="4445" t="5080" r="6350" b="12700"/>
            <wp:docPr id="2" name="图表 2"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4253325C">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624C25AD">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2023年度本年支出合计</w:t>
      </w:r>
      <w:r>
        <w:rPr>
          <w:rFonts w:ascii="仿宋_GB2312" w:eastAsia="仿宋_GB2312"/>
          <w:sz w:val="28"/>
          <w:szCs w:val="28"/>
        </w:rPr>
        <w:t>548.05</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413.85万元</w:t>
      </w:r>
      <w:r>
        <w:rPr>
          <w:rFonts w:ascii="仿宋_GB2312" w:eastAsia="仿宋_GB2312"/>
          <w:sz w:val="28"/>
          <w:szCs w:val="28"/>
        </w:rPr>
        <w:t>增加</w:t>
      </w:r>
      <w:r>
        <w:rPr>
          <w:rFonts w:hint="eastAsia" w:ascii="仿宋_GB2312" w:eastAsia="仿宋_GB2312"/>
          <w:sz w:val="28"/>
          <w:szCs w:val="28"/>
        </w:rPr>
        <w:t>134.2万元，增长32.43%，其中：基本支出</w:t>
      </w:r>
      <w:r>
        <w:rPr>
          <w:rFonts w:ascii="仿宋_GB2312" w:eastAsia="仿宋_GB2312"/>
          <w:sz w:val="28"/>
          <w:szCs w:val="28"/>
        </w:rPr>
        <w:t>548.05</w:t>
      </w:r>
      <w:r>
        <w:rPr>
          <w:rFonts w:hint="eastAsia" w:ascii="仿宋_GB2312" w:eastAsia="仿宋_GB2312"/>
          <w:sz w:val="28"/>
          <w:szCs w:val="28"/>
        </w:rPr>
        <w:t>万元，占支出合计的</w:t>
      </w:r>
      <w:r>
        <w:rPr>
          <w:rFonts w:ascii="仿宋_GB2312" w:eastAsia="仿宋_GB2312"/>
          <w:sz w:val="28"/>
          <w:szCs w:val="28"/>
        </w:rPr>
        <w:t>100</w:t>
      </w:r>
      <w:r>
        <w:rPr>
          <w:rFonts w:hint="eastAsia" w:ascii="仿宋_GB2312" w:eastAsia="仿宋_GB2312"/>
          <w:sz w:val="28"/>
          <w:szCs w:val="28"/>
        </w:rPr>
        <w:t>%；项目支出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w:t>
      </w:r>
    </w:p>
    <w:p w14:paraId="6BEF78E7">
      <w:pPr>
        <w:pStyle w:val="3"/>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5C544355">
      <w:pPr>
        <w:jc w:val="center"/>
        <w:rPr>
          <w:rFonts w:ascii="黑体" w:eastAsia="黑体"/>
          <w:b/>
          <w:sz w:val="28"/>
          <w:szCs w:val="28"/>
        </w:rPr>
      </w:pPr>
      <w:r>
        <w:drawing>
          <wp:inline distT="0" distB="0" distL="0" distR="0">
            <wp:extent cx="4572000" cy="2072640"/>
            <wp:effectExtent l="0" t="0" r="19050" b="22860"/>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16C4FBE7">
      <w:pPr>
        <w:tabs>
          <w:tab w:val="center" w:pos="6979"/>
        </w:tabs>
        <w:spacing w:line="580" w:lineRule="exact"/>
        <w:ind w:firstLine="548" w:firstLineChars="196"/>
        <w:rPr>
          <w:rFonts w:ascii="黑体" w:eastAsia="黑体"/>
          <w:bCs/>
          <w:sz w:val="28"/>
          <w:szCs w:val="28"/>
        </w:rPr>
      </w:pPr>
      <w:r>
        <w:rPr>
          <w:rFonts w:hint="eastAsia" w:ascii="黑体" w:eastAsia="黑体"/>
          <w:bCs/>
          <w:sz w:val="28"/>
          <w:szCs w:val="28"/>
        </w:rPr>
        <w:t>三</w:t>
      </w:r>
      <w:r>
        <w:rPr>
          <w:rFonts w:ascii="黑体" w:eastAsia="黑体"/>
          <w:bCs/>
          <w:sz w:val="28"/>
          <w:szCs w:val="28"/>
        </w:rPr>
        <w:t>、财政拨款</w:t>
      </w:r>
      <w:r>
        <w:rPr>
          <w:rFonts w:hint="eastAsia" w:ascii="黑体" w:eastAsia="黑体"/>
          <w:bCs/>
          <w:sz w:val="28"/>
          <w:szCs w:val="28"/>
        </w:rPr>
        <w:t>收入支出决算</w:t>
      </w:r>
      <w:r>
        <w:rPr>
          <w:rFonts w:ascii="黑体" w:eastAsia="黑体"/>
          <w:bCs/>
          <w:sz w:val="28"/>
          <w:szCs w:val="28"/>
        </w:rPr>
        <w:t>总体情况说明</w:t>
      </w:r>
    </w:p>
    <w:p w14:paraId="6F392EFF">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548.05</w:t>
      </w:r>
      <w:r>
        <w:rPr>
          <w:rFonts w:hint="eastAsia" w:ascii="仿宋_GB2312" w:eastAsia="仿宋_GB2312"/>
          <w:sz w:val="28"/>
          <w:szCs w:val="28"/>
        </w:rPr>
        <w:t>万元，比上年413.85万元</w:t>
      </w:r>
      <w:r>
        <w:rPr>
          <w:rFonts w:ascii="仿宋_GB2312" w:eastAsia="仿宋_GB2312"/>
          <w:sz w:val="28"/>
          <w:szCs w:val="28"/>
        </w:rPr>
        <w:t>增加</w:t>
      </w:r>
      <w:r>
        <w:rPr>
          <w:rFonts w:hint="eastAsia" w:ascii="仿宋_GB2312" w:eastAsia="仿宋_GB2312"/>
          <w:sz w:val="28"/>
          <w:szCs w:val="28"/>
        </w:rPr>
        <w:t>143.2万元，增长32.43%。主要原因：</w:t>
      </w:r>
      <w:r>
        <w:rPr>
          <w:rFonts w:ascii="仿宋_GB2312" w:eastAsia="仿宋_GB2312"/>
          <w:sz w:val="28"/>
          <w:szCs w:val="28"/>
        </w:rPr>
        <w:t>本年在职新增</w:t>
      </w:r>
      <w:r>
        <w:rPr>
          <w:rFonts w:hint="eastAsia" w:ascii="仿宋_GB2312" w:eastAsia="仿宋_GB2312"/>
          <w:sz w:val="28"/>
          <w:szCs w:val="28"/>
        </w:rPr>
        <w:t>2人，退休转入5人及</w:t>
      </w:r>
      <w:r>
        <w:rPr>
          <w:rFonts w:ascii="仿宋_GB2312" w:eastAsia="仿宋_GB2312"/>
          <w:sz w:val="28"/>
          <w:szCs w:val="28"/>
        </w:rPr>
        <w:t>保险及住房公积金缴存金额增加</w:t>
      </w:r>
      <w:r>
        <w:rPr>
          <w:rFonts w:hint="eastAsia" w:ascii="仿宋_GB2312" w:eastAsia="仿宋_GB2312"/>
          <w:sz w:val="28"/>
          <w:szCs w:val="28"/>
        </w:rPr>
        <w:t>。</w:t>
      </w:r>
    </w:p>
    <w:p w14:paraId="4AEDDDA6">
      <w:pPr>
        <w:tabs>
          <w:tab w:val="center" w:pos="6979"/>
        </w:tabs>
        <w:spacing w:line="580" w:lineRule="exact"/>
        <w:ind w:firstLine="548" w:firstLineChars="196"/>
        <w:rPr>
          <w:rFonts w:ascii="黑体" w:eastAsia="黑体"/>
          <w:bCs/>
          <w:sz w:val="28"/>
          <w:szCs w:val="28"/>
        </w:rPr>
      </w:pPr>
      <w:r>
        <w:rPr>
          <w:rFonts w:hint="eastAsia" w:ascii="黑体" w:eastAsia="黑体"/>
          <w:bCs/>
          <w:sz w:val="28"/>
          <w:szCs w:val="28"/>
        </w:rPr>
        <w:t>四、一般公共预算财政拨款支出决算情况说明</w:t>
      </w:r>
    </w:p>
    <w:p w14:paraId="4691D8F2">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（一）一般公共预算财政拨款支出决算总体情况</w:t>
      </w:r>
    </w:p>
    <w:p w14:paraId="6A540E25">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2023年度一般公共预算财政拨款支出</w:t>
      </w:r>
      <w:r>
        <w:rPr>
          <w:rFonts w:ascii="仿宋_GB2312" w:eastAsia="仿宋_GB2312"/>
          <w:sz w:val="28"/>
          <w:szCs w:val="28"/>
        </w:rPr>
        <w:t>548.05</w:t>
      </w:r>
      <w:r>
        <w:rPr>
          <w:rFonts w:hint="eastAsia" w:ascii="仿宋_GB2312" w:eastAsia="仿宋_GB2312"/>
          <w:sz w:val="28"/>
          <w:szCs w:val="28"/>
        </w:rPr>
        <w:t>万元，主要用于以下方面（按大类）：一般公共服务支出548.05万元，占本年财政拨款支出100%；按功能科目分类：社会保障和就业支出97.55万元，占本年财政拨款支出17.8%；卫生健康支出36.99万元，占本年财政拨款支出6.75% ；农林水支出413.51万元，占本年财政拨款支出75.45%。</w:t>
      </w:r>
    </w:p>
    <w:p w14:paraId="26211B23">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（二）一般公共预算财政拨款支出决算具体情况</w:t>
      </w:r>
    </w:p>
    <w:p w14:paraId="77C5CC78">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hAnsi="仿宋" w:eastAsia="仿宋_GB2312"/>
          <w:sz w:val="28"/>
          <w:szCs w:val="28"/>
        </w:rPr>
        <w:t>1、“社会保障和就业支出” 2023年度决算支出97.55万元，比2023年年初预算65.19万元增加32.36万元，增长49.64%。。</w:t>
      </w:r>
      <w:r>
        <w:rPr>
          <w:rFonts w:hint="eastAsia" w:ascii="仿宋_GB2312" w:eastAsia="仿宋_GB2312"/>
          <w:sz w:val="28"/>
          <w:szCs w:val="28"/>
        </w:rPr>
        <w:t>主要原因：</w:t>
      </w:r>
      <w:r>
        <w:rPr>
          <w:rFonts w:hint="eastAsia" w:ascii="仿宋_GB2312" w:hAnsi="仿宋" w:eastAsia="仿宋_GB2312"/>
          <w:sz w:val="28"/>
          <w:szCs w:val="28"/>
        </w:rPr>
        <w:t>人员增减变化，社保缴费基数调整</w:t>
      </w:r>
      <w:r>
        <w:rPr>
          <w:rFonts w:hint="eastAsia" w:ascii="仿宋_GB2312" w:hAnsi="仿宋" w:eastAsia="仿宋_GB2312"/>
          <w:color w:val="000000"/>
          <w:sz w:val="28"/>
          <w:szCs w:val="28"/>
        </w:rPr>
        <w:t>。</w:t>
      </w:r>
      <w:bookmarkStart w:id="0" w:name="_Hlk75792918"/>
      <w:r>
        <w:rPr>
          <w:rFonts w:hint="eastAsia" w:ascii="仿宋_GB2312" w:eastAsia="仿宋_GB2312"/>
          <w:color w:val="000000"/>
          <w:sz w:val="28"/>
          <w:szCs w:val="28"/>
        </w:rPr>
        <w:t>其中：</w:t>
      </w:r>
      <w:bookmarkEnd w:id="0"/>
      <w:r>
        <w:rPr>
          <w:rFonts w:hint="eastAsia" w:ascii="仿宋_GB2312" w:eastAsia="仿宋_GB2312"/>
          <w:color w:val="000000"/>
          <w:sz w:val="28"/>
          <w:szCs w:val="28"/>
        </w:rPr>
        <w:t>机关事业单位基本养老保险缴费支出38.19万元，比2</w:t>
      </w:r>
      <w:r>
        <w:rPr>
          <w:rFonts w:ascii="仿宋_GB2312" w:eastAsia="仿宋_GB2312"/>
          <w:color w:val="000000"/>
          <w:sz w:val="28"/>
          <w:szCs w:val="28"/>
        </w:rPr>
        <w:t>02</w:t>
      </w:r>
      <w:r>
        <w:rPr>
          <w:rFonts w:hint="eastAsia" w:ascii="仿宋_GB2312" w:eastAsia="仿宋_GB2312"/>
          <w:color w:val="000000"/>
          <w:sz w:val="28"/>
          <w:szCs w:val="28"/>
        </w:rPr>
        <w:t>3年初预算33.56万元增加了4.63万元，增加了13.80%；事业单位离退休支出40.26万元，比2023年初预算14.85万元增加了25.41万元，增加了1.71%，机关事业单位职业年金缴费支出19.10万元，比2023年初预算16.78万元增加了2.32万元，增加了13.83%，主要原因为人员增减变化，社保缴费基数调整。</w:t>
      </w:r>
    </w:p>
    <w:p w14:paraId="66C6057A">
      <w:pPr>
        <w:spacing w:line="580" w:lineRule="exact"/>
        <w:ind w:firstLine="560" w:firstLineChars="200"/>
        <w:rPr>
          <w:rFonts w:ascii="仿宋_GB2312" w:eastAsia="仿宋_GB2312"/>
          <w:sz w:val="28"/>
          <w:szCs w:val="28"/>
        </w:rPr>
      </w:pPr>
      <w:r>
        <w:rPr>
          <w:rFonts w:hint="eastAsia" w:ascii="仿宋_GB2312" w:eastAsia="仿宋_GB2312"/>
          <w:sz w:val="28"/>
          <w:szCs w:val="28"/>
        </w:rPr>
        <w:t>2、</w:t>
      </w:r>
      <w:r>
        <w:rPr>
          <w:rFonts w:hint="eastAsia" w:ascii="仿宋_GB2312" w:hAnsi="仿宋" w:eastAsia="仿宋_GB2312"/>
          <w:sz w:val="28"/>
          <w:szCs w:val="28"/>
        </w:rPr>
        <w:t>“卫生健康支出”2023年度决算支出36.99万元，2023年年初预算31.71万元增加5.28万元，增加16.65%。。</w:t>
      </w:r>
      <w:r>
        <w:rPr>
          <w:rFonts w:hint="eastAsia" w:ascii="仿宋_GB2312" w:eastAsia="仿宋_GB2312"/>
          <w:sz w:val="28"/>
          <w:szCs w:val="28"/>
        </w:rPr>
        <w:t>主要原因：人员变动及</w:t>
      </w:r>
      <w:r>
        <w:rPr>
          <w:rFonts w:hint="eastAsia" w:ascii="仿宋_GB2312" w:hAnsi="仿宋" w:eastAsia="仿宋_GB2312"/>
          <w:sz w:val="28"/>
          <w:szCs w:val="28"/>
        </w:rPr>
        <w:t>医疗缴费比</w:t>
      </w:r>
      <w:r>
        <w:rPr>
          <w:rFonts w:hint="eastAsia" w:ascii="仿宋_GB2312" w:hAnsi="仿宋" w:eastAsia="仿宋_GB2312"/>
          <w:color w:val="000000"/>
          <w:sz w:val="28"/>
          <w:szCs w:val="28"/>
        </w:rPr>
        <w:t>例降低。</w:t>
      </w:r>
      <w:r>
        <w:rPr>
          <w:rFonts w:hint="eastAsia" w:ascii="仿宋_GB2312" w:eastAsia="仿宋_GB2312"/>
          <w:color w:val="000000"/>
          <w:sz w:val="28"/>
          <w:szCs w:val="28"/>
        </w:rPr>
        <w:t>其中：行政事业单位医疗36.99万元，比2</w:t>
      </w:r>
      <w:r>
        <w:rPr>
          <w:rFonts w:ascii="仿宋_GB2312" w:eastAsia="仿宋_GB2312"/>
          <w:color w:val="000000"/>
          <w:sz w:val="28"/>
          <w:szCs w:val="28"/>
        </w:rPr>
        <w:t>02</w:t>
      </w:r>
      <w:r>
        <w:rPr>
          <w:rFonts w:hint="eastAsia" w:ascii="仿宋_GB2312" w:eastAsia="仿宋_GB2312"/>
          <w:color w:val="000000"/>
          <w:sz w:val="28"/>
          <w:szCs w:val="28"/>
        </w:rPr>
        <w:t>3年初预算31.71万元增加5.28万元，增加16.65%，主要原因：人员变动及医疗缴费基数减少。</w:t>
      </w:r>
    </w:p>
    <w:p w14:paraId="17205AED">
      <w:pPr>
        <w:spacing w:line="560" w:lineRule="exact"/>
        <w:ind w:firstLine="560" w:firstLineChars="200"/>
        <w:rPr>
          <w:rFonts w:hint="eastAsia" w:ascii="仿宋_GB2312" w:eastAsia="仿宋_GB2312"/>
          <w:color w:val="000000"/>
          <w:sz w:val="28"/>
          <w:szCs w:val="28"/>
        </w:rPr>
      </w:pPr>
      <w:r>
        <w:rPr>
          <w:rFonts w:hint="eastAsia" w:ascii="仿宋_GB2312" w:eastAsia="仿宋_GB2312"/>
          <w:sz w:val="28"/>
          <w:szCs w:val="28"/>
        </w:rPr>
        <w:t>3、</w:t>
      </w:r>
      <w:r>
        <w:rPr>
          <w:rFonts w:hint="eastAsia" w:ascii="仿宋_GB2312" w:hAnsi="仿宋" w:eastAsia="仿宋_GB2312"/>
          <w:sz w:val="28"/>
          <w:szCs w:val="28"/>
        </w:rPr>
        <w:t>“农林水支出”2023年度决算本年支出413.51万元，比2023年年初预算276.38万元增加137.13万元，增长1.91%。主要原因：人员增减变化，社保缴费基数调整，社保缴费基数调整，住房公积金社保基数调整</w:t>
      </w:r>
      <w:r>
        <w:rPr>
          <w:rFonts w:hint="eastAsia" w:ascii="仿宋_GB2312" w:hAnsi="仿宋" w:eastAsia="仿宋_GB2312"/>
          <w:color w:val="000000"/>
          <w:sz w:val="28"/>
          <w:szCs w:val="28"/>
        </w:rPr>
        <w:t>。</w:t>
      </w:r>
      <w:r>
        <w:rPr>
          <w:rFonts w:hint="eastAsia" w:ascii="仿宋_GB2312" w:eastAsia="仿宋_GB2312"/>
          <w:color w:val="000000"/>
          <w:sz w:val="28"/>
          <w:szCs w:val="28"/>
        </w:rPr>
        <w:t>其中：水利413.51万元，比2</w:t>
      </w:r>
      <w:r>
        <w:rPr>
          <w:rFonts w:ascii="仿宋_GB2312" w:eastAsia="仿宋_GB2312"/>
          <w:color w:val="000000"/>
          <w:sz w:val="28"/>
          <w:szCs w:val="28"/>
        </w:rPr>
        <w:t>02</w:t>
      </w:r>
      <w:r>
        <w:rPr>
          <w:rFonts w:hint="eastAsia" w:ascii="仿宋_GB2312" w:eastAsia="仿宋_GB2312"/>
          <w:color w:val="000000"/>
          <w:sz w:val="28"/>
          <w:szCs w:val="28"/>
        </w:rPr>
        <w:t>3年初预算数增加137.13万元，增加1.91%，主要原因：</w:t>
      </w:r>
      <w:r>
        <w:rPr>
          <w:rFonts w:hint="eastAsia" w:ascii="仿宋_GB2312" w:hAnsi="仿宋" w:eastAsia="仿宋_GB2312"/>
          <w:color w:val="000000"/>
          <w:sz w:val="28"/>
          <w:szCs w:val="28"/>
        </w:rPr>
        <w:t>人员增减变化，社保缴费基数调整，社保缴费基数调整，住房公积金社保基数调整</w:t>
      </w:r>
      <w:r>
        <w:rPr>
          <w:rFonts w:hint="eastAsia" w:ascii="仿宋_GB2312" w:eastAsia="仿宋_GB2312"/>
          <w:color w:val="000000"/>
          <w:sz w:val="28"/>
          <w:szCs w:val="28"/>
        </w:rPr>
        <w:t>。</w:t>
      </w:r>
    </w:p>
    <w:p w14:paraId="11AFB906">
      <w:pPr>
        <w:pStyle w:val="2"/>
      </w:pPr>
    </w:p>
    <w:p w14:paraId="530A0F91">
      <w:pPr>
        <w:spacing w:line="580" w:lineRule="exact"/>
        <w:ind w:firstLine="560" w:firstLineChars="200"/>
        <w:rPr>
          <w:rFonts w:ascii="仿宋_GB2312" w:eastAsia="仿宋_GB2312"/>
          <w:bCs/>
          <w:sz w:val="28"/>
          <w:szCs w:val="28"/>
        </w:rPr>
      </w:pPr>
      <w:r>
        <w:rPr>
          <w:rFonts w:hint="eastAsia" w:ascii="黑体" w:eastAsia="黑体"/>
          <w:bCs/>
          <w:sz w:val="28"/>
          <w:szCs w:val="28"/>
        </w:rPr>
        <w:t>五、政府性基金预算财政拨款支出决算情况说明</w:t>
      </w:r>
    </w:p>
    <w:p w14:paraId="04A83FEB">
      <w:pPr>
        <w:spacing w:line="560" w:lineRule="exact"/>
        <w:ind w:firstLine="420" w:firstLineChars="150"/>
        <w:rPr>
          <w:rFonts w:ascii="仿宋_GB2312" w:eastAsia="仿宋_GB2312"/>
          <w:sz w:val="28"/>
          <w:szCs w:val="28"/>
        </w:rPr>
      </w:pPr>
      <w:r>
        <w:rPr>
          <w:rFonts w:hint="eastAsia" w:ascii="仿宋_GB2312" w:eastAsia="仿宋_GB2312"/>
          <w:sz w:val="28"/>
          <w:szCs w:val="28"/>
        </w:rPr>
        <w:t>本年度无此项支出</w:t>
      </w:r>
    </w:p>
    <w:p w14:paraId="4FF637DC">
      <w:pPr>
        <w:spacing w:line="580" w:lineRule="exact"/>
        <w:ind w:firstLine="560" w:firstLineChars="200"/>
        <w:rPr>
          <w:rFonts w:ascii="黑体" w:eastAsia="黑体"/>
          <w:bCs/>
          <w:sz w:val="28"/>
          <w:szCs w:val="28"/>
        </w:rPr>
      </w:pPr>
      <w:r>
        <w:rPr>
          <w:rFonts w:hint="eastAsia" w:ascii="黑体" w:eastAsia="黑体"/>
          <w:bCs/>
          <w:sz w:val="28"/>
          <w:szCs w:val="28"/>
        </w:rPr>
        <w:t>六、国有资本经营预算财</w:t>
      </w:r>
      <w:r>
        <w:rPr>
          <w:rFonts w:ascii="黑体" w:eastAsia="黑体"/>
          <w:bCs/>
          <w:sz w:val="28"/>
          <w:szCs w:val="28"/>
        </w:rPr>
        <w:t>政拨款</w:t>
      </w:r>
      <w:r>
        <w:rPr>
          <w:rFonts w:hint="eastAsia" w:ascii="黑体" w:eastAsia="黑体"/>
          <w:bCs/>
          <w:sz w:val="28"/>
          <w:szCs w:val="28"/>
        </w:rPr>
        <w:t>收支情况</w:t>
      </w:r>
    </w:p>
    <w:p w14:paraId="22E31803">
      <w:pPr>
        <w:ind w:firstLine="537" w:firstLineChars="192"/>
        <w:rPr>
          <w:rFonts w:ascii="仿宋_GB2312" w:eastAsia="仿宋_GB2312"/>
          <w:sz w:val="28"/>
          <w:szCs w:val="28"/>
        </w:rPr>
      </w:pPr>
      <w:r>
        <w:rPr>
          <w:rFonts w:hint="eastAsia" w:ascii="仿宋_GB2312" w:eastAsia="仿宋_GB2312"/>
          <w:sz w:val="28"/>
          <w:szCs w:val="28"/>
        </w:rPr>
        <w:t>2023年度国有资本经营预算财政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7D3523AB">
      <w:pPr>
        <w:spacing w:line="580" w:lineRule="exact"/>
        <w:ind w:firstLine="548" w:firstLineChars="196"/>
        <w:rPr>
          <w:rFonts w:ascii="黑体" w:eastAsia="黑体"/>
          <w:bCs/>
          <w:sz w:val="28"/>
          <w:szCs w:val="28"/>
        </w:rPr>
      </w:pPr>
      <w:r>
        <w:rPr>
          <w:rFonts w:hint="eastAsia" w:ascii="黑体" w:eastAsia="黑体"/>
          <w:bCs/>
          <w:sz w:val="28"/>
          <w:szCs w:val="28"/>
        </w:rPr>
        <w:t>七、财政拨款基本支出决算情况说明</w:t>
      </w:r>
    </w:p>
    <w:p w14:paraId="5F314895">
      <w:pPr>
        <w:tabs>
          <w:tab w:val="center" w:pos="6979"/>
        </w:tabs>
        <w:spacing w:line="580" w:lineRule="exact"/>
        <w:ind w:firstLine="548" w:firstLineChars="196"/>
        <w:rPr>
          <w:rFonts w:ascii="黑体" w:eastAsia="黑体"/>
          <w:b/>
          <w:sz w:val="28"/>
          <w:szCs w:val="28"/>
        </w:rPr>
      </w:pPr>
      <w:r>
        <w:rPr>
          <w:rFonts w:hint="eastAsia" w:ascii="仿宋_GB2312" w:eastAsia="仿宋_GB2312"/>
          <w:sz w:val="28"/>
          <w:szCs w:val="28"/>
        </w:rPr>
        <w:t>2023年度使用一般公共预算财政拨款安排基本支出</w:t>
      </w:r>
      <w:r>
        <w:rPr>
          <w:rFonts w:ascii="仿宋_GB2312" w:eastAsia="仿宋_GB2312"/>
          <w:sz w:val="28"/>
          <w:szCs w:val="28"/>
        </w:rPr>
        <w:t>548.05</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万元，其中：（1）工资福利支出包括基本工资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4AB2FB62">
      <w:pPr>
        <w:autoSpaceDE w:val="0"/>
        <w:autoSpaceDN w:val="0"/>
        <w:adjustRightInd w:val="0"/>
        <w:spacing w:line="580" w:lineRule="exact"/>
        <w:jc w:val="center"/>
        <w:rPr>
          <w:rFonts w:ascii="宋体" w:hAnsi="宋体" w:cs="宋体"/>
          <w:b/>
          <w:spacing w:val="40"/>
          <w:kern w:val="0"/>
          <w:sz w:val="32"/>
          <w:szCs w:val="32"/>
        </w:rPr>
      </w:pPr>
      <w:r>
        <w:rPr>
          <w:rFonts w:ascii="仿宋_GB2312" w:eastAsia="仿宋_GB2312"/>
          <w:sz w:val="28"/>
          <w:szCs w:val="28"/>
        </w:rPr>
        <w:br w:type="page"/>
      </w:r>
      <w:r>
        <w:rPr>
          <w:rFonts w:hint="eastAsia" w:ascii="宋体" w:hAnsi="宋体" w:cs="宋体"/>
          <w:b/>
          <w:bCs/>
          <w:spacing w:val="40"/>
          <w:kern w:val="0"/>
          <w:sz w:val="32"/>
          <w:szCs w:val="32"/>
        </w:rPr>
        <w:t>第三部分</w:t>
      </w:r>
      <w:r>
        <w:rPr>
          <w:rFonts w:hint="eastAsia" w:ascii="宋体" w:hAnsi="宋体"/>
          <w:b/>
          <w:spacing w:val="40"/>
          <w:sz w:val="32"/>
          <w:szCs w:val="32"/>
        </w:rPr>
        <w:t>2023年度</w:t>
      </w:r>
      <w:r>
        <w:rPr>
          <w:rFonts w:hint="eastAsia" w:ascii="宋体" w:hAnsi="宋体" w:cs="宋体"/>
          <w:b/>
          <w:spacing w:val="40"/>
          <w:kern w:val="0"/>
          <w:sz w:val="32"/>
          <w:szCs w:val="32"/>
        </w:rPr>
        <w:t>其他重要事项的情况说明</w:t>
      </w:r>
    </w:p>
    <w:p w14:paraId="40826409">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14:paraId="1F4E21ED">
      <w:pPr>
        <w:spacing w:line="560" w:lineRule="exact"/>
        <w:ind w:firstLine="600"/>
        <w:rPr>
          <w:rFonts w:ascii="仿宋_GB2312" w:eastAsia="仿宋_GB2312"/>
          <w:sz w:val="28"/>
          <w:szCs w:val="28"/>
        </w:rPr>
      </w:pPr>
      <w:r>
        <w:rPr>
          <w:rFonts w:hint="eastAsia" w:ascii="仿宋_GB2312" w:eastAsia="仿宋_GB2312"/>
          <w:sz w:val="28"/>
          <w:szCs w:val="28"/>
        </w:rPr>
        <w:t>“三公”经费包括单位所属</w:t>
      </w:r>
      <w:r>
        <w:rPr>
          <w:rFonts w:hint="eastAsia" w:ascii="仿宋_GB2312" w:eastAsia="仿宋_GB2312"/>
          <w:bCs/>
          <w:sz w:val="28"/>
          <w:szCs w:val="28"/>
        </w:rPr>
        <w:t>0</w:t>
      </w:r>
      <w:r>
        <w:rPr>
          <w:rFonts w:hint="eastAsia" w:ascii="仿宋_GB2312" w:eastAsia="仿宋_GB2312"/>
          <w:sz w:val="28"/>
          <w:szCs w:val="28"/>
        </w:rPr>
        <w:t>个行政单位、0个</w:t>
      </w:r>
      <w:r>
        <w:rPr>
          <w:rFonts w:ascii="仿宋_GB2312" w:eastAsia="仿宋_GB2312"/>
          <w:sz w:val="28"/>
          <w:szCs w:val="28"/>
        </w:rPr>
        <w:t>参</w:t>
      </w:r>
      <w:r>
        <w:rPr>
          <w:rFonts w:hint="eastAsia" w:ascii="仿宋_GB2312" w:eastAsia="仿宋_GB2312"/>
          <w:sz w:val="28"/>
          <w:szCs w:val="28"/>
        </w:rPr>
        <w:t>照</w:t>
      </w:r>
      <w:r>
        <w:rPr>
          <w:rFonts w:ascii="仿宋_GB2312" w:eastAsia="仿宋_GB2312"/>
          <w:sz w:val="28"/>
          <w:szCs w:val="28"/>
        </w:rPr>
        <w:t>公务员法管理事业单位</w:t>
      </w:r>
      <w:r>
        <w:rPr>
          <w:rFonts w:hint="eastAsia" w:ascii="仿宋_GB2312" w:eastAsia="仿宋_GB2312"/>
          <w:sz w:val="28"/>
          <w:szCs w:val="28"/>
        </w:rPr>
        <w:t>、</w:t>
      </w:r>
      <w:r>
        <w:rPr>
          <w:rFonts w:hint="eastAsia" w:ascii="仿宋_GB2312" w:eastAsia="仿宋_GB2312"/>
          <w:bCs/>
          <w:sz w:val="28"/>
          <w:szCs w:val="28"/>
        </w:rPr>
        <w:t>1个</w:t>
      </w:r>
      <w:r>
        <w:rPr>
          <w:rFonts w:hint="eastAsia" w:ascii="仿宋_GB2312" w:eastAsia="仿宋_GB2312"/>
          <w:sz w:val="28"/>
          <w:szCs w:val="28"/>
        </w:rPr>
        <w:t>事业单位。2023年度“三公”经费财政拨款决算数</w:t>
      </w:r>
      <w:r>
        <w:rPr>
          <w:rFonts w:ascii="仿宋_GB2312" w:eastAsia="仿宋_GB2312"/>
          <w:sz w:val="28"/>
          <w:szCs w:val="28"/>
        </w:rPr>
        <w:t>1.05</w:t>
      </w:r>
      <w:r>
        <w:rPr>
          <w:rFonts w:hint="eastAsia" w:ascii="仿宋_GB2312" w:eastAsia="仿宋_GB2312"/>
          <w:sz w:val="28"/>
          <w:szCs w:val="28"/>
        </w:rPr>
        <w:t>万元，比2023年度“三公”经费财政拨款年初预算</w:t>
      </w:r>
      <w:r>
        <w:rPr>
          <w:rFonts w:ascii="仿宋_GB2312" w:eastAsia="仿宋_GB2312"/>
          <w:sz w:val="28"/>
          <w:szCs w:val="28"/>
        </w:rPr>
        <w:t>5.03</w:t>
      </w:r>
      <w:r>
        <w:rPr>
          <w:rFonts w:hint="eastAsia" w:ascii="仿宋_GB2312" w:eastAsia="仿宋_GB2312"/>
          <w:sz w:val="28"/>
          <w:szCs w:val="28"/>
        </w:rPr>
        <w:t>万元减少</w:t>
      </w:r>
      <w:r>
        <w:rPr>
          <w:rFonts w:ascii="仿宋_GB2312" w:eastAsia="仿宋_GB2312"/>
          <w:sz w:val="28"/>
          <w:szCs w:val="28"/>
        </w:rPr>
        <w:t>-3.97</w:t>
      </w:r>
      <w:r>
        <w:rPr>
          <w:rFonts w:hint="eastAsia" w:ascii="仿宋_GB2312" w:eastAsia="仿宋_GB2312"/>
          <w:sz w:val="28"/>
          <w:szCs w:val="28"/>
        </w:rPr>
        <w:t>万元。其中：</w:t>
      </w:r>
    </w:p>
    <w:p w14:paraId="2A35494E">
      <w:pPr>
        <w:pStyle w:val="20"/>
        <w:numPr>
          <w:ilvl w:val="0"/>
          <w:numId w:val="1"/>
        </w:numPr>
        <w:spacing w:line="560" w:lineRule="exact"/>
        <w:ind w:firstLineChars="0"/>
        <w:rPr>
          <w:rFonts w:ascii="仿宋_GB2312" w:eastAsia="仿宋_GB2312"/>
          <w:sz w:val="28"/>
          <w:szCs w:val="28"/>
        </w:rPr>
      </w:pPr>
      <w:r>
        <w:rPr>
          <w:rFonts w:hint="eastAsia" w:ascii="仿宋_GB2312" w:eastAsia="仿宋_GB2312"/>
          <w:sz w:val="28"/>
          <w:szCs w:val="28"/>
        </w:rPr>
        <w:t>因公出国（境）费用。</w:t>
      </w:r>
    </w:p>
    <w:p w14:paraId="307F22A6">
      <w:pPr>
        <w:spacing w:line="560" w:lineRule="exact"/>
        <w:ind w:firstLine="600"/>
        <w:rPr>
          <w:rFonts w:ascii="仿宋_GB2312" w:eastAsia="仿宋_GB2312"/>
          <w:sz w:val="28"/>
          <w:szCs w:val="28"/>
        </w:rPr>
      </w:pPr>
      <w:r>
        <w:rPr>
          <w:rFonts w:hint="eastAsia" w:ascii="仿宋_GB2312" w:eastAsia="仿宋_GB2312"/>
          <w:sz w:val="28"/>
          <w:szCs w:val="28"/>
        </w:rPr>
        <w:t>2023年度决算数</w:t>
      </w:r>
      <w:r>
        <w:rPr>
          <w:rFonts w:ascii="仿宋_GB2312" w:eastAsia="仿宋_GB2312"/>
          <w:sz w:val="28"/>
          <w:szCs w:val="28"/>
        </w:rPr>
        <w:t>0</w:t>
      </w:r>
      <w:r>
        <w:rPr>
          <w:rFonts w:hint="eastAsia" w:ascii="仿宋_GB2312" w:eastAsia="仿宋_GB2312"/>
          <w:sz w:val="28"/>
          <w:szCs w:val="28"/>
        </w:rPr>
        <w:t>万元，</w:t>
      </w:r>
      <w:r>
        <w:rPr>
          <w:rFonts w:hint="eastAsia" w:ascii="仿宋_GB2312" w:eastAsia="仿宋_GB2312"/>
          <w:sz w:val="28"/>
          <w:szCs w:val="28"/>
          <w:lang w:val="en-US" w:eastAsia="zh-CN"/>
        </w:rPr>
        <w:t>与</w:t>
      </w:r>
      <w:r>
        <w:rPr>
          <w:rFonts w:hint="eastAsia" w:ascii="仿宋_GB2312" w:eastAsia="仿宋_GB2312"/>
          <w:sz w:val="28"/>
          <w:szCs w:val="28"/>
        </w:rPr>
        <w:t>2023年度年初预算数</w:t>
      </w:r>
      <w:r>
        <w:rPr>
          <w:rFonts w:ascii="仿宋_GB2312" w:eastAsia="仿宋_GB2312"/>
          <w:sz w:val="28"/>
          <w:szCs w:val="28"/>
        </w:rPr>
        <w:t>0</w:t>
      </w:r>
      <w:r>
        <w:rPr>
          <w:rFonts w:hint="eastAsia" w:ascii="仿宋_GB2312" w:eastAsia="仿宋_GB2312"/>
          <w:sz w:val="28"/>
          <w:szCs w:val="28"/>
        </w:rPr>
        <w:t>万元</w:t>
      </w:r>
      <w:r>
        <w:rPr>
          <w:rFonts w:hint="eastAsia" w:ascii="仿宋_GB2312" w:eastAsia="仿宋_GB2312"/>
          <w:sz w:val="28"/>
          <w:szCs w:val="28"/>
          <w:lang w:val="en-US" w:eastAsia="zh-CN"/>
        </w:rPr>
        <w:t>持平</w:t>
      </w:r>
      <w:r>
        <w:rPr>
          <w:rFonts w:hint="eastAsia" w:ascii="仿宋_GB2312" w:eastAsia="仿宋_GB2312"/>
          <w:sz w:val="28"/>
          <w:szCs w:val="28"/>
        </w:rPr>
        <w:t>。主要原因：</w:t>
      </w:r>
      <w:r>
        <w:rPr>
          <w:rFonts w:hint="eastAsia" w:ascii="仿宋_GB2312" w:eastAsia="仿宋_GB2312"/>
          <w:sz w:val="28"/>
          <w:szCs w:val="28"/>
          <w:lang w:eastAsia="zh-CN"/>
        </w:rPr>
        <w:t>无此项支出。</w:t>
      </w:r>
    </w:p>
    <w:p w14:paraId="7D8843FD">
      <w:pPr>
        <w:pStyle w:val="20"/>
        <w:numPr>
          <w:ilvl w:val="0"/>
          <w:numId w:val="1"/>
        </w:numPr>
        <w:spacing w:line="560" w:lineRule="exact"/>
        <w:ind w:firstLineChars="0"/>
        <w:rPr>
          <w:rFonts w:ascii="仿宋_GB2312" w:eastAsia="仿宋_GB2312"/>
          <w:sz w:val="28"/>
          <w:szCs w:val="28"/>
        </w:rPr>
      </w:pPr>
      <w:r>
        <w:rPr>
          <w:rFonts w:hint="eastAsia" w:ascii="仿宋_GB2312" w:eastAsia="仿宋_GB2312"/>
          <w:sz w:val="28"/>
          <w:szCs w:val="28"/>
        </w:rPr>
        <w:t>公务接待费。</w:t>
      </w:r>
    </w:p>
    <w:p w14:paraId="6FBDE8E3">
      <w:pPr>
        <w:spacing w:line="560" w:lineRule="exact"/>
        <w:ind w:firstLine="600"/>
        <w:rPr>
          <w:rFonts w:ascii="仿宋_GB2312" w:eastAsia="仿宋_GB2312"/>
          <w:sz w:val="28"/>
          <w:szCs w:val="28"/>
        </w:rPr>
      </w:pPr>
      <w:r>
        <w:rPr>
          <w:rFonts w:hint="eastAsia" w:ascii="仿宋_GB2312" w:eastAsia="仿宋_GB2312"/>
          <w:sz w:val="28"/>
          <w:szCs w:val="28"/>
        </w:rPr>
        <w:t>2023年度决算数</w:t>
      </w:r>
      <w:r>
        <w:rPr>
          <w:rFonts w:ascii="仿宋_GB2312" w:eastAsia="仿宋_GB2312"/>
          <w:sz w:val="28"/>
          <w:szCs w:val="28"/>
        </w:rPr>
        <w:t>0</w:t>
      </w:r>
      <w:r>
        <w:rPr>
          <w:rFonts w:hint="eastAsia" w:ascii="仿宋_GB2312" w:eastAsia="仿宋_GB2312"/>
          <w:sz w:val="28"/>
          <w:szCs w:val="28"/>
        </w:rPr>
        <w:t>万元，</w:t>
      </w:r>
      <w:r>
        <w:rPr>
          <w:rFonts w:hint="eastAsia" w:ascii="仿宋_GB2312" w:eastAsia="仿宋_GB2312"/>
          <w:sz w:val="28"/>
          <w:szCs w:val="28"/>
          <w:lang w:val="en-US" w:eastAsia="zh-CN"/>
        </w:rPr>
        <w:t>与</w:t>
      </w:r>
      <w:r>
        <w:rPr>
          <w:rFonts w:hint="eastAsia" w:ascii="仿宋_GB2312" w:eastAsia="仿宋_GB2312"/>
          <w:sz w:val="28"/>
          <w:szCs w:val="28"/>
        </w:rPr>
        <w:t>2023年度年初预算数</w:t>
      </w:r>
      <w:r>
        <w:rPr>
          <w:rFonts w:ascii="仿宋_GB2312" w:eastAsia="仿宋_GB2312"/>
          <w:sz w:val="28"/>
          <w:szCs w:val="28"/>
        </w:rPr>
        <w:t>0</w:t>
      </w:r>
      <w:r>
        <w:rPr>
          <w:rFonts w:hint="eastAsia" w:ascii="仿宋_GB2312" w:eastAsia="仿宋_GB2312"/>
          <w:sz w:val="28"/>
          <w:szCs w:val="28"/>
        </w:rPr>
        <w:t>万元</w:t>
      </w:r>
      <w:r>
        <w:rPr>
          <w:rFonts w:hint="eastAsia" w:ascii="仿宋_GB2312" w:eastAsia="仿宋_GB2312"/>
          <w:sz w:val="28"/>
          <w:szCs w:val="28"/>
          <w:lang w:val="en-US" w:eastAsia="zh-CN"/>
        </w:rPr>
        <w:t>持平。</w:t>
      </w:r>
      <w:r>
        <w:rPr>
          <w:rFonts w:hint="eastAsia" w:ascii="仿宋_GB2312" w:eastAsia="仿宋_GB2312"/>
          <w:sz w:val="28"/>
          <w:szCs w:val="28"/>
        </w:rPr>
        <w:t>主要原因：</w:t>
      </w:r>
      <w:r>
        <w:rPr>
          <w:rFonts w:hint="eastAsia" w:ascii="仿宋_GB2312" w:eastAsia="仿宋_GB2312"/>
          <w:sz w:val="28"/>
          <w:szCs w:val="28"/>
          <w:lang w:eastAsia="zh-CN"/>
        </w:rPr>
        <w:t>无此项支出。</w:t>
      </w:r>
    </w:p>
    <w:p w14:paraId="2BD1777A">
      <w:pPr>
        <w:spacing w:line="560" w:lineRule="exact"/>
        <w:ind w:firstLine="560" w:firstLineChars="200"/>
        <w:rPr>
          <w:rFonts w:ascii="仿宋_GB2312" w:eastAsia="仿宋_GB2312"/>
          <w:sz w:val="28"/>
          <w:szCs w:val="28"/>
        </w:rPr>
      </w:pPr>
      <w:r>
        <w:rPr>
          <w:rFonts w:hint="eastAsia" w:ascii="仿宋_GB2312" w:eastAsia="仿宋_GB2312"/>
          <w:sz w:val="28"/>
          <w:szCs w:val="28"/>
        </w:rPr>
        <w:t>3.公务用车购置及运行维护费。</w:t>
      </w:r>
    </w:p>
    <w:p w14:paraId="5B8D5914">
      <w:pPr>
        <w:spacing w:line="560" w:lineRule="exact"/>
        <w:ind w:firstLine="600"/>
        <w:rPr>
          <w:rFonts w:ascii="仿宋_GB2312" w:eastAsia="仿宋_GB2312"/>
          <w:sz w:val="28"/>
          <w:szCs w:val="28"/>
        </w:rPr>
      </w:pPr>
      <w:r>
        <w:rPr>
          <w:rFonts w:hint="eastAsia" w:ascii="仿宋_GB2312" w:eastAsia="仿宋_GB2312"/>
          <w:sz w:val="28"/>
          <w:szCs w:val="28"/>
        </w:rPr>
        <w:t>2023年度决算数1.05万元，比2023年度年初预算数5.03万元减少3.98万元。</w:t>
      </w:r>
    </w:p>
    <w:p w14:paraId="71765BB7">
      <w:pPr>
        <w:spacing w:line="560" w:lineRule="exact"/>
        <w:ind w:firstLine="600"/>
        <w:rPr>
          <w:rFonts w:hint="eastAsia" w:ascii="仿宋_GB2312" w:eastAsia="仿宋_GB2312"/>
          <w:sz w:val="28"/>
          <w:szCs w:val="28"/>
          <w:lang w:eastAsia="zh-CN"/>
        </w:rPr>
      </w:pPr>
      <w:r>
        <w:rPr>
          <w:rFonts w:hint="eastAsia" w:ascii="仿宋_GB2312" w:eastAsia="仿宋_GB2312"/>
          <w:sz w:val="28"/>
          <w:szCs w:val="28"/>
        </w:rPr>
        <w:t>其中，公务用车购置费2023年度决算数</w:t>
      </w:r>
      <w:r>
        <w:rPr>
          <w:rFonts w:ascii="仿宋_GB2312" w:eastAsia="仿宋_GB2312"/>
          <w:sz w:val="28"/>
          <w:szCs w:val="28"/>
        </w:rPr>
        <w:t>0</w:t>
      </w:r>
      <w:r>
        <w:rPr>
          <w:rFonts w:hint="eastAsia" w:ascii="仿宋_GB2312" w:eastAsia="仿宋_GB2312"/>
          <w:sz w:val="28"/>
          <w:szCs w:val="28"/>
        </w:rPr>
        <w:t>万元，</w:t>
      </w:r>
      <w:r>
        <w:rPr>
          <w:rFonts w:hint="eastAsia" w:ascii="仿宋_GB2312" w:eastAsia="仿宋_GB2312"/>
          <w:sz w:val="28"/>
          <w:szCs w:val="28"/>
          <w:lang w:val="en-US" w:eastAsia="zh-CN"/>
        </w:rPr>
        <w:t>与</w:t>
      </w:r>
      <w:r>
        <w:rPr>
          <w:rFonts w:hint="eastAsia" w:ascii="仿宋_GB2312" w:eastAsia="仿宋_GB2312"/>
          <w:sz w:val="28"/>
          <w:szCs w:val="28"/>
        </w:rPr>
        <w:t>2023年度年初预算数</w:t>
      </w:r>
      <w:r>
        <w:rPr>
          <w:rFonts w:ascii="仿宋_GB2312" w:eastAsia="仿宋_GB2312"/>
          <w:sz w:val="28"/>
          <w:szCs w:val="28"/>
        </w:rPr>
        <w:t>0</w:t>
      </w:r>
      <w:r>
        <w:rPr>
          <w:rFonts w:hint="eastAsia" w:ascii="仿宋_GB2312" w:eastAsia="仿宋_GB2312"/>
          <w:sz w:val="28"/>
          <w:szCs w:val="28"/>
        </w:rPr>
        <w:t>万元</w:t>
      </w:r>
      <w:r>
        <w:rPr>
          <w:rFonts w:hint="eastAsia" w:ascii="仿宋_GB2312" w:eastAsia="仿宋_GB2312"/>
          <w:sz w:val="28"/>
          <w:szCs w:val="28"/>
          <w:lang w:val="en-US" w:eastAsia="zh-CN"/>
        </w:rPr>
        <w:t>持平。</w:t>
      </w:r>
      <w:r>
        <w:rPr>
          <w:rFonts w:hint="eastAsia" w:ascii="仿宋_GB2312" w:eastAsia="仿宋_GB2312"/>
          <w:sz w:val="28"/>
          <w:szCs w:val="28"/>
        </w:rPr>
        <w:t>主要原因：</w:t>
      </w:r>
      <w:r>
        <w:rPr>
          <w:rFonts w:hint="eastAsia" w:ascii="仿宋_GB2312" w:eastAsia="仿宋_GB2312"/>
          <w:sz w:val="28"/>
          <w:szCs w:val="28"/>
          <w:lang w:eastAsia="zh-CN"/>
        </w:rPr>
        <w:t>无此项支出。</w:t>
      </w:r>
    </w:p>
    <w:p w14:paraId="0D728EE8">
      <w:pPr>
        <w:spacing w:line="560" w:lineRule="exact"/>
        <w:ind w:firstLine="560" w:firstLineChars="200"/>
        <w:rPr>
          <w:rFonts w:ascii="仿宋_GB2312" w:eastAsia="仿宋_GB2312"/>
          <w:sz w:val="28"/>
          <w:szCs w:val="28"/>
        </w:rPr>
      </w:pPr>
      <w:r>
        <w:rPr>
          <w:rFonts w:hint="eastAsia" w:ascii="仿宋_GB2312" w:eastAsia="仿宋_GB2312"/>
          <w:sz w:val="28"/>
          <w:szCs w:val="28"/>
        </w:rPr>
        <w:t>2023年度购置（更新）0辆，车均购置费0万元。公务用车运行维护费2023年度决算数</w:t>
      </w:r>
      <w:r>
        <w:rPr>
          <w:rFonts w:ascii="仿宋_GB2312" w:eastAsia="仿宋_GB2312"/>
          <w:sz w:val="28"/>
          <w:szCs w:val="28"/>
        </w:rPr>
        <w:t>1.05</w:t>
      </w:r>
      <w:r>
        <w:rPr>
          <w:rFonts w:hint="eastAsia" w:ascii="仿宋_GB2312" w:eastAsia="仿宋_GB2312"/>
          <w:sz w:val="28"/>
          <w:szCs w:val="28"/>
        </w:rPr>
        <w:t>万元，比2023年度年初预算数</w:t>
      </w:r>
      <w:r>
        <w:rPr>
          <w:rFonts w:ascii="仿宋_GB2312" w:eastAsia="仿宋_GB2312"/>
          <w:sz w:val="28"/>
          <w:szCs w:val="28"/>
        </w:rPr>
        <w:t>5.03</w:t>
      </w:r>
      <w:r>
        <w:rPr>
          <w:rFonts w:hint="eastAsia" w:ascii="仿宋_GB2312" w:eastAsia="仿宋_GB2312"/>
          <w:sz w:val="28"/>
          <w:szCs w:val="28"/>
        </w:rPr>
        <w:t>万元增加减少3.98万元，主要原因：根据文件精神和受疫情影响车辆外出减少，耗油量减少，依据政策要求加油卡内预留金额不得超出规定上线，其中一辆车达到报废标准不允许上路，因此2023年度运行维护费减少。2023年度公务用车运行维护费中，公务用车加油</w:t>
      </w:r>
      <w:r>
        <w:rPr>
          <w:rFonts w:ascii="仿宋_GB2312" w:eastAsia="仿宋_GB2312"/>
          <w:sz w:val="28"/>
          <w:szCs w:val="28"/>
        </w:rPr>
        <w:t>0.3</w:t>
      </w:r>
      <w:r>
        <w:rPr>
          <w:rFonts w:hint="eastAsia" w:ascii="仿宋_GB2312" w:eastAsia="仿宋_GB2312"/>
          <w:sz w:val="28"/>
          <w:szCs w:val="28"/>
        </w:rPr>
        <w:t>万元，公务用车维修</w:t>
      </w:r>
      <w:r>
        <w:rPr>
          <w:rFonts w:ascii="仿宋_GB2312" w:eastAsia="仿宋_GB2312"/>
          <w:sz w:val="28"/>
          <w:szCs w:val="28"/>
        </w:rPr>
        <w:t>0.54</w:t>
      </w:r>
      <w:r>
        <w:rPr>
          <w:rFonts w:hint="eastAsia" w:ascii="仿宋_GB2312" w:eastAsia="仿宋_GB2312"/>
          <w:sz w:val="28"/>
          <w:szCs w:val="28"/>
        </w:rPr>
        <w:t>万元，公务用车保险</w:t>
      </w:r>
      <w:r>
        <w:rPr>
          <w:rFonts w:ascii="仿宋_GB2312" w:eastAsia="仿宋_GB2312"/>
          <w:sz w:val="28"/>
          <w:szCs w:val="28"/>
        </w:rPr>
        <w:t>0.16</w:t>
      </w:r>
      <w:r>
        <w:rPr>
          <w:rFonts w:hint="eastAsia" w:ascii="仿宋_GB2312" w:eastAsia="仿宋_GB2312"/>
          <w:sz w:val="28"/>
          <w:szCs w:val="28"/>
        </w:rPr>
        <w:t>万元，公务用车其他支出</w:t>
      </w:r>
      <w:r>
        <w:rPr>
          <w:rFonts w:ascii="仿宋_GB2312" w:eastAsia="仿宋_GB2312"/>
          <w:sz w:val="28"/>
          <w:szCs w:val="28"/>
        </w:rPr>
        <w:t>0.06</w:t>
      </w:r>
      <w:r>
        <w:rPr>
          <w:rFonts w:hint="eastAsia" w:ascii="仿宋_GB2312" w:eastAsia="仿宋_GB2312"/>
          <w:sz w:val="28"/>
          <w:szCs w:val="28"/>
        </w:rPr>
        <w:t>万元。2023年度公务用车保有量2辆，车均运行维护费0.53万元。</w:t>
      </w:r>
    </w:p>
    <w:p w14:paraId="41EF8DE5">
      <w:pPr>
        <w:tabs>
          <w:tab w:val="center" w:pos="6979"/>
        </w:tabs>
        <w:ind w:firstLine="554" w:firstLineChars="198"/>
        <w:rPr>
          <w:rFonts w:ascii="黑体" w:eastAsia="黑体"/>
          <w:sz w:val="28"/>
          <w:szCs w:val="28"/>
        </w:rPr>
      </w:pPr>
      <w:r>
        <w:rPr>
          <w:rFonts w:hint="eastAsia" w:ascii="黑体" w:eastAsia="黑体"/>
          <w:sz w:val="28"/>
          <w:szCs w:val="28"/>
        </w:rPr>
        <w:t>二、机关运行经费支出情况</w:t>
      </w:r>
    </w:p>
    <w:p w14:paraId="58534A93">
      <w:pPr>
        <w:spacing w:line="560" w:lineRule="exact"/>
        <w:ind w:firstLine="560" w:firstLineChars="200"/>
        <w:rPr>
          <w:rFonts w:ascii="仿宋_GB2312" w:eastAsia="仿宋_GB2312"/>
          <w:sz w:val="28"/>
          <w:szCs w:val="28"/>
        </w:rPr>
      </w:pPr>
      <w:r>
        <w:rPr>
          <w:rFonts w:hint="eastAsia" w:ascii="仿宋_GB2312" w:eastAsia="仿宋_GB2312"/>
          <w:sz w:val="28"/>
          <w:szCs w:val="28"/>
        </w:rPr>
        <w:t>不属于机关运行经费统计范围</w:t>
      </w:r>
    </w:p>
    <w:p w14:paraId="73F9EE7F">
      <w:pPr>
        <w:ind w:left="540"/>
        <w:rPr>
          <w:rFonts w:ascii="黑体" w:eastAsia="黑体"/>
          <w:sz w:val="28"/>
          <w:szCs w:val="28"/>
        </w:rPr>
      </w:pPr>
      <w:r>
        <w:rPr>
          <w:rFonts w:hint="eastAsia" w:ascii="黑体" w:eastAsia="黑体"/>
          <w:sz w:val="28"/>
          <w:szCs w:val="28"/>
        </w:rPr>
        <w:t>三、政府采购支出情况</w:t>
      </w:r>
    </w:p>
    <w:p w14:paraId="46C69901">
      <w:pPr>
        <w:ind w:firstLine="537" w:firstLineChars="192"/>
        <w:rPr>
          <w:rFonts w:ascii="仿宋_GB2312" w:eastAsia="仿宋_GB2312"/>
          <w:sz w:val="28"/>
          <w:szCs w:val="28"/>
        </w:rPr>
      </w:pPr>
      <w:r>
        <w:rPr>
          <w:rFonts w:hint="eastAsia" w:ascii="仿宋_GB2312" w:eastAsia="仿宋_GB2312"/>
          <w:sz w:val="28"/>
          <w:szCs w:val="28"/>
        </w:rPr>
        <w:t>2023年度政府采购支出总额</w:t>
      </w:r>
      <w:r>
        <w:rPr>
          <w:rFonts w:ascii="仿宋_GB2312" w:eastAsia="仿宋_GB2312"/>
          <w:sz w:val="28"/>
          <w:szCs w:val="28"/>
        </w:rPr>
        <w:t>2.12</w:t>
      </w:r>
      <w:r>
        <w:rPr>
          <w:rFonts w:hint="eastAsia" w:ascii="仿宋_GB2312" w:eastAsia="仿宋_GB2312"/>
          <w:sz w:val="28"/>
          <w:szCs w:val="28"/>
        </w:rPr>
        <w:t>万元，其中：政府采购货物支出</w:t>
      </w:r>
      <w:r>
        <w:rPr>
          <w:rFonts w:ascii="仿宋_GB2312" w:eastAsia="仿宋_GB2312"/>
          <w:sz w:val="28"/>
          <w:szCs w:val="28"/>
        </w:rPr>
        <w:t>1.17</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0.96</w:t>
      </w:r>
      <w:r>
        <w:rPr>
          <w:rFonts w:hint="eastAsia" w:ascii="仿宋_GB2312" w:eastAsia="仿宋_GB2312"/>
          <w:sz w:val="28"/>
          <w:szCs w:val="28"/>
        </w:rPr>
        <w:t>万元。授予中小企业合同金额</w:t>
      </w:r>
      <w:r>
        <w:rPr>
          <w:rFonts w:ascii="仿宋_GB2312" w:eastAsia="仿宋_GB2312"/>
          <w:sz w:val="28"/>
          <w:szCs w:val="28"/>
        </w:rPr>
        <w:t>0</w:t>
      </w:r>
      <w:r>
        <w:rPr>
          <w:rFonts w:hint="eastAsia" w:ascii="仿宋_GB2312" w:eastAsia="仿宋_GB2312"/>
          <w:sz w:val="28"/>
          <w:szCs w:val="28"/>
        </w:rPr>
        <w:t>万元，占政府采购支出总额的</w:t>
      </w:r>
      <w:r>
        <w:rPr>
          <w:rFonts w:ascii="仿宋_GB2312" w:eastAsia="仿宋_GB2312"/>
          <w:sz w:val="28"/>
          <w:szCs w:val="28"/>
        </w:rPr>
        <w:t>0</w:t>
      </w:r>
      <w:r>
        <w:rPr>
          <w:rFonts w:hint="eastAsia" w:ascii="仿宋_GB2312" w:eastAsia="仿宋_GB2312"/>
          <w:sz w:val="28"/>
          <w:szCs w:val="28"/>
        </w:rPr>
        <w:t>%，其中：授予小微企业合同金额</w:t>
      </w:r>
      <w:r>
        <w:rPr>
          <w:rFonts w:ascii="仿宋_GB2312" w:eastAsia="仿宋_GB2312"/>
          <w:sz w:val="28"/>
          <w:szCs w:val="28"/>
        </w:rPr>
        <w:t>0</w:t>
      </w:r>
      <w:r>
        <w:rPr>
          <w:rFonts w:hint="eastAsia" w:ascii="仿宋_GB2312" w:eastAsia="仿宋_GB2312"/>
          <w:sz w:val="28"/>
          <w:szCs w:val="28"/>
        </w:rPr>
        <w:t>万元，占政府采购支出总额的</w:t>
      </w:r>
      <w:r>
        <w:rPr>
          <w:rFonts w:ascii="仿宋_GB2312" w:eastAsia="仿宋_GB2312"/>
          <w:sz w:val="28"/>
          <w:szCs w:val="28"/>
        </w:rPr>
        <w:t>0</w:t>
      </w:r>
      <w:r>
        <w:rPr>
          <w:rFonts w:hint="eastAsia" w:ascii="仿宋_GB2312" w:eastAsia="仿宋_GB2312"/>
          <w:sz w:val="28"/>
          <w:szCs w:val="28"/>
        </w:rPr>
        <w:t>%。</w:t>
      </w:r>
    </w:p>
    <w:p w14:paraId="7D8C9CB9">
      <w:pPr>
        <w:ind w:firstLine="560" w:firstLineChars="200"/>
        <w:rPr>
          <w:rFonts w:ascii="黑体" w:eastAsia="黑体"/>
          <w:sz w:val="28"/>
          <w:szCs w:val="28"/>
          <w:highlight w:val="yellow"/>
        </w:rPr>
      </w:pPr>
      <w:r>
        <w:rPr>
          <w:rFonts w:hint="eastAsia" w:ascii="黑体" w:eastAsia="黑体"/>
          <w:sz w:val="28"/>
          <w:szCs w:val="28"/>
        </w:rPr>
        <w:t>四、国有资产占用情况</w:t>
      </w:r>
    </w:p>
    <w:p w14:paraId="6F150369">
      <w:pPr>
        <w:ind w:firstLine="560" w:firstLineChars="200"/>
        <w:rPr>
          <w:rFonts w:ascii="仿宋_GB2312" w:eastAsia="仿宋_GB2312"/>
          <w:sz w:val="32"/>
          <w:szCs w:val="32"/>
        </w:rPr>
      </w:pPr>
      <w:r>
        <w:rPr>
          <w:rFonts w:hint="eastAsia" w:ascii="仿宋_GB2312" w:eastAsia="仿宋_GB2312"/>
          <w:sz w:val="28"/>
          <w:szCs w:val="28"/>
        </w:rPr>
        <w:t>2023年度新购置车辆0台，共计0万元；新购置单位价值100万元（含）以上的设备0台（套），共计0万元。截至12月31日，河南寨水务站共有车辆2台，共计27.28万元(其中越野车19.58万元，福田皮卡7.70万元)；单位价值100万元（含）以上的设备0台（套），共计0万元。</w:t>
      </w:r>
    </w:p>
    <w:p w14:paraId="0237348F">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1A56D757">
      <w:pPr>
        <w:ind w:firstLine="537" w:firstLineChars="192"/>
        <w:rPr>
          <w:rFonts w:ascii="仿宋_GB2312" w:eastAsia="仿宋_GB2312"/>
          <w:sz w:val="28"/>
          <w:szCs w:val="28"/>
        </w:rPr>
      </w:pPr>
      <w:r>
        <w:rPr>
          <w:rFonts w:hint="eastAsia" w:ascii="仿宋_GB2312" w:eastAsia="仿宋_GB2312"/>
          <w:sz w:val="28"/>
          <w:szCs w:val="28"/>
        </w:rPr>
        <w:t>2023年度</w:t>
      </w:r>
      <w:r>
        <w:rPr>
          <w:rFonts w:ascii="仿宋_GB2312" w:eastAsia="仿宋_GB2312"/>
          <w:sz w:val="28"/>
          <w:szCs w:val="28"/>
        </w:rPr>
        <w:t>政府购买服务决算0</w:t>
      </w:r>
      <w:r>
        <w:rPr>
          <w:rFonts w:hint="eastAsia" w:ascii="仿宋_GB2312" w:eastAsia="仿宋_GB2312"/>
          <w:sz w:val="28"/>
          <w:szCs w:val="28"/>
        </w:rPr>
        <w:t>万元。</w:t>
      </w:r>
    </w:p>
    <w:p w14:paraId="608331FB">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131C8F14">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76F1B53E">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540D32B1">
      <w:pPr>
        <w:ind w:firstLine="560" w:firstLineChars="200"/>
        <w:rPr>
          <w:rFonts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24F888AB">
      <w:pPr>
        <w:ind w:firstLine="560" w:firstLineChars="200"/>
        <w:rPr>
          <w:rFonts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30477DAD">
      <w:pPr>
        <w:ind w:firstLine="420" w:firstLineChars="150"/>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2149FFC9">
      <w:pPr>
        <w:ind w:firstLine="420" w:firstLineChars="150"/>
        <w:rPr>
          <w:rFonts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66040AB7">
      <w:pPr>
        <w:ind w:firstLine="560" w:firstLineChars="200"/>
        <w:rPr>
          <w:rFonts w:hint="eastAsia" w:ascii="仿宋_GB2312" w:eastAsia="仿宋_GB2312"/>
          <w:sz w:val="28"/>
          <w:szCs w:val="28"/>
        </w:rPr>
      </w:pPr>
      <w:r>
        <w:rPr>
          <w:rFonts w:hint="eastAsia" w:ascii="仿宋_GB2312" w:eastAsia="仿宋_GB2312"/>
          <w:sz w:val="28"/>
          <w:szCs w:val="28"/>
        </w:rPr>
        <w:t>7.社会保障和就业支出（类）行政事业单位养老支出（款）事业单位离退休（项）：反映事业单位开支的离退休经费。</w:t>
      </w:r>
    </w:p>
    <w:p w14:paraId="32729E87">
      <w:pPr>
        <w:ind w:firstLine="560" w:firstLineChars="200"/>
        <w:rPr>
          <w:rFonts w:hint="eastAsia" w:ascii="仿宋_GB2312" w:eastAsia="仿宋_GB2312"/>
          <w:sz w:val="28"/>
          <w:szCs w:val="28"/>
        </w:rPr>
      </w:pPr>
      <w:r>
        <w:rPr>
          <w:rFonts w:hint="eastAsia" w:ascii="仿宋_GB2312" w:eastAsia="仿宋_GB2312"/>
          <w:sz w:val="28"/>
          <w:szCs w:val="28"/>
        </w:rPr>
        <w:t>8.社会保障和就业支出（类）行政事业单位养老支出（款）机关事业单位基本养老保险缴费支出（项）：反映机关事业单位实施养老保险制度由单位缴纳的基本养老保险费支出。</w:t>
      </w:r>
    </w:p>
    <w:p w14:paraId="05D2F630">
      <w:pPr>
        <w:ind w:firstLine="560" w:firstLineChars="200"/>
        <w:jc w:val="left"/>
        <w:rPr>
          <w:rFonts w:hint="eastAsia" w:ascii="仿宋_GB2312" w:eastAsia="仿宋_GB2312"/>
          <w:sz w:val="28"/>
          <w:szCs w:val="28"/>
        </w:rPr>
      </w:pPr>
      <w:r>
        <w:rPr>
          <w:rFonts w:hint="eastAsia" w:ascii="仿宋_GB2312" w:eastAsia="仿宋_GB2312"/>
          <w:sz w:val="28"/>
          <w:szCs w:val="28"/>
        </w:rPr>
        <w:t>9.社会保障和就业支出（类）行政事业单位养老支出（款）机关事业单位职业年金缴费支出（项）：反映机关事业单位实施养老保险制度由单位实际缴纳的职业年金支出。</w:t>
      </w:r>
    </w:p>
    <w:p w14:paraId="5FDCAA87">
      <w:pPr>
        <w:ind w:firstLine="560" w:firstLineChars="200"/>
        <w:jc w:val="left"/>
        <w:rPr>
          <w:rFonts w:hint="eastAsia" w:ascii="仿宋_GB2312" w:eastAsia="仿宋_GB2312"/>
          <w:sz w:val="28"/>
          <w:szCs w:val="28"/>
        </w:rPr>
      </w:pPr>
      <w:r>
        <w:rPr>
          <w:rFonts w:hint="eastAsia" w:ascii="仿宋_GB2312" w:eastAsia="仿宋_GB2312"/>
          <w:sz w:val="28"/>
          <w:szCs w:val="28"/>
        </w:rPr>
        <w:t>10.卫生健康支出（类）行政事业单位医疗（款）事业单位医疗（项）：反映财政部门安排的事业单位基本医疗保险缴费经费，未参加医疗保险的事业单位的公费医疗经费，按国家规定享受离休人员待遇的医疗经费。</w:t>
      </w:r>
    </w:p>
    <w:p w14:paraId="248A54BD">
      <w:pPr>
        <w:ind w:firstLine="560" w:firstLineChars="200"/>
        <w:jc w:val="left"/>
        <w:rPr>
          <w:rFonts w:hint="eastAsia" w:ascii="仿宋_GB2312" w:eastAsia="仿宋_GB2312"/>
          <w:sz w:val="28"/>
          <w:szCs w:val="28"/>
        </w:rPr>
      </w:pPr>
      <w:r>
        <w:rPr>
          <w:rFonts w:hint="eastAsia" w:ascii="仿宋_GB2312" w:eastAsia="仿宋_GB2312"/>
          <w:sz w:val="28"/>
          <w:szCs w:val="28"/>
        </w:rPr>
        <w:t>11.农林水支出（类）水利（款）水利工程运行与维护（项）：反映水利系统用于江、河、湖、滩等治理工程运行与维护方面的支出，以及纳入预算管理的水利工程管理单位的支出。</w:t>
      </w:r>
    </w:p>
    <w:p w14:paraId="6200BFE0">
      <w:pPr>
        <w:ind w:firstLine="560" w:firstLineChars="200"/>
        <w:jc w:val="left"/>
        <w:rPr>
          <w:rFonts w:hint="eastAsia" w:ascii="仿宋_GB2312" w:eastAsia="仿宋_GB2312"/>
          <w:sz w:val="28"/>
          <w:szCs w:val="28"/>
        </w:rPr>
      </w:pPr>
      <w:r>
        <w:rPr>
          <w:rFonts w:hint="eastAsia" w:ascii="仿宋_GB2312" w:eastAsia="仿宋_GB2312"/>
          <w:sz w:val="28"/>
          <w:szCs w:val="28"/>
        </w:rPr>
        <w:t>12.农林水支出（类）水利（款）其他水利支出（项）：反映除上述项目以外其他用于水利方面的支出。</w:t>
      </w:r>
    </w:p>
    <w:p w14:paraId="768B0481">
      <w:pPr>
        <w:ind w:firstLine="560" w:firstLineChars="200"/>
        <w:jc w:val="left"/>
        <w:rPr>
          <w:rFonts w:ascii="黑体" w:eastAsia="黑体"/>
          <w:sz w:val="32"/>
          <w:szCs w:val="32"/>
        </w:rPr>
      </w:pPr>
      <w:r>
        <w:rPr>
          <w:rFonts w:hint="eastAsia" w:ascii="仿宋_GB2312" w:eastAsia="仿宋_GB2312"/>
          <w:sz w:val="28"/>
          <w:szCs w:val="28"/>
        </w:rPr>
        <w:t>13.其他支出（类）其他支出（款）其他支出（项）：反映除上述项目以外其他不能划分到具体功能科目中的支出项目。</w:t>
      </w:r>
    </w:p>
    <w:p w14:paraId="2B8573E6">
      <w:pPr>
        <w:ind w:firstLine="640" w:firstLineChars="200"/>
        <w:jc w:val="center"/>
        <w:rPr>
          <w:rFonts w:ascii="黑体" w:eastAsia="黑体"/>
          <w:sz w:val="28"/>
          <w:szCs w:val="28"/>
          <w:highlight w:val="yellow"/>
        </w:rPr>
      </w:pPr>
      <w:r>
        <w:rPr>
          <w:rFonts w:hint="eastAsia" w:asciiTheme="majorEastAsia" w:hAnsiTheme="majorEastAsia" w:eastAsiaTheme="majorEastAsia" w:cstheme="majorEastAsia"/>
          <w:b/>
          <w:bCs/>
          <w:sz w:val="32"/>
          <w:szCs w:val="32"/>
        </w:rPr>
        <w:t>第四部分  2023年度部门绩效评价情况</w:t>
      </w:r>
    </w:p>
    <w:p w14:paraId="3462E8BB">
      <w:pPr>
        <w:numPr>
          <w:ilvl w:val="0"/>
          <w:numId w:val="2"/>
        </w:numPr>
        <w:rPr>
          <w:rFonts w:ascii="黑体" w:eastAsia="黑体"/>
          <w:sz w:val="28"/>
          <w:szCs w:val="28"/>
        </w:rPr>
      </w:pPr>
      <w:r>
        <w:rPr>
          <w:rFonts w:hint="eastAsia" w:ascii="黑体" w:eastAsia="黑体"/>
          <w:sz w:val="28"/>
          <w:szCs w:val="28"/>
        </w:rPr>
        <w:t>部门整体绩效评价报告</w:t>
      </w:r>
    </w:p>
    <w:p w14:paraId="54CB1050">
      <w:pPr>
        <w:spacing w:line="580" w:lineRule="exact"/>
        <w:ind w:firstLine="560" w:firstLineChars="200"/>
        <w:rPr>
          <w:rFonts w:ascii="仿宋_GB2312" w:hAnsi="仿宋_GB2312" w:eastAsia="仿宋_GB2312" w:cs="仿宋_GB2312"/>
          <w:color w:val="000000"/>
          <w:kern w:val="0"/>
          <w:sz w:val="28"/>
          <w:szCs w:val="28"/>
        </w:rPr>
      </w:pPr>
      <w:r>
        <w:rPr>
          <w:rFonts w:hint="eastAsia" w:ascii="黑体" w:hAnsi="黑体" w:eastAsia="黑体" w:cs="宋体"/>
          <w:color w:val="000000"/>
          <w:kern w:val="0"/>
          <w:sz w:val="28"/>
          <w:szCs w:val="28"/>
        </w:rPr>
        <w:t>（</w:t>
      </w:r>
      <w:r>
        <w:rPr>
          <w:rFonts w:hint="eastAsia" w:ascii="仿宋_GB2312" w:hAnsi="仿宋_GB2312" w:eastAsia="仿宋_GB2312" w:cs="仿宋_GB2312"/>
          <w:color w:val="000000"/>
          <w:kern w:val="0"/>
          <w:sz w:val="28"/>
          <w:szCs w:val="28"/>
        </w:rPr>
        <w:t>一）部门概况</w:t>
      </w:r>
    </w:p>
    <w:p w14:paraId="21C7245B">
      <w:pPr>
        <w:spacing w:line="580" w:lineRule="exact"/>
        <w:ind w:firstLine="560" w:firstLineChars="200"/>
        <w:rPr>
          <w:rFonts w:ascii="仿宋_GB2312" w:hAnsi="仿宋" w:eastAsia="仿宋_GB2312"/>
          <w:sz w:val="28"/>
          <w:szCs w:val="28"/>
        </w:rPr>
      </w:pPr>
      <w:r>
        <w:rPr>
          <w:rFonts w:hint="eastAsia" w:ascii="仿宋_GB2312" w:hAnsi="仿宋_GB2312" w:eastAsia="仿宋_GB2312" w:cs="仿宋_GB2312"/>
          <w:sz w:val="28"/>
          <w:szCs w:val="28"/>
        </w:rPr>
        <w:t>1、</w:t>
      </w:r>
      <w:r>
        <w:rPr>
          <w:rFonts w:hint="eastAsia" w:ascii="仿宋_GB2312" w:hAnsi="仿宋" w:eastAsia="仿宋_GB2312"/>
          <w:sz w:val="28"/>
          <w:szCs w:val="28"/>
        </w:rPr>
        <w:t xml:space="preserve">负责果园街道、河南寨镇、十里堡镇管辖区内的供水、节水、排水、污水处理、水环境保护以及水旱灾害防御、水利工程建设等事务性工作。 </w:t>
      </w:r>
    </w:p>
    <w:p w14:paraId="3E1B1D9D">
      <w:pPr>
        <w:spacing w:line="580" w:lineRule="exact"/>
        <w:ind w:firstLine="560" w:firstLineChars="200"/>
        <w:rPr>
          <w:rFonts w:ascii="仿宋_GB2312" w:hAnsi="仿宋_GB2312" w:eastAsia="仿宋_GB2312" w:cs="仿宋_GB2312"/>
          <w:sz w:val="28"/>
          <w:szCs w:val="28"/>
        </w:rPr>
      </w:pPr>
      <w:r>
        <w:rPr>
          <w:rFonts w:hint="eastAsia" w:ascii="仿宋_GB2312" w:hAnsi="仿宋" w:eastAsia="仿宋_GB2312"/>
          <w:sz w:val="28"/>
          <w:szCs w:val="28"/>
        </w:rPr>
        <w:t>北京市密云区水务局河南寨水务站共有1个预算单位，单位性质属于财政补助事业单位。</w:t>
      </w:r>
      <w:r>
        <w:rPr>
          <w:rFonts w:hint="eastAsia" w:ascii="仿宋_GB2312" w:hAnsi="宋体" w:eastAsia="仿宋_GB2312"/>
          <w:sz w:val="28"/>
          <w:szCs w:val="28"/>
        </w:rPr>
        <w:t>单位内设党建组、业务组、财务组、办公室。</w:t>
      </w:r>
    </w:p>
    <w:p w14:paraId="55177926">
      <w:pPr>
        <w:numPr>
          <w:ilvl w:val="0"/>
          <w:numId w:val="3"/>
        </w:numPr>
        <w:spacing w:line="58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 部门整体绩效目标设立情况</w:t>
      </w:r>
    </w:p>
    <w:p w14:paraId="71DF6934">
      <w:pPr>
        <w:ind w:firstLine="560" w:firstLineChars="200"/>
        <w:rPr>
          <w:rFonts w:ascii="仿宋_GB2312" w:eastAsia="仿宋_GB2312"/>
          <w:sz w:val="28"/>
          <w:szCs w:val="28"/>
        </w:rPr>
      </w:pPr>
      <w:r>
        <w:rPr>
          <w:rFonts w:hint="eastAsia" w:ascii="仿宋_GB2312" w:eastAsia="仿宋_GB2312"/>
          <w:sz w:val="28"/>
          <w:szCs w:val="28"/>
        </w:rPr>
        <w:t>绩效目标：保障人员经费支出；保障单位正常运转；保障单位业务开展。</w:t>
      </w:r>
    </w:p>
    <w:p w14:paraId="37290407">
      <w:pPr>
        <w:ind w:firstLine="560" w:firstLineChars="200"/>
        <w:rPr>
          <w:rFonts w:ascii="仿宋_GB2312" w:eastAsia="仿宋_GB2312"/>
          <w:sz w:val="28"/>
          <w:szCs w:val="28"/>
        </w:rPr>
      </w:pPr>
      <w:r>
        <w:rPr>
          <w:rFonts w:hint="eastAsia" w:ascii="仿宋_GB2312" w:eastAsia="仿宋_GB2312"/>
          <w:sz w:val="28"/>
          <w:szCs w:val="28"/>
        </w:rPr>
        <w:t>组织机构方面，我站成立了绩效跟踪工作领导小组，由分管副站长为组长，站长及财务相关人员为组员的领导小组，负责此项工作的开展和落实。提高资金使用效益和项目资金财务管理水平，确保项目顺利完成。</w:t>
      </w:r>
    </w:p>
    <w:p w14:paraId="2048011B">
      <w:pPr>
        <w:ind w:firstLine="560" w:firstLineChars="200"/>
        <w:rPr>
          <w:rFonts w:ascii="仿宋_GB2312" w:eastAsia="仿宋_GB2312"/>
          <w:sz w:val="28"/>
          <w:szCs w:val="28"/>
        </w:rPr>
      </w:pPr>
      <w:r>
        <w:rPr>
          <w:rFonts w:hint="eastAsia" w:ascii="仿宋_GB2312" w:eastAsia="仿宋_GB2312"/>
          <w:sz w:val="28"/>
          <w:szCs w:val="28"/>
        </w:rPr>
        <w:t xml:space="preserve">管理情况，严格按照有关文件精神，进一步完善制度，规范审批程序，手续完备，档案管理规范。在项目资金发放工作中，建立了符合财务会计制度的项目资金管理制度，专项管理、拨付规范、发放及时。 </w:t>
      </w:r>
    </w:p>
    <w:p w14:paraId="0F4A1A8C">
      <w:pPr>
        <w:ind w:firstLine="560" w:firstLineChars="200"/>
        <w:rPr>
          <w:rFonts w:ascii="仿宋_GB2312" w:eastAsia="仿宋_GB2312"/>
          <w:sz w:val="28"/>
          <w:szCs w:val="28"/>
        </w:rPr>
      </w:pPr>
      <w:r>
        <w:rPr>
          <w:rFonts w:hint="eastAsia" w:ascii="仿宋_GB2312" w:eastAsia="仿宋_GB2312"/>
          <w:sz w:val="28"/>
          <w:szCs w:val="28"/>
        </w:rPr>
        <w:t>实施情况，严格资金管理，切实保障项目资金的安全、规范；在资金拨付和发放方面，严格审批程序，确保手续完备。</w:t>
      </w:r>
    </w:p>
    <w:p w14:paraId="0593C982">
      <w:pPr>
        <w:spacing w:line="580" w:lineRule="exact"/>
        <w:ind w:firstLine="560" w:firstLineChars="20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（二）当年预算执行情况</w:t>
      </w:r>
    </w:p>
    <w:p w14:paraId="23043CF3">
      <w:pPr>
        <w:spacing w:line="580" w:lineRule="exact"/>
        <w:ind w:firstLine="560" w:firstLineChars="20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2023年全年预算数</w:t>
      </w:r>
      <w:r>
        <w:rPr>
          <w:rFonts w:hint="eastAsia" w:ascii="仿宋_GB2312" w:hAnsi="仿宋_GB2312" w:eastAsia="仿宋_GB2312" w:cs="仿宋_GB2312"/>
          <w:kern w:val="0"/>
          <w:sz w:val="28"/>
          <w:szCs w:val="28"/>
        </w:rPr>
        <w:t>373.28</w:t>
      </w:r>
      <w:r>
        <w:rPr>
          <w:rFonts w:hint="eastAsia" w:ascii="仿宋_GB2312" w:hAnsi="仿宋_GB2312" w:eastAsia="仿宋_GB2312" w:cs="仿宋_GB2312"/>
          <w:color w:val="000000"/>
          <w:kern w:val="0"/>
          <w:sz w:val="28"/>
          <w:szCs w:val="28"/>
        </w:rPr>
        <w:t>万元，其中，基本支出预算数</w:t>
      </w:r>
      <w:r>
        <w:rPr>
          <w:rFonts w:hint="eastAsia" w:ascii="仿宋_GB2312" w:hAnsi="仿宋_GB2312" w:eastAsia="仿宋_GB2312" w:cs="仿宋_GB2312"/>
          <w:kern w:val="0"/>
          <w:sz w:val="28"/>
          <w:szCs w:val="28"/>
        </w:rPr>
        <w:t>373.28</w:t>
      </w:r>
      <w:r>
        <w:rPr>
          <w:rFonts w:hint="eastAsia" w:ascii="仿宋_GB2312" w:hAnsi="仿宋_GB2312" w:eastAsia="仿宋_GB2312" w:cs="仿宋_GB2312"/>
          <w:color w:val="000000"/>
          <w:kern w:val="0"/>
          <w:sz w:val="28"/>
          <w:szCs w:val="28"/>
        </w:rPr>
        <w:t>万元，项目支出预算数0万元，其他支出预算数</w:t>
      </w:r>
      <w:r>
        <w:rPr>
          <w:rFonts w:hint="eastAsia" w:ascii="仿宋_GB2312" w:hAnsi="仿宋_GB2312" w:eastAsia="仿宋_GB2312" w:cs="仿宋_GB2312"/>
          <w:kern w:val="0"/>
          <w:sz w:val="28"/>
          <w:szCs w:val="28"/>
        </w:rPr>
        <w:t>0.00</w:t>
      </w:r>
      <w:r>
        <w:rPr>
          <w:rFonts w:hint="eastAsia" w:ascii="仿宋_GB2312" w:hAnsi="仿宋_GB2312" w:eastAsia="仿宋_GB2312" w:cs="仿宋_GB2312"/>
          <w:color w:val="000000"/>
          <w:kern w:val="0"/>
          <w:sz w:val="28"/>
          <w:szCs w:val="28"/>
        </w:rPr>
        <w:t>万元。资金总体支出</w:t>
      </w:r>
      <w:r>
        <w:rPr>
          <w:rFonts w:hint="eastAsia" w:ascii="仿宋_GB2312" w:hAnsi="仿宋_GB2312" w:eastAsia="仿宋_GB2312" w:cs="仿宋_GB2312"/>
          <w:kern w:val="0"/>
          <w:sz w:val="28"/>
          <w:szCs w:val="28"/>
        </w:rPr>
        <w:t>373.28</w:t>
      </w:r>
      <w:r>
        <w:rPr>
          <w:rFonts w:hint="eastAsia" w:ascii="仿宋_GB2312" w:hAnsi="仿宋_GB2312" w:eastAsia="仿宋_GB2312" w:cs="仿宋_GB2312"/>
          <w:color w:val="000000"/>
          <w:kern w:val="0"/>
          <w:sz w:val="28"/>
          <w:szCs w:val="28"/>
        </w:rPr>
        <w:t>万元，其中，基本支出</w:t>
      </w:r>
      <w:r>
        <w:rPr>
          <w:rFonts w:hint="eastAsia" w:ascii="仿宋_GB2312" w:hAnsi="仿宋_GB2312" w:eastAsia="仿宋_GB2312" w:cs="仿宋_GB2312"/>
          <w:kern w:val="0"/>
          <w:sz w:val="28"/>
          <w:szCs w:val="28"/>
        </w:rPr>
        <w:t>373.28</w:t>
      </w:r>
      <w:r>
        <w:rPr>
          <w:rFonts w:hint="eastAsia" w:ascii="仿宋_GB2312" w:hAnsi="仿宋_GB2312" w:eastAsia="仿宋_GB2312" w:cs="仿宋_GB2312"/>
          <w:color w:val="000000"/>
          <w:kern w:val="0"/>
          <w:sz w:val="28"/>
          <w:szCs w:val="28"/>
        </w:rPr>
        <w:t>万元，项目支出</w:t>
      </w:r>
      <w:r>
        <w:rPr>
          <w:rFonts w:hint="eastAsia" w:ascii="仿宋_GB2312" w:hAnsi="仿宋_GB2312" w:eastAsia="仿宋_GB2312" w:cs="仿宋_GB2312"/>
          <w:kern w:val="0"/>
          <w:sz w:val="28"/>
          <w:szCs w:val="28"/>
        </w:rPr>
        <w:t>0</w:t>
      </w:r>
      <w:r>
        <w:rPr>
          <w:rFonts w:hint="eastAsia" w:ascii="仿宋_GB2312" w:hAnsi="仿宋_GB2312" w:eastAsia="仿宋_GB2312" w:cs="仿宋_GB2312"/>
          <w:color w:val="000000"/>
          <w:kern w:val="0"/>
          <w:sz w:val="28"/>
          <w:szCs w:val="28"/>
        </w:rPr>
        <w:t>万元，其他支出</w:t>
      </w:r>
      <w:r>
        <w:rPr>
          <w:rFonts w:hint="eastAsia" w:ascii="仿宋_GB2312" w:hAnsi="仿宋_GB2312" w:eastAsia="仿宋_GB2312" w:cs="仿宋_GB2312"/>
          <w:kern w:val="0"/>
          <w:sz w:val="28"/>
          <w:szCs w:val="28"/>
        </w:rPr>
        <w:t>0.00</w:t>
      </w:r>
      <w:r>
        <w:rPr>
          <w:rFonts w:hint="eastAsia" w:ascii="仿宋_GB2312" w:hAnsi="仿宋_GB2312" w:eastAsia="仿宋_GB2312" w:cs="仿宋_GB2312"/>
          <w:color w:val="000000"/>
          <w:kern w:val="0"/>
          <w:sz w:val="28"/>
          <w:szCs w:val="28"/>
        </w:rPr>
        <w:t>万元。预算执行率为</w:t>
      </w:r>
      <w:r>
        <w:rPr>
          <w:rFonts w:hint="eastAsia" w:ascii="仿宋_GB2312" w:hAnsi="仿宋_GB2312" w:eastAsia="仿宋_GB2312" w:cs="仿宋_GB2312"/>
          <w:kern w:val="0"/>
          <w:sz w:val="28"/>
          <w:szCs w:val="28"/>
        </w:rPr>
        <w:t>100%</w:t>
      </w:r>
      <w:r>
        <w:rPr>
          <w:rFonts w:hint="eastAsia" w:ascii="仿宋_GB2312" w:hAnsi="仿宋_GB2312" w:eastAsia="仿宋_GB2312" w:cs="仿宋_GB2312"/>
          <w:color w:val="000000"/>
          <w:kern w:val="0"/>
          <w:sz w:val="28"/>
          <w:szCs w:val="28"/>
        </w:rPr>
        <w:t>。</w:t>
      </w:r>
    </w:p>
    <w:p w14:paraId="3190F4D7">
      <w:pPr>
        <w:spacing w:line="580" w:lineRule="exact"/>
        <w:ind w:left="105" w:leftChars="50" w:firstLine="420" w:firstLineChars="15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（三）整体绩效目标实现情况</w:t>
      </w:r>
    </w:p>
    <w:p w14:paraId="5C0E2679">
      <w:pPr>
        <w:spacing w:line="580" w:lineRule="exact"/>
        <w:ind w:left="105" w:leftChars="50" w:firstLine="420" w:firstLineChars="150"/>
        <w:rPr>
          <w:rFonts w:ascii="仿宋_GB2312" w:hAnsi="仿宋_GB2312" w:eastAsia="仿宋_GB2312" w:cs="仿宋_GB2312"/>
          <w:color w:val="000000"/>
          <w:kern w:val="0"/>
          <w:sz w:val="28"/>
          <w:szCs w:val="28"/>
          <w:lang w:val="zh-CN" w:bidi="zh-CN"/>
        </w:rPr>
      </w:pPr>
      <w:r>
        <w:rPr>
          <w:rFonts w:hint="eastAsia" w:ascii="仿宋_GB2312" w:hAnsi="仿宋_GB2312" w:eastAsia="仿宋_GB2312" w:cs="仿宋_GB2312"/>
          <w:color w:val="000000"/>
          <w:kern w:val="0"/>
          <w:sz w:val="28"/>
          <w:szCs w:val="28"/>
          <w:lang w:val="zh-CN" w:bidi="zh-CN"/>
        </w:rPr>
        <w:t>1.产出完成情况分析：202</w:t>
      </w:r>
      <w:r>
        <w:rPr>
          <w:rFonts w:hint="eastAsia" w:ascii="仿宋_GB2312" w:hAnsi="仿宋_GB2312" w:eastAsia="仿宋_GB2312" w:cs="仿宋_GB2312"/>
          <w:color w:val="000000"/>
          <w:kern w:val="0"/>
          <w:sz w:val="28"/>
          <w:szCs w:val="28"/>
          <w:lang w:bidi="zh-CN"/>
        </w:rPr>
        <w:t>3</w:t>
      </w:r>
      <w:r>
        <w:rPr>
          <w:rFonts w:hint="eastAsia" w:ascii="仿宋_GB2312" w:hAnsi="仿宋_GB2312" w:eastAsia="仿宋_GB2312" w:cs="仿宋_GB2312"/>
          <w:color w:val="000000"/>
          <w:kern w:val="0"/>
          <w:sz w:val="28"/>
          <w:szCs w:val="28"/>
          <w:lang w:val="zh-CN" w:bidi="zh-CN"/>
        </w:rPr>
        <w:t xml:space="preserve">年我单位按照预算执行，完成了基本支出与项目支出，保证水务站日常工作业务的正常运行。                               </w:t>
      </w:r>
    </w:p>
    <w:p w14:paraId="371E6E11">
      <w:pPr>
        <w:snapToGrid w:val="0"/>
        <w:spacing w:line="520" w:lineRule="exact"/>
        <w:ind w:firstLine="560" w:firstLineChars="200"/>
        <w:rPr>
          <w:rFonts w:ascii="仿宋_GB2312" w:hAnsi="仿宋" w:eastAsia="仿宋_GB2312" w:cs="仿宋"/>
          <w:spacing w:val="-15"/>
          <w:sz w:val="28"/>
          <w:szCs w:val="28"/>
        </w:rPr>
      </w:pPr>
      <w:r>
        <w:rPr>
          <w:rFonts w:hint="eastAsia" w:ascii="仿宋_GB2312" w:hAnsi="仿宋_GB2312" w:eastAsia="仿宋_GB2312" w:cs="仿宋_GB2312"/>
          <w:color w:val="000000"/>
          <w:kern w:val="0"/>
          <w:sz w:val="28"/>
          <w:szCs w:val="28"/>
          <w:lang w:val="zh-CN" w:bidi="zh-CN"/>
        </w:rPr>
        <w:t>2.效果实现情况分析：保证了水务站对果园街道、</w:t>
      </w:r>
      <w:r>
        <w:rPr>
          <w:rFonts w:hint="eastAsia" w:ascii="仿宋_GB2312" w:hAnsi="仿宋" w:eastAsia="仿宋_GB2312" w:cs="仿宋"/>
          <w:spacing w:val="-15"/>
          <w:sz w:val="28"/>
          <w:szCs w:val="28"/>
        </w:rPr>
        <w:t>河南寨镇、十里堡镇辖区内的供水、节水、排水、污水处理、水环境保护以及水旱灾害防御、水利工程建设等事务性工作的正常运行。</w:t>
      </w:r>
    </w:p>
    <w:p w14:paraId="234F7802">
      <w:pPr>
        <w:ind w:firstLine="560" w:firstLineChars="200"/>
        <w:rPr>
          <w:rFonts w:ascii="仿宋_GB2312" w:eastAsia="仿宋_GB2312"/>
          <w:sz w:val="28"/>
          <w:szCs w:val="28"/>
        </w:rPr>
      </w:pPr>
      <w:r>
        <w:rPr>
          <w:rFonts w:hint="eastAsia" w:ascii="仿宋_GB2312" w:hAnsi="仿宋_GB2312" w:eastAsia="仿宋_GB2312" w:cs="仿宋_GB2312"/>
          <w:color w:val="000000"/>
          <w:kern w:val="0"/>
          <w:sz w:val="28"/>
          <w:szCs w:val="28"/>
        </w:rPr>
        <w:t>（四）预算管理情况分析</w:t>
      </w:r>
    </w:p>
    <w:p w14:paraId="2C09B80D">
      <w:pPr>
        <w:spacing w:line="580" w:lineRule="exact"/>
        <w:ind w:left="105" w:leftChars="50" w:firstLine="420" w:firstLineChars="150"/>
        <w:rPr>
          <w:rFonts w:ascii="仿宋_GB2312" w:hAnsi="仿宋_GB2312" w:eastAsia="仿宋_GB2312" w:cs="仿宋_GB2312"/>
          <w:color w:val="000000"/>
          <w:kern w:val="0"/>
          <w:sz w:val="28"/>
          <w:szCs w:val="28"/>
        </w:rPr>
      </w:pPr>
      <w:r>
        <w:rPr>
          <w:rFonts w:hint="eastAsia" w:ascii="仿宋_GB2312" w:hAnsi="仿宋_GB2312" w:eastAsia="仿宋_GB2312" w:cs="仿宋_GB2312"/>
          <w:sz w:val="28"/>
          <w:szCs w:val="28"/>
        </w:rPr>
        <w:t>按照年初预算安排全年资金，严格管理资金支付流程、手续，按要求及时追加预算，严格预算执行，杜绝超预算费用开支，加强对项目资金的监管，按照工程进度支付相应款项，不存在无预算、超预算支出的情况。</w:t>
      </w:r>
    </w:p>
    <w:p w14:paraId="46DEC1BD">
      <w:pPr>
        <w:spacing w:line="580" w:lineRule="exact"/>
        <w:ind w:left="105" w:leftChars="50" w:firstLine="420" w:firstLineChars="150"/>
        <w:rPr>
          <w:rFonts w:ascii="仿宋_GB2312" w:hAnsi="仿宋_GB2312" w:eastAsia="仿宋_GB2312" w:cs="仿宋_GB2312"/>
          <w:sz w:val="28"/>
          <w:szCs w:val="28"/>
        </w:rPr>
      </w:pPr>
      <w:r>
        <w:rPr>
          <w:rFonts w:hint="eastAsia" w:ascii="仿宋_GB2312" w:hAnsi="仿宋_GB2312" w:eastAsia="仿宋_GB2312" w:cs="仿宋_GB2312"/>
          <w:sz w:val="28"/>
          <w:szCs w:val="28"/>
        </w:rPr>
        <w:t>（五）总体评价结论</w:t>
      </w:r>
    </w:p>
    <w:p w14:paraId="7C1168B0">
      <w:pPr>
        <w:spacing w:line="580" w:lineRule="exact"/>
        <w:ind w:firstLine="560" w:firstLineChars="20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2023年度我单位严格按着预算执行。</w:t>
      </w:r>
    </w:p>
    <w:p w14:paraId="08662619">
      <w:pPr>
        <w:spacing w:line="580" w:lineRule="exact"/>
        <w:ind w:firstLine="560" w:firstLineChars="20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（六）措施建议</w:t>
      </w:r>
    </w:p>
    <w:p w14:paraId="5336EAE6">
      <w:pPr>
        <w:spacing w:line="580" w:lineRule="exact"/>
        <w:ind w:firstLine="560" w:firstLineChars="200"/>
        <w:rPr>
          <w:rFonts w:ascii="仿宋_GB2312" w:hAnsi="仿宋_GB2312" w:eastAsia="仿宋_GB2312" w:cs="仿宋_GB2312"/>
          <w:color w:val="000000"/>
          <w:kern w:val="0"/>
          <w:sz w:val="28"/>
          <w:szCs w:val="28"/>
        </w:rPr>
      </w:pPr>
      <w:r>
        <w:rPr>
          <w:rFonts w:hint="eastAsia" w:ascii="仿宋_GB2312" w:hAnsi="仿宋_GB2312" w:eastAsia="仿宋_GB2312" w:cs="仿宋_GB2312"/>
          <w:sz w:val="28"/>
          <w:szCs w:val="28"/>
        </w:rPr>
        <w:t>严格资金管理，规范使用资金完善制度，创新机制，加强管理，强化监督，保证资金使用管理的规范性、安全性和有效性，提高资金使用效率。</w:t>
      </w:r>
    </w:p>
    <w:p w14:paraId="68C0D3CF">
      <w:pPr>
        <w:numPr>
          <w:ilvl w:val="0"/>
          <w:numId w:val="2"/>
        </w:numPr>
        <w:rPr>
          <w:rFonts w:ascii="黑体" w:eastAsia="黑体"/>
          <w:sz w:val="28"/>
          <w:szCs w:val="28"/>
        </w:rPr>
      </w:pPr>
      <w:r>
        <w:rPr>
          <w:rFonts w:hint="eastAsia" w:ascii="黑体" w:eastAsia="黑体"/>
          <w:sz w:val="28"/>
          <w:szCs w:val="28"/>
        </w:rPr>
        <w:t>项目支出绩效评价报告</w:t>
      </w:r>
    </w:p>
    <w:p w14:paraId="3B1EE0B4">
      <w:pPr>
        <w:tabs>
          <w:tab w:val="left" w:pos="1276"/>
        </w:tabs>
        <w:spacing w:line="560" w:lineRule="exact"/>
        <w:ind w:firstLine="640" w:firstLineChars="200"/>
        <w:rPr>
          <w:rFonts w:ascii="仿宋" w:hAnsi="仿宋" w:eastAsia="仿宋" w:cs="黑体"/>
          <w:color w:val="000000"/>
          <w:sz w:val="32"/>
          <w:szCs w:val="32"/>
          <w:lang w:val="zh-TW"/>
        </w:rPr>
      </w:pPr>
      <w:r>
        <w:rPr>
          <w:rFonts w:hint="eastAsia" w:ascii="仿宋" w:hAnsi="仿宋" w:eastAsia="仿宋" w:cs="黑体"/>
          <w:color w:val="000000"/>
          <w:sz w:val="32"/>
          <w:szCs w:val="32"/>
          <w:lang w:val="zh-TW"/>
        </w:rPr>
        <w:t>我单位2023年共计支出项目资金0万元，因此本年度我单位无需做项目支出绩效评价报告。</w:t>
      </w:r>
    </w:p>
    <w:p w14:paraId="2442C7E3">
      <w:pPr>
        <w:numPr>
          <w:ilvl w:val="0"/>
          <w:numId w:val="2"/>
        </w:numPr>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p>
    <w:p w14:paraId="279BDAE1">
      <w:pPr>
        <w:ind w:left="1280"/>
        <w:rPr>
          <w:rFonts w:ascii="黑体" w:eastAsia="黑体"/>
          <w:sz w:val="28"/>
          <w:szCs w:val="28"/>
        </w:rPr>
      </w:pPr>
      <w:r>
        <w:rPr>
          <w:rFonts w:hint="eastAsia" w:ascii="仿宋_GB2312" w:eastAsia="仿宋_GB2312"/>
          <w:sz w:val="28"/>
          <w:szCs w:val="28"/>
        </w:rPr>
        <w:t>单位无此类项目</w:t>
      </w:r>
    </w:p>
    <w:p w14:paraId="3F04D731">
      <w:pPr>
        <w:ind w:firstLine="560" w:firstLineChars="200"/>
        <w:rPr>
          <w:rFonts w:ascii="黑体" w:eastAsia="黑体"/>
          <w:sz w:val="28"/>
          <w:szCs w:val="28"/>
        </w:rPr>
      </w:pPr>
      <w:r>
        <w:rPr>
          <w:rFonts w:hint="eastAsia" w:ascii="黑体" w:eastAsia="黑体"/>
          <w:sz w:val="28"/>
          <w:szCs w:val="28"/>
        </w:rPr>
        <w:t>四、中央对北京转移支付预算执行情况绩效自评报告</w:t>
      </w:r>
    </w:p>
    <w:p w14:paraId="791FB65C">
      <w:pPr>
        <w:ind w:left="1280"/>
        <w:rPr>
          <w:rFonts w:ascii="黑体" w:eastAsia="黑体"/>
          <w:sz w:val="28"/>
          <w:szCs w:val="28"/>
        </w:rPr>
      </w:pPr>
      <w:r>
        <w:rPr>
          <w:rFonts w:hint="eastAsia" w:ascii="仿宋_GB2312" w:eastAsia="仿宋_GB2312"/>
          <w:sz w:val="28"/>
          <w:szCs w:val="28"/>
        </w:rPr>
        <w:t>单位无此类项目</w:t>
      </w:r>
    </w:p>
    <w:p w14:paraId="5E30DE3E">
      <w:pPr>
        <w:pStyle w:val="2"/>
        <w:ind w:left="0" w:leftChars="0" w:firstLine="0" w:firstLineChars="0"/>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C33680">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4</w:t>
    </w:r>
    <w:r>
      <w:fldChar w:fldCharType="end"/>
    </w:r>
  </w:p>
  <w:p w14:paraId="17874559">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6021CF">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25</w:t>
    </w:r>
    <w:r>
      <w:fldChar w:fldCharType="end"/>
    </w:r>
  </w:p>
  <w:p w14:paraId="45451AD7">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206F3D">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1EAA7752">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3DE7F2B"/>
    <w:multiLevelType w:val="multilevel"/>
    <w:tmpl w:val="03DE7F2B"/>
    <w:lvl w:ilvl="0" w:tentative="0">
      <w:start w:val="2"/>
      <w:numFmt w:val="decimal"/>
      <w:lvlText w:val="%1、"/>
      <w:lvlJc w:val="left"/>
      <w:pPr>
        <w:ind w:left="1440" w:hanging="720"/>
      </w:pPr>
      <w:rPr>
        <w:rFonts w:hint="default"/>
      </w:r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abstractNum w:abstractNumId="1">
    <w:nsid w:val="24B01A70"/>
    <w:multiLevelType w:val="multilevel"/>
    <w:tmpl w:val="24B01A70"/>
    <w:lvl w:ilvl="0" w:tentative="0">
      <w:start w:val="1"/>
      <w:numFmt w:val="decimal"/>
      <w:lvlText w:val="%1."/>
      <w:lvlJc w:val="left"/>
      <w:pPr>
        <w:ind w:left="960" w:hanging="360"/>
      </w:pPr>
      <w:rPr>
        <w:rFonts w:hint="default"/>
      </w:rPr>
    </w:lvl>
    <w:lvl w:ilvl="1" w:tentative="0">
      <w:start w:val="1"/>
      <w:numFmt w:val="lowerLetter"/>
      <w:lvlText w:val="%2)"/>
      <w:lvlJc w:val="left"/>
      <w:pPr>
        <w:ind w:left="1440" w:hanging="420"/>
      </w:pPr>
    </w:lvl>
    <w:lvl w:ilvl="2" w:tentative="0">
      <w:start w:val="1"/>
      <w:numFmt w:val="lowerRoman"/>
      <w:lvlText w:val="%3."/>
      <w:lvlJc w:val="right"/>
      <w:pPr>
        <w:ind w:left="1860" w:hanging="420"/>
      </w:pPr>
    </w:lvl>
    <w:lvl w:ilvl="3" w:tentative="0">
      <w:start w:val="1"/>
      <w:numFmt w:val="decimal"/>
      <w:lvlText w:val="%4."/>
      <w:lvlJc w:val="left"/>
      <w:pPr>
        <w:ind w:left="2280" w:hanging="420"/>
      </w:pPr>
    </w:lvl>
    <w:lvl w:ilvl="4" w:tentative="0">
      <w:start w:val="1"/>
      <w:numFmt w:val="lowerLetter"/>
      <w:lvlText w:val="%5)"/>
      <w:lvlJc w:val="left"/>
      <w:pPr>
        <w:ind w:left="2700" w:hanging="420"/>
      </w:pPr>
    </w:lvl>
    <w:lvl w:ilvl="5" w:tentative="0">
      <w:start w:val="1"/>
      <w:numFmt w:val="lowerRoman"/>
      <w:lvlText w:val="%6."/>
      <w:lvlJc w:val="right"/>
      <w:pPr>
        <w:ind w:left="3120" w:hanging="420"/>
      </w:pPr>
    </w:lvl>
    <w:lvl w:ilvl="6" w:tentative="0">
      <w:start w:val="1"/>
      <w:numFmt w:val="decimal"/>
      <w:lvlText w:val="%7."/>
      <w:lvlJc w:val="left"/>
      <w:pPr>
        <w:ind w:left="3540" w:hanging="420"/>
      </w:pPr>
    </w:lvl>
    <w:lvl w:ilvl="7" w:tentative="0">
      <w:start w:val="1"/>
      <w:numFmt w:val="lowerLetter"/>
      <w:lvlText w:val="%8)"/>
      <w:lvlJc w:val="left"/>
      <w:pPr>
        <w:ind w:left="3960" w:hanging="420"/>
      </w:pPr>
    </w:lvl>
    <w:lvl w:ilvl="8" w:tentative="0">
      <w:start w:val="1"/>
      <w:numFmt w:val="lowerRoman"/>
      <w:lvlText w:val="%9."/>
      <w:lvlJc w:val="right"/>
      <w:pPr>
        <w:ind w:left="4380" w:hanging="420"/>
      </w:pPr>
    </w:lvl>
  </w:abstractNum>
  <w:abstractNum w:abstractNumId="2">
    <w:nsid w:val="742F6F3F"/>
    <w:multiLevelType w:val="multilevel"/>
    <w:tmpl w:val="742F6F3F"/>
    <w:lvl w:ilvl="0" w:tentative="0">
      <w:start w:val="1"/>
      <w:numFmt w:val="japaneseCounting"/>
      <w:lvlText w:val="%1、"/>
      <w:lvlJc w:val="left"/>
      <w:pPr>
        <w:ind w:left="1280" w:hanging="720"/>
      </w:pPr>
      <w:rPr>
        <w:rFonts w:hint="default"/>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FhMDlmODM4NDM3ZTUzZTJhOWRjZWIxNmVkMjQxNTM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86548"/>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23966"/>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958D0"/>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517"/>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07F29"/>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1383"/>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98"/>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475F3"/>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476A"/>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5CAA"/>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D77F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2FB2"/>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04A8"/>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E7BB6"/>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475DE"/>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39E7"/>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E74B8"/>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43BE"/>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4389"/>
    <w:rsid w:val="00C97B4D"/>
    <w:rsid w:val="00CA5602"/>
    <w:rsid w:val="00CA5CA9"/>
    <w:rsid w:val="00CA78E2"/>
    <w:rsid w:val="00CB1BBE"/>
    <w:rsid w:val="00CB65DB"/>
    <w:rsid w:val="00CB6BD9"/>
    <w:rsid w:val="00CC293A"/>
    <w:rsid w:val="00CE19F6"/>
    <w:rsid w:val="00CE5DFC"/>
    <w:rsid w:val="00CE6B76"/>
    <w:rsid w:val="00CF1464"/>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3F3D"/>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0E4C"/>
    <w:rsid w:val="00E24371"/>
    <w:rsid w:val="00E243AB"/>
    <w:rsid w:val="00E26641"/>
    <w:rsid w:val="00E2778F"/>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446F"/>
    <w:rsid w:val="00E75CAD"/>
    <w:rsid w:val="00E76922"/>
    <w:rsid w:val="00E8595B"/>
    <w:rsid w:val="00E8668E"/>
    <w:rsid w:val="00E915EC"/>
    <w:rsid w:val="00E94D22"/>
    <w:rsid w:val="00EA11B1"/>
    <w:rsid w:val="00EA2224"/>
    <w:rsid w:val="00EA7194"/>
    <w:rsid w:val="00EB1329"/>
    <w:rsid w:val="00EB1BDA"/>
    <w:rsid w:val="00EB2987"/>
    <w:rsid w:val="00EB2D75"/>
    <w:rsid w:val="00EB34BE"/>
    <w:rsid w:val="00EB571A"/>
    <w:rsid w:val="00EC2804"/>
    <w:rsid w:val="00EC6117"/>
    <w:rsid w:val="00EC6138"/>
    <w:rsid w:val="00ED090A"/>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4D4C"/>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C73C1"/>
    <w:rsid w:val="00FD1162"/>
    <w:rsid w:val="00FD2232"/>
    <w:rsid w:val="00FD4AE7"/>
    <w:rsid w:val="00FD65A9"/>
    <w:rsid w:val="00FD7508"/>
    <w:rsid w:val="00FE1E51"/>
    <w:rsid w:val="00FE2496"/>
    <w:rsid w:val="00FE6A2B"/>
    <w:rsid w:val="00FF0275"/>
    <w:rsid w:val="00FF07B3"/>
    <w:rsid w:val="00FF1E37"/>
    <w:rsid w:val="079004AC"/>
    <w:rsid w:val="0F8E2C57"/>
    <w:rsid w:val="1059665E"/>
    <w:rsid w:val="10AC13BA"/>
    <w:rsid w:val="18B828C6"/>
    <w:rsid w:val="1AEC0734"/>
    <w:rsid w:val="1DEF20B0"/>
    <w:rsid w:val="214243FA"/>
    <w:rsid w:val="24B26909"/>
    <w:rsid w:val="257A14F5"/>
    <w:rsid w:val="27196C26"/>
    <w:rsid w:val="29EF086F"/>
    <w:rsid w:val="2DEF1D0B"/>
    <w:rsid w:val="2E5A1FFE"/>
    <w:rsid w:val="2EFFE297"/>
    <w:rsid w:val="301437CA"/>
    <w:rsid w:val="37135440"/>
    <w:rsid w:val="433E495C"/>
    <w:rsid w:val="4AC27CB3"/>
    <w:rsid w:val="4BF72BEF"/>
    <w:rsid w:val="51DB3C59"/>
    <w:rsid w:val="55762E42"/>
    <w:rsid w:val="57A7B272"/>
    <w:rsid w:val="58470068"/>
    <w:rsid w:val="5A1720F9"/>
    <w:rsid w:val="5B9C37C2"/>
    <w:rsid w:val="5BA7C654"/>
    <w:rsid w:val="64C0607C"/>
    <w:rsid w:val="676F09E1"/>
    <w:rsid w:val="6E1DD6B5"/>
    <w:rsid w:val="72CC5799"/>
    <w:rsid w:val="77FFF19E"/>
    <w:rsid w:val="7A7F1C49"/>
    <w:rsid w:val="7B330394"/>
    <w:rsid w:val="7B5B7AE6"/>
    <w:rsid w:val="7BA7071E"/>
    <w:rsid w:val="7BDF6DA8"/>
    <w:rsid w:val="7C7EDC1A"/>
    <w:rsid w:val="7CCED98D"/>
    <w:rsid w:val="7D08410F"/>
    <w:rsid w:val="7DB96DED"/>
    <w:rsid w:val="7DD3AD81"/>
    <w:rsid w:val="7F7FE70F"/>
    <w:rsid w:val="7FFF772F"/>
    <w:rsid w:val="95F35EF6"/>
    <w:rsid w:val="9BFFD860"/>
    <w:rsid w:val="AC5F73DE"/>
    <w:rsid w:val="B0EF641F"/>
    <w:rsid w:val="B5DDD2C8"/>
    <w:rsid w:val="B9DFABD9"/>
    <w:rsid w:val="BC0D83FC"/>
    <w:rsid w:val="BF3BDEFB"/>
    <w:rsid w:val="C75F6086"/>
    <w:rsid w:val="C7F7ED2D"/>
    <w:rsid w:val="CFAF854E"/>
    <w:rsid w:val="D8D7928E"/>
    <w:rsid w:val="D8FE3136"/>
    <w:rsid w:val="DDDE60B7"/>
    <w:rsid w:val="DDFB0BAE"/>
    <w:rsid w:val="DE9F6A22"/>
    <w:rsid w:val="DF4FCE6A"/>
    <w:rsid w:val="E4FED278"/>
    <w:rsid w:val="EDAA365C"/>
    <w:rsid w:val="EDADFC12"/>
    <w:rsid w:val="F2FD229B"/>
    <w:rsid w:val="F3F08023"/>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 w:type="paragraph" w:styleId="20">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3.emf"/><Relationship Id="rId8" Type="http://schemas.openxmlformats.org/officeDocument/2006/relationships/image" Target="media/image2.emf"/><Relationship Id="rId7" Type="http://schemas.openxmlformats.org/officeDocument/2006/relationships/image" Target="media/image1.emf"/><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chart" Target="charts/chart2.xml"/><Relationship Id="rId2" Type="http://schemas.openxmlformats.org/officeDocument/2006/relationships/settings" Target="settings.xml"/><Relationship Id="rId19" Type="http://schemas.openxmlformats.org/officeDocument/2006/relationships/chart" Target="charts/chart1.xml"/><Relationship Id="rId18" Type="http://schemas.openxmlformats.org/officeDocument/2006/relationships/image" Target="media/image12.emf"/><Relationship Id="rId17" Type="http://schemas.openxmlformats.org/officeDocument/2006/relationships/image" Target="media/image11.emf"/><Relationship Id="rId16" Type="http://schemas.openxmlformats.org/officeDocument/2006/relationships/image" Target="media/image10.emf"/><Relationship Id="rId15" Type="http://schemas.openxmlformats.org/officeDocument/2006/relationships/image" Target="media/image9.emf"/><Relationship Id="rId14" Type="http://schemas.openxmlformats.org/officeDocument/2006/relationships/image" Target="media/image8.emf"/><Relationship Id="rId13" Type="http://schemas.openxmlformats.org/officeDocument/2006/relationships/image" Target="media/image7.emf"/><Relationship Id="rId12" Type="http://schemas.openxmlformats.org/officeDocument/2006/relationships/image" Target="media/image6.emf"/><Relationship Id="rId11" Type="http://schemas.openxmlformats.org/officeDocument/2006/relationships/image" Target="media/image5.emf"/><Relationship Id="rId10" Type="http://schemas.openxmlformats.org/officeDocument/2006/relationships/image" Target="media/image4.emf"/><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2" Type="http://schemas.openxmlformats.org/officeDocument/2006/relationships/themeOverride" Target="../theme/themeOverride1.xml"/><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baseline="0">
              <a:solidFill>
                <a:schemeClr val="bg1">
                  <a:lumMod val="50000"/>
                </a:schemeClr>
              </a:solidFill>
              <a:latin typeface="+mn-lt"/>
              <a:ea typeface="+mn-ea"/>
              <a:cs typeface="+mn-cs"/>
            </a:defRPr>
          </a:pPr>
        </a:p>
      </c:txPr>
    </c:title>
    <c:autoTitleDeleted val="0"/>
    <c:plotArea>
      <c:layout/>
      <c:pieChart>
        <c:varyColors val="1"/>
        <c:ser>
          <c:idx val="0"/>
          <c:order val="0"/>
          <c:tx>
            <c:strRef>
              <c:f>Sheet1!$B$1</c:f>
              <c:strCache>
                <c:ptCount val="1"/>
                <c:pt idx="0">
                  <c:v>收入决算</c:v>
                </c:pt>
              </c:strCache>
            </c:strRef>
          </c:tx>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Pt>
            <c:idx val="2"/>
            <c:bubble3D val="0"/>
            <c:spPr>
              <a:solidFill>
                <a:schemeClr val="accent3"/>
              </a:solidFill>
              <a:ln>
                <a:solidFill>
                  <a:schemeClr val="bg1"/>
                </a:solidFill>
              </a:ln>
              <a:effectLst/>
            </c:spPr>
          </c:dPt>
          <c:dPt>
            <c:idx val="3"/>
            <c:bubble3D val="0"/>
            <c:spPr>
              <a:solidFill>
                <a:schemeClr val="accent4"/>
              </a:solidFill>
              <a:ln>
                <a:solidFill>
                  <a:schemeClr val="bg1"/>
                </a:solidFill>
              </a:ln>
              <a:effectLst/>
            </c:spPr>
          </c:dPt>
          <c:dPt>
            <c:idx val="4"/>
            <c:bubble3D val="0"/>
            <c:spPr>
              <a:solidFill>
                <a:schemeClr val="accent5"/>
              </a:solidFill>
              <a:ln>
                <a:solidFill>
                  <a:schemeClr val="bg1"/>
                </a:solidFill>
              </a:ln>
              <a:effectLst/>
            </c:spPr>
          </c:dPt>
          <c:dPt>
            <c:idx val="5"/>
            <c:bubble3D val="0"/>
            <c:spPr>
              <a:solidFill>
                <a:schemeClr val="accent6"/>
              </a:solidFill>
              <a:ln>
                <a:solidFill>
                  <a:schemeClr val="bg1"/>
                </a:solidFill>
              </a:ln>
              <a:effectLst/>
            </c:spPr>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Sheet1!$A$2:$A$7</c:f>
              <c:strCache>
                <c:ptCount val="6"/>
                <c:pt idx="0">
                  <c:v>财政拨款收入</c:v>
                </c:pt>
                <c:pt idx="1">
                  <c:v>上级补助收入</c:v>
                </c:pt>
                <c:pt idx="2">
                  <c:v>事业收入</c:v>
                </c:pt>
                <c:pt idx="3">
                  <c:v>经营收入</c:v>
                </c:pt>
                <c:pt idx="4">
                  <c:v>附属单位收入</c:v>
                </c:pt>
                <c:pt idx="5">
                  <c:v>其他收入</c:v>
                </c:pt>
              </c:strCache>
            </c:strRef>
          </c:cat>
          <c:val>
            <c:numRef>
              <c:f>Sheet1!$B$2:$B$7</c:f>
              <c:numCache>
                <c:formatCode>General</c:formatCode>
                <c:ptCount val="6"/>
                <c:pt idx="0">
                  <c:v>100</c:v>
                </c:pt>
                <c:pt idx="1">
                  <c:v>0</c:v>
                </c:pt>
                <c:pt idx="2">
                  <c:v>0</c:v>
                </c:pt>
                <c:pt idx="3">
                  <c:v>0</c:v>
                </c:pt>
                <c:pt idx="4">
                  <c:v>0</c:v>
                </c:pt>
                <c:pt idx="5">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legendEntry>
        <c:idx val="0"/>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5"/>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
    <c:plotVisOnly val="1"/>
    <c:dispBlanksAs val="gap"/>
    <c:showDLblsOverMax val="0"/>
    <c:extLst>
      <c:ext uri="{0b15fc19-7d7d-44ad-8c2d-2c3a37ce22c3}">
        <chartProps xmlns="https://web.wps.cn/et/2018/main" chartId="{05f691ba-6536-49a7-ba76-8b17bf853592}"/>
      </c:ext>
    </c:extLst>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explosion val="0"/>
          <c:dPt>
            <c:idx val="0"/>
            <c:bubble3D val="0"/>
          </c:dPt>
          <c:dPt>
            <c:idx val="1"/>
            <c:bubble3D val="0"/>
          </c:dPt>
          <c:dPt>
            <c:idx val="2"/>
            <c:bubble3D val="0"/>
          </c:dPt>
          <c:dPt>
            <c:idx val="3"/>
            <c:bubble3D val="0"/>
          </c:dPt>
          <c:dPt>
            <c:idx val="4"/>
            <c:bubble3D val="0"/>
          </c:dPt>
          <c:dLbls>
            <c:delete val="1"/>
          </c:dLbls>
          <c:cat>
            <c:strRef>
              <c:f>Sheet1!$D$8:$H$8</c:f>
              <c:strCache>
                <c:ptCount val="5"/>
                <c:pt idx="0">
                  <c:v>基本支出</c:v>
                </c:pt>
                <c:pt idx="1">
                  <c:v>项目支出</c:v>
                </c:pt>
                <c:pt idx="2">
                  <c:v>上缴上级支出</c:v>
                </c:pt>
                <c:pt idx="3">
                  <c:v>经营支出</c:v>
                </c:pt>
                <c:pt idx="4">
                  <c:v>对附属单位补助支出</c:v>
                </c:pt>
              </c:strCache>
            </c:strRef>
          </c:cat>
          <c:val>
            <c:numRef>
              <c:f>Sheet1!$D$9:$H$9</c:f>
              <c:numCache>
                <c:formatCode>General</c:formatCode>
                <c:ptCount val="5"/>
                <c:pt idx="0">
                  <c:v>100</c:v>
                </c:pt>
                <c:pt idx="1">
                  <c:v>0</c:v>
                </c:pt>
                <c:pt idx="2">
                  <c:v>0</c:v>
                </c:pt>
                <c:pt idx="3">
                  <c:v>0</c:v>
                </c:pt>
                <c:pt idx="4">
                  <c:v>0</c:v>
                </c:pt>
              </c:numCache>
            </c:numRef>
          </c:val>
        </c:ser>
        <c:dLbls>
          <c:showLegendKey val="0"/>
          <c:showVal val="0"/>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fc997fe9-9b54-4e2f-a573-071acc593483}"/>
      </c:ext>
    </c:extLst>
  </c:chart>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Pages>27</Pages>
  <Words>5265</Words>
  <Characters>5868</Characters>
  <Lines>45</Lines>
  <Paragraphs>12</Paragraphs>
  <TotalTime>6</TotalTime>
  <ScaleCrop>false</ScaleCrop>
  <LinksUpToDate>false</LinksUpToDate>
  <CharactersWithSpaces>5919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2024-06-26T08:46:00Z</dcterms:created>
  <dc:creator>常程</dc:creator>
  <cp:lastModifiedBy>AIRFRY</cp:lastModifiedBy>
  <cp:lastPrinted>2024-07-15T00:22:00Z</cp:lastPrinted>
  <dcterms:modified xsi:type="dcterms:W3CDTF">2024-12-09T03:12:24Z</dcterms:modified>
  <dc:title>北京市财政局关于做好向市人大常委会报送2015年度市级部门决算（草案）</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CCCB0E5FEA934CE3880703099BC7FF93_13</vt:lpwstr>
  </property>
</Properties>
</file>