
<file path=[Content_Types].xml><?xml version="1.0" encoding="utf-8"?>
<Types xmlns="http://schemas.openxmlformats.org/package/2006/content-types">
  <Default Extension="xml" ContentType="application/xml"/>
  <Default Extension="xlsx" ContentType="application/vnd.openxmlformats-officedocument.spreadsheetml.sheet"/>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style1.xml" ContentType="application/vnd.ms-office.chartstyle+xml"/>
  <Override PartName="/word/charts/style2.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仿宋_GB2312" w:eastAsia="仿宋_GB2312"/>
          <w:b/>
          <w:sz w:val="32"/>
          <w:szCs w:val="32"/>
        </w:rPr>
      </w:pPr>
      <w:bookmarkStart w:id="5" w:name="_GoBack"/>
      <w:bookmarkEnd w:id="5"/>
    </w:p>
    <w:p>
      <w:pPr>
        <w:jc w:val="center"/>
        <w:rPr>
          <w:rFonts w:hint="eastAsia" w:ascii="黑体" w:eastAsia="黑体"/>
          <w:sz w:val="72"/>
          <w:szCs w:val="72"/>
        </w:rPr>
      </w:pPr>
    </w:p>
    <w:p>
      <w:pPr>
        <w:jc w:val="center"/>
        <w:rPr>
          <w:rFonts w:ascii="黑体" w:eastAsia="黑体"/>
          <w:sz w:val="72"/>
          <w:szCs w:val="72"/>
        </w:rPr>
      </w:pPr>
    </w:p>
    <w:p>
      <w:pPr>
        <w:jc w:val="center"/>
        <w:rPr>
          <w:rFonts w:hint="eastAsia" w:ascii="黑体" w:eastAsia="黑体"/>
          <w:sz w:val="72"/>
          <w:szCs w:val="72"/>
        </w:rPr>
      </w:pPr>
    </w:p>
    <w:p>
      <w:pPr>
        <w:jc w:val="center"/>
        <w:rPr>
          <w:rFonts w:hint="eastAsia" w:ascii="黑体" w:eastAsia="黑体"/>
          <w:sz w:val="72"/>
          <w:szCs w:val="72"/>
        </w:rPr>
      </w:pPr>
    </w:p>
    <w:p>
      <w:pPr>
        <w:jc w:val="center"/>
        <w:rPr>
          <w:rFonts w:hint="eastAsia" w:ascii="黑体" w:eastAsia="黑体"/>
          <w:sz w:val="72"/>
          <w:szCs w:val="72"/>
          <w:lang w:eastAsia="zh-CN"/>
        </w:rPr>
      </w:pPr>
      <w:r>
        <w:rPr>
          <w:rFonts w:hint="eastAsia" w:ascii="黑体" w:eastAsia="黑体"/>
          <w:sz w:val="72"/>
          <w:szCs w:val="72"/>
        </w:rPr>
        <w:t>202</w:t>
      </w:r>
      <w:r>
        <w:rPr>
          <w:rFonts w:hint="default" w:ascii="黑体" w:eastAsia="黑体"/>
          <w:sz w:val="72"/>
          <w:szCs w:val="72"/>
          <w:lang w:val="en"/>
        </w:rPr>
        <w:t>3</w:t>
      </w:r>
      <w:r>
        <w:rPr>
          <w:rFonts w:hint="eastAsia" w:ascii="黑体" w:eastAsia="黑体"/>
          <w:sz w:val="72"/>
          <w:szCs w:val="72"/>
        </w:rPr>
        <w:t>年度部门决算</w:t>
      </w:r>
      <w:r>
        <w:rPr>
          <w:rFonts w:hint="eastAsia" w:ascii="黑体" w:eastAsia="黑体"/>
          <w:sz w:val="72"/>
          <w:szCs w:val="72"/>
          <w:lang w:eastAsia="zh-CN"/>
        </w:rPr>
        <w:t>公开</w:t>
      </w:r>
    </w:p>
    <w:p>
      <w:pPr>
        <w:jc w:val="center"/>
        <w:rPr>
          <w:rFonts w:ascii="黑体" w:eastAsia="黑体"/>
          <w:sz w:val="52"/>
          <w:szCs w:val="52"/>
        </w:rPr>
      </w:pPr>
    </w:p>
    <w:p>
      <w:pPr>
        <w:jc w:val="center"/>
        <w:rPr>
          <w:rFonts w:ascii="黑体" w:eastAsia="黑体"/>
          <w:sz w:val="52"/>
          <w:szCs w:val="52"/>
        </w:rPr>
      </w:pPr>
    </w:p>
    <w:p>
      <w:pPr>
        <w:jc w:val="center"/>
        <w:rPr>
          <w:rFonts w:ascii="黑体" w:eastAsia="黑体"/>
          <w:sz w:val="52"/>
          <w:szCs w:val="52"/>
        </w:rPr>
      </w:pPr>
    </w:p>
    <w:p>
      <w:pPr>
        <w:jc w:val="center"/>
        <w:rPr>
          <w:rFonts w:ascii="黑体" w:eastAsia="黑体"/>
          <w:sz w:val="52"/>
          <w:szCs w:val="52"/>
        </w:rPr>
      </w:pPr>
    </w:p>
    <w:p>
      <w:pPr>
        <w:jc w:val="center"/>
        <w:rPr>
          <w:rFonts w:hint="eastAsia" w:ascii="黑体" w:eastAsia="黑体"/>
          <w:sz w:val="32"/>
          <w:szCs w:val="32"/>
        </w:rPr>
      </w:pPr>
    </w:p>
    <w:p>
      <w:pPr>
        <w:spacing w:line="500" w:lineRule="exact"/>
        <w:ind w:firstLine="645"/>
        <w:jc w:val="center"/>
        <w:rPr>
          <w:rFonts w:ascii="宋体" w:hAnsi="宋体" w:cs="宋体"/>
          <w:b/>
          <w:bCs/>
          <w:kern w:val="0"/>
          <w:sz w:val="44"/>
          <w:szCs w:val="36"/>
        </w:rPr>
      </w:pPr>
      <w:r>
        <w:rPr>
          <w:rFonts w:hint="eastAsia" w:ascii="宋体" w:hAnsi="宋体" w:cs="宋体"/>
          <w:b/>
          <w:bCs/>
          <w:kern w:val="0"/>
          <w:sz w:val="44"/>
          <w:szCs w:val="36"/>
        </w:rPr>
        <w:t>目    录</w:t>
      </w:r>
    </w:p>
    <w:p>
      <w:pPr>
        <w:spacing w:line="500" w:lineRule="exact"/>
        <w:ind w:firstLine="645"/>
        <w:jc w:val="center"/>
        <w:rPr>
          <w:rFonts w:hint="eastAsia" w:ascii="宋体" w:hAnsi="宋体" w:cs="宋体"/>
          <w:b/>
          <w:bCs/>
          <w:kern w:val="0"/>
          <w:sz w:val="36"/>
          <w:szCs w:val="36"/>
        </w:rPr>
      </w:pPr>
    </w:p>
    <w:p>
      <w:pPr>
        <w:tabs>
          <w:tab w:val="center" w:pos="6979"/>
        </w:tabs>
        <w:spacing w:line="500" w:lineRule="exact"/>
        <w:ind w:firstLine="1600" w:firstLineChars="400"/>
        <w:jc w:val="left"/>
        <w:rPr>
          <w:rFonts w:hint="eastAsia" w:ascii="宋体" w:hAnsi="宋体" w:cs="宋体"/>
          <w:bCs/>
          <w:spacing w:val="40"/>
          <w:kern w:val="0"/>
          <w:sz w:val="32"/>
          <w:szCs w:val="32"/>
        </w:rPr>
      </w:pPr>
      <w:r>
        <w:rPr>
          <w:rFonts w:hint="eastAsia" w:ascii="宋体" w:hAnsi="宋体" w:cs="宋体"/>
          <w:bCs/>
          <w:spacing w:val="40"/>
          <w:kern w:val="0"/>
          <w:sz w:val="32"/>
          <w:szCs w:val="32"/>
        </w:rPr>
        <w:t>第一部分 202</w:t>
      </w:r>
      <w:r>
        <w:rPr>
          <w:rFonts w:hint="eastAsia" w:ascii="宋体" w:hAnsi="宋体" w:cs="宋体"/>
          <w:bCs/>
          <w:spacing w:val="40"/>
          <w:kern w:val="0"/>
          <w:sz w:val="32"/>
          <w:szCs w:val="32"/>
          <w:lang w:val="en-US" w:eastAsia="zh-CN"/>
        </w:rPr>
        <w:t>3</w:t>
      </w:r>
      <w:r>
        <w:rPr>
          <w:rFonts w:hint="eastAsia" w:ascii="宋体" w:hAnsi="宋体" w:cs="宋体"/>
          <w:bCs/>
          <w:spacing w:val="40"/>
          <w:kern w:val="0"/>
          <w:sz w:val="32"/>
          <w:szCs w:val="32"/>
        </w:rPr>
        <w:t>年度部门决算报表</w:t>
      </w:r>
    </w:p>
    <w:p>
      <w:pPr>
        <w:tabs>
          <w:tab w:val="center" w:pos="6979"/>
        </w:tabs>
        <w:spacing w:line="500" w:lineRule="exact"/>
        <w:ind w:firstLine="2400" w:firstLineChars="600"/>
        <w:jc w:val="left"/>
        <w:rPr>
          <w:rFonts w:hint="eastAsia" w:ascii="仿宋_GB2312" w:hAnsi="仿宋" w:eastAsia="仿宋_GB2312"/>
          <w:spacing w:val="40"/>
          <w:sz w:val="32"/>
          <w:szCs w:val="32"/>
        </w:rPr>
      </w:pPr>
      <w:r>
        <w:rPr>
          <w:rFonts w:hint="eastAsia" w:ascii="仿宋_GB2312" w:hAnsi="仿宋" w:eastAsia="仿宋_GB2312" w:cs="宋体"/>
          <w:bCs/>
          <w:spacing w:val="40"/>
          <w:kern w:val="0"/>
          <w:sz w:val="32"/>
          <w:szCs w:val="32"/>
        </w:rPr>
        <w:t>一、收入支出决算总表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二、收入决算表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三、支出决算表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四、财政拨款收入支出决算总表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五、一般公共预算财政拨款收入支出决算表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六、一般公共预算财政拨款支出决算表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七、一般公共预算财政拨款</w:t>
      </w:r>
      <w:r>
        <w:rPr>
          <w:rFonts w:ascii="仿宋_GB2312" w:hAnsi="仿宋" w:eastAsia="仿宋_GB2312" w:cs="宋体"/>
          <w:bCs/>
          <w:spacing w:val="40"/>
          <w:kern w:val="0"/>
          <w:sz w:val="32"/>
          <w:szCs w:val="32"/>
        </w:rPr>
        <w:t>基本支出决算表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八</w:t>
      </w:r>
      <w:r>
        <w:rPr>
          <w:rFonts w:ascii="仿宋_GB2312" w:hAnsi="仿宋" w:eastAsia="仿宋_GB2312" w:cs="宋体"/>
          <w:bCs/>
          <w:spacing w:val="40"/>
          <w:kern w:val="0"/>
          <w:sz w:val="32"/>
          <w:szCs w:val="32"/>
        </w:rPr>
        <w:t>、</w:t>
      </w:r>
      <w:r>
        <w:rPr>
          <w:rFonts w:hint="eastAsia" w:ascii="仿宋_GB2312" w:hAnsi="仿宋" w:eastAsia="仿宋_GB2312" w:cs="宋体"/>
          <w:bCs/>
          <w:spacing w:val="40"/>
          <w:kern w:val="0"/>
          <w:sz w:val="32"/>
          <w:szCs w:val="32"/>
        </w:rPr>
        <w:t>政府性基金预算财政拨款收入支出决算表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九、</w:t>
      </w:r>
      <w:r>
        <w:rPr>
          <w:rFonts w:ascii="仿宋_GB2312" w:hAnsi="仿宋" w:eastAsia="仿宋_GB2312" w:cs="宋体"/>
          <w:bCs/>
          <w:spacing w:val="40"/>
          <w:kern w:val="0"/>
          <w:sz w:val="32"/>
          <w:szCs w:val="32"/>
        </w:rPr>
        <w:t>政府性基金</w:t>
      </w:r>
      <w:r>
        <w:rPr>
          <w:rFonts w:hint="eastAsia" w:ascii="仿宋_GB2312" w:hAnsi="仿宋" w:eastAsia="仿宋_GB2312" w:cs="宋体"/>
          <w:bCs/>
          <w:spacing w:val="40"/>
          <w:kern w:val="0"/>
          <w:sz w:val="32"/>
          <w:szCs w:val="32"/>
        </w:rPr>
        <w:t>预算</w:t>
      </w:r>
      <w:r>
        <w:rPr>
          <w:rFonts w:ascii="仿宋_GB2312" w:hAnsi="仿宋" w:eastAsia="仿宋_GB2312" w:cs="宋体"/>
          <w:bCs/>
          <w:spacing w:val="40"/>
          <w:kern w:val="0"/>
          <w:sz w:val="32"/>
          <w:szCs w:val="32"/>
        </w:rPr>
        <w:t>财政拨款基本支出决算表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十、国有资本经营预算财政拨款支出决算表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十一、财政拨款“三公”经费支出决算表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十二、政府采购情况表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十三、政府购买服务决算公开情况表</w:t>
      </w:r>
    </w:p>
    <w:p>
      <w:pPr>
        <w:tabs>
          <w:tab w:val="center" w:pos="6979"/>
        </w:tabs>
        <w:spacing w:line="500" w:lineRule="exact"/>
        <w:ind w:firstLine="1600" w:firstLineChars="400"/>
        <w:jc w:val="left"/>
        <w:rPr>
          <w:rFonts w:hint="eastAsia" w:ascii="宋体" w:hAnsi="宋体" w:cs="宋体"/>
          <w:bCs/>
          <w:spacing w:val="40"/>
          <w:kern w:val="0"/>
          <w:sz w:val="32"/>
          <w:szCs w:val="32"/>
        </w:rPr>
      </w:pPr>
      <w:r>
        <w:rPr>
          <w:rFonts w:hint="eastAsia" w:ascii="宋体" w:hAnsi="宋体" w:cs="宋体"/>
          <w:bCs/>
          <w:spacing w:val="40"/>
          <w:kern w:val="0"/>
          <w:sz w:val="32"/>
          <w:szCs w:val="32"/>
        </w:rPr>
        <w:t xml:space="preserve">第二部分 </w:t>
      </w:r>
      <w:r>
        <w:rPr>
          <w:rFonts w:hint="eastAsia" w:ascii="宋体" w:hAnsi="宋体"/>
          <w:spacing w:val="40"/>
          <w:sz w:val="32"/>
          <w:szCs w:val="32"/>
        </w:rPr>
        <w:t>202</w:t>
      </w:r>
      <w:r>
        <w:rPr>
          <w:rFonts w:hint="eastAsia" w:ascii="宋体" w:hAnsi="宋体"/>
          <w:spacing w:val="40"/>
          <w:sz w:val="32"/>
          <w:szCs w:val="32"/>
          <w:lang w:val="en-US" w:eastAsia="zh-CN"/>
        </w:rPr>
        <w:t>3</w:t>
      </w:r>
      <w:r>
        <w:rPr>
          <w:rFonts w:hint="eastAsia" w:ascii="宋体" w:hAnsi="宋体"/>
          <w:spacing w:val="40"/>
          <w:sz w:val="32"/>
          <w:szCs w:val="32"/>
        </w:rPr>
        <w:t>年度部门决算说明</w:t>
      </w:r>
    </w:p>
    <w:p>
      <w:pPr>
        <w:tabs>
          <w:tab w:val="center" w:pos="6979"/>
        </w:tabs>
        <w:spacing w:line="500" w:lineRule="exact"/>
        <w:ind w:firstLine="1600" w:firstLineChars="400"/>
        <w:jc w:val="left"/>
        <w:rPr>
          <w:rFonts w:hint="eastAsia" w:ascii="宋体" w:hAnsi="宋体" w:cs="宋体"/>
          <w:spacing w:val="40"/>
          <w:kern w:val="0"/>
          <w:sz w:val="32"/>
          <w:szCs w:val="32"/>
        </w:rPr>
      </w:pPr>
      <w:r>
        <w:rPr>
          <w:rFonts w:hint="eastAsia" w:ascii="宋体" w:hAnsi="宋体" w:cs="宋体"/>
          <w:bCs/>
          <w:spacing w:val="40"/>
          <w:kern w:val="0"/>
          <w:sz w:val="32"/>
          <w:szCs w:val="32"/>
        </w:rPr>
        <w:t xml:space="preserve">第三部分 </w:t>
      </w:r>
      <w:r>
        <w:rPr>
          <w:rFonts w:hint="eastAsia" w:ascii="宋体" w:hAnsi="宋体"/>
          <w:spacing w:val="40"/>
          <w:sz w:val="32"/>
          <w:szCs w:val="32"/>
        </w:rPr>
        <w:t>202</w:t>
      </w:r>
      <w:r>
        <w:rPr>
          <w:rFonts w:hint="eastAsia" w:ascii="宋体" w:hAnsi="宋体"/>
          <w:spacing w:val="40"/>
          <w:sz w:val="32"/>
          <w:szCs w:val="32"/>
          <w:lang w:val="en-US" w:eastAsia="zh-CN"/>
        </w:rPr>
        <w:t>3</w:t>
      </w:r>
      <w:r>
        <w:rPr>
          <w:rFonts w:hint="eastAsia" w:ascii="宋体" w:hAnsi="宋体"/>
          <w:spacing w:val="40"/>
          <w:sz w:val="32"/>
          <w:szCs w:val="32"/>
        </w:rPr>
        <w:t>年度</w:t>
      </w:r>
      <w:r>
        <w:rPr>
          <w:rFonts w:hint="eastAsia" w:ascii="宋体" w:hAnsi="宋体" w:cs="宋体"/>
          <w:spacing w:val="40"/>
          <w:kern w:val="0"/>
          <w:sz w:val="32"/>
          <w:szCs w:val="32"/>
        </w:rPr>
        <w:t>其他重要事项的情况说明</w:t>
      </w:r>
    </w:p>
    <w:p>
      <w:pPr>
        <w:tabs>
          <w:tab w:val="center" w:pos="6979"/>
        </w:tabs>
        <w:spacing w:line="500" w:lineRule="exact"/>
        <w:ind w:firstLine="1600" w:firstLineChars="400"/>
        <w:jc w:val="left"/>
        <w:rPr>
          <w:rFonts w:hint="eastAsia" w:ascii="宋体" w:hAnsi="宋体" w:cs="宋体"/>
          <w:spacing w:val="40"/>
          <w:kern w:val="0"/>
          <w:sz w:val="36"/>
          <w:szCs w:val="32"/>
        </w:rPr>
      </w:pPr>
      <w:r>
        <w:rPr>
          <w:rFonts w:hint="eastAsia" w:ascii="宋体" w:hAnsi="宋体" w:cs="宋体"/>
          <w:spacing w:val="40"/>
          <w:kern w:val="0"/>
          <w:sz w:val="32"/>
          <w:szCs w:val="32"/>
        </w:rPr>
        <w:t>第四部分 202</w:t>
      </w:r>
      <w:r>
        <w:rPr>
          <w:rFonts w:hint="eastAsia" w:ascii="宋体" w:hAnsi="宋体" w:cs="宋体"/>
          <w:spacing w:val="40"/>
          <w:kern w:val="0"/>
          <w:sz w:val="32"/>
          <w:szCs w:val="32"/>
          <w:lang w:val="en-US" w:eastAsia="zh-CN"/>
        </w:rPr>
        <w:t>3</w:t>
      </w:r>
      <w:r>
        <w:rPr>
          <w:rFonts w:hint="eastAsia" w:ascii="宋体" w:hAnsi="宋体" w:cs="宋体"/>
          <w:spacing w:val="40"/>
          <w:kern w:val="0"/>
          <w:sz w:val="32"/>
          <w:szCs w:val="32"/>
        </w:rPr>
        <w:t>年度部门绩效评价情况</w:t>
      </w:r>
    </w:p>
    <w:p>
      <w:pPr>
        <w:tabs>
          <w:tab w:val="center" w:pos="6979"/>
        </w:tabs>
        <w:spacing w:before="156" w:beforeLines="50" w:after="156" w:afterLines="50"/>
        <w:jc w:val="center"/>
        <w:rPr>
          <w:rFonts w:ascii="宋体" w:hAnsi="宋体" w:cs="宋体"/>
          <w:b/>
          <w:bCs/>
          <w:spacing w:val="40"/>
          <w:kern w:val="0"/>
          <w:sz w:val="32"/>
          <w:szCs w:val="32"/>
        </w:rPr>
      </w:pPr>
    </w:p>
    <w:p>
      <w:pPr>
        <w:tabs>
          <w:tab w:val="center" w:pos="6979"/>
        </w:tabs>
        <w:spacing w:before="156" w:beforeLines="50" w:after="156" w:afterLines="50"/>
        <w:jc w:val="center"/>
        <w:rPr>
          <w:rFonts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r>
        <w:rPr>
          <w:rFonts w:hint="eastAsia" w:ascii="宋体" w:hAnsi="宋体" w:cs="宋体"/>
          <w:b/>
          <w:bCs/>
          <w:spacing w:val="40"/>
          <w:kern w:val="0"/>
          <w:sz w:val="32"/>
          <w:szCs w:val="32"/>
        </w:rPr>
        <w:t>第一部分 202</w:t>
      </w:r>
      <w:r>
        <w:rPr>
          <w:rFonts w:hint="eastAsia" w:ascii="宋体" w:hAnsi="宋体" w:cs="宋体"/>
          <w:b/>
          <w:bCs/>
          <w:spacing w:val="40"/>
          <w:kern w:val="0"/>
          <w:sz w:val="32"/>
          <w:szCs w:val="32"/>
          <w:lang w:val="en-US" w:eastAsia="zh-CN"/>
        </w:rPr>
        <w:t>3</w:t>
      </w:r>
      <w:r>
        <w:rPr>
          <w:rFonts w:hint="eastAsia" w:ascii="宋体" w:hAnsi="宋体" w:cs="宋体"/>
          <w:b/>
          <w:bCs/>
          <w:spacing w:val="40"/>
          <w:kern w:val="0"/>
          <w:sz w:val="32"/>
          <w:szCs w:val="32"/>
        </w:rPr>
        <w:t>年度部门决算报表</w:t>
      </w:r>
    </w:p>
    <w:p>
      <w:pPr>
        <w:pStyle w:val="3"/>
        <w:rPr>
          <w:rFonts w:hint="eastAsia" w:eastAsia="仿宋_GB2312"/>
          <w:b w:val="0"/>
          <w:bCs w:val="0"/>
          <w:lang w:val="en" w:eastAsia="zh-CN"/>
        </w:rPr>
        <w:sectPr>
          <w:footerReference r:id="rId3" w:type="default"/>
          <w:pgSz w:w="16838" w:h="11906" w:orient="landscape"/>
          <w:pgMar w:top="1134" w:right="1134" w:bottom="1134" w:left="1134" w:header="851" w:footer="992" w:gutter="0"/>
          <w:cols w:space="720" w:num="1"/>
          <w:docGrid w:type="linesAndChars" w:linePitch="312" w:charSpace="0"/>
        </w:sectPr>
      </w:pPr>
      <w:r>
        <w:rPr>
          <w:rFonts w:hint="eastAsia" w:ascii="仿宋_GB2312" w:eastAsia="仿宋_GB2312"/>
          <w:sz w:val="28"/>
          <w:szCs w:val="28"/>
        </w:rPr>
        <w:t xml:space="preserve"> </w:t>
      </w:r>
      <w:r>
        <w:rPr>
          <w:rFonts w:hint="eastAsia" w:ascii="仿宋_GB2312" w:eastAsia="仿宋_GB2312"/>
          <w:sz w:val="28"/>
          <w:szCs w:val="28"/>
          <w:lang w:val="en-US" w:eastAsia="zh-CN"/>
        </w:rPr>
        <w:t xml:space="preserve">  </w:t>
      </w:r>
      <w:r>
        <w:rPr>
          <w:rFonts w:hint="eastAsia" w:eastAsia="仿宋_GB2312"/>
          <w:b w:val="0"/>
          <w:bCs w:val="0"/>
          <w:lang w:val="en" w:eastAsia="zh-CN"/>
        </w:rPr>
        <w:drawing>
          <wp:inline distT="0" distB="0" distL="114300" distR="114300">
            <wp:extent cx="9072245" cy="5137785"/>
            <wp:effectExtent l="0" t="0" r="14605" b="5715"/>
            <wp:docPr id="19" name="图片 19" descr="607-北京市密云区城市管理委员会-决算草案报表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607-北京市密云区城市管理委员会-决算草案报表_1"/>
                    <pic:cNvPicPr>
                      <a:picLocks noChangeAspect="1"/>
                    </pic:cNvPicPr>
                  </pic:nvPicPr>
                  <pic:blipFill>
                    <a:blip r:embed="rId7"/>
                    <a:srcRect b="3873"/>
                    <a:stretch>
                      <a:fillRect/>
                    </a:stretch>
                  </pic:blipFill>
                  <pic:spPr>
                    <a:xfrm>
                      <a:off x="0" y="0"/>
                      <a:ext cx="9072245" cy="5137785"/>
                    </a:xfrm>
                    <a:prstGeom prst="rect">
                      <a:avLst/>
                    </a:prstGeom>
                  </pic:spPr>
                </pic:pic>
              </a:graphicData>
            </a:graphic>
          </wp:inline>
        </w:drawing>
      </w:r>
      <w:r>
        <w:rPr>
          <w:rFonts w:hint="eastAsia" w:eastAsia="仿宋_GB2312"/>
          <w:b w:val="0"/>
          <w:bCs w:val="0"/>
          <w:lang w:val="en" w:eastAsia="zh-CN"/>
        </w:rPr>
        <w:drawing>
          <wp:inline distT="0" distB="0" distL="114300" distR="114300">
            <wp:extent cx="8959215" cy="5184140"/>
            <wp:effectExtent l="0" t="0" r="13335" b="16510"/>
            <wp:docPr id="18" name="图片 18" descr="607-北京市密云区城市管理委员会-决算草案报表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607-北京市密云区城市管理委员会-决算草案报表_2"/>
                    <pic:cNvPicPr>
                      <a:picLocks noChangeAspect="1"/>
                    </pic:cNvPicPr>
                  </pic:nvPicPr>
                  <pic:blipFill>
                    <a:blip r:embed="rId8"/>
                    <a:srcRect b="3006"/>
                    <a:stretch>
                      <a:fillRect/>
                    </a:stretch>
                  </pic:blipFill>
                  <pic:spPr>
                    <a:xfrm>
                      <a:off x="0" y="0"/>
                      <a:ext cx="8959215" cy="5184140"/>
                    </a:xfrm>
                    <a:prstGeom prst="rect">
                      <a:avLst/>
                    </a:prstGeom>
                  </pic:spPr>
                </pic:pic>
              </a:graphicData>
            </a:graphic>
          </wp:inline>
        </w:drawing>
      </w:r>
      <w:r>
        <w:rPr>
          <w:rFonts w:hint="eastAsia" w:eastAsia="仿宋_GB2312"/>
          <w:b w:val="0"/>
          <w:bCs w:val="0"/>
          <w:lang w:val="en" w:eastAsia="zh-CN"/>
        </w:rPr>
        <w:drawing>
          <wp:inline distT="0" distB="0" distL="114300" distR="114300">
            <wp:extent cx="8982075" cy="5092065"/>
            <wp:effectExtent l="0" t="0" r="9525" b="13335"/>
            <wp:docPr id="17" name="图片 17" descr="607-北京市密云区城市管理委员会-决算草案报表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607-北京市密云区城市管理委员会-决算草案报表_3"/>
                    <pic:cNvPicPr>
                      <a:picLocks noChangeAspect="1"/>
                    </pic:cNvPicPr>
                  </pic:nvPicPr>
                  <pic:blipFill>
                    <a:blip r:embed="rId9"/>
                    <a:srcRect b="4729"/>
                    <a:stretch>
                      <a:fillRect/>
                    </a:stretch>
                  </pic:blipFill>
                  <pic:spPr>
                    <a:xfrm>
                      <a:off x="0" y="0"/>
                      <a:ext cx="8982075" cy="5092065"/>
                    </a:xfrm>
                    <a:prstGeom prst="rect">
                      <a:avLst/>
                    </a:prstGeom>
                  </pic:spPr>
                </pic:pic>
              </a:graphicData>
            </a:graphic>
          </wp:inline>
        </w:drawing>
      </w:r>
      <w:r>
        <w:rPr>
          <w:rFonts w:hint="eastAsia" w:eastAsia="仿宋_GB2312"/>
          <w:b w:val="0"/>
          <w:bCs w:val="0"/>
          <w:lang w:val="en" w:eastAsia="zh-CN"/>
        </w:rPr>
        <w:drawing>
          <wp:inline distT="0" distB="0" distL="114300" distR="114300">
            <wp:extent cx="9038590" cy="5435600"/>
            <wp:effectExtent l="0" t="0" r="10160" b="12700"/>
            <wp:docPr id="16" name="图片 16" descr="607-北京市密云区城市管理委员会-决算草案报表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607-北京市密云区城市管理委员会-决算草案报表_4"/>
                    <pic:cNvPicPr>
                      <a:picLocks noChangeAspect="1"/>
                    </pic:cNvPicPr>
                  </pic:nvPicPr>
                  <pic:blipFill>
                    <a:blip r:embed="rId10"/>
                    <a:srcRect b="3069"/>
                    <a:stretch>
                      <a:fillRect/>
                    </a:stretch>
                  </pic:blipFill>
                  <pic:spPr>
                    <a:xfrm>
                      <a:off x="0" y="0"/>
                      <a:ext cx="9038590" cy="5435600"/>
                    </a:xfrm>
                    <a:prstGeom prst="rect">
                      <a:avLst/>
                    </a:prstGeom>
                  </pic:spPr>
                </pic:pic>
              </a:graphicData>
            </a:graphic>
          </wp:inline>
        </w:drawing>
      </w:r>
      <w:r>
        <w:rPr>
          <w:rFonts w:hint="eastAsia" w:eastAsia="仿宋_GB2312"/>
          <w:b w:val="0"/>
          <w:bCs w:val="0"/>
          <w:lang w:val="en" w:eastAsia="zh-CN"/>
        </w:rPr>
        <w:drawing>
          <wp:inline distT="0" distB="0" distL="114300" distR="114300">
            <wp:extent cx="9027795" cy="5127625"/>
            <wp:effectExtent l="0" t="0" r="1905" b="15875"/>
            <wp:docPr id="15" name="图片 15" descr="607-北京市密云区城市管理委员会-决算草案报表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607-北京市密云区城市管理委员会-决算草案报表_5"/>
                    <pic:cNvPicPr>
                      <a:picLocks noChangeAspect="1"/>
                    </pic:cNvPicPr>
                  </pic:nvPicPr>
                  <pic:blipFill>
                    <a:blip r:embed="rId11"/>
                    <a:srcRect l="380" t="414" r="-380" b="3759"/>
                    <a:stretch>
                      <a:fillRect/>
                    </a:stretch>
                  </pic:blipFill>
                  <pic:spPr>
                    <a:xfrm>
                      <a:off x="0" y="0"/>
                      <a:ext cx="9027795" cy="5127625"/>
                    </a:xfrm>
                    <a:prstGeom prst="rect">
                      <a:avLst/>
                    </a:prstGeom>
                  </pic:spPr>
                </pic:pic>
              </a:graphicData>
            </a:graphic>
          </wp:inline>
        </w:drawing>
      </w:r>
      <w:r>
        <w:rPr>
          <w:rFonts w:hint="eastAsia" w:eastAsia="仿宋_GB2312"/>
          <w:b w:val="0"/>
          <w:bCs w:val="0"/>
          <w:lang w:val="en" w:eastAsia="zh-CN"/>
        </w:rPr>
        <w:drawing>
          <wp:inline distT="0" distB="0" distL="114300" distR="114300">
            <wp:extent cx="9061450" cy="5596255"/>
            <wp:effectExtent l="0" t="0" r="6350" b="4445"/>
            <wp:docPr id="14" name="图片 14" descr="607-北京市密云区城市管理委员会-决算草案报表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607-北京市密云区城市管理委员会-决算草案报表_6"/>
                    <pic:cNvPicPr>
                      <a:picLocks noChangeAspect="1"/>
                    </pic:cNvPicPr>
                  </pic:nvPicPr>
                  <pic:blipFill>
                    <a:blip r:embed="rId12"/>
                    <a:srcRect b="3175"/>
                    <a:stretch>
                      <a:fillRect/>
                    </a:stretch>
                  </pic:blipFill>
                  <pic:spPr>
                    <a:xfrm>
                      <a:off x="0" y="0"/>
                      <a:ext cx="9061450" cy="5596255"/>
                    </a:xfrm>
                    <a:prstGeom prst="rect">
                      <a:avLst/>
                    </a:prstGeom>
                  </pic:spPr>
                </pic:pic>
              </a:graphicData>
            </a:graphic>
          </wp:inline>
        </w:drawing>
      </w:r>
      <w:r>
        <w:rPr>
          <w:rFonts w:hint="eastAsia" w:eastAsia="仿宋_GB2312"/>
          <w:b w:val="0"/>
          <w:bCs w:val="0"/>
          <w:lang w:val="en" w:eastAsia="zh-CN"/>
        </w:rPr>
        <w:drawing>
          <wp:inline distT="0" distB="0" distL="114300" distR="114300">
            <wp:extent cx="9119235" cy="5391150"/>
            <wp:effectExtent l="0" t="0" r="5715" b="0"/>
            <wp:docPr id="13" name="图片 13" descr="607-北京市密云区城市管理委员会-决算草案报表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607-北京市密云区城市管理委员会-决算草案报表_7"/>
                    <pic:cNvPicPr>
                      <a:picLocks noChangeAspect="1"/>
                    </pic:cNvPicPr>
                  </pic:nvPicPr>
                  <pic:blipFill>
                    <a:blip r:embed="rId13"/>
                    <a:srcRect b="3292"/>
                    <a:stretch>
                      <a:fillRect/>
                    </a:stretch>
                  </pic:blipFill>
                  <pic:spPr>
                    <a:xfrm>
                      <a:off x="0" y="0"/>
                      <a:ext cx="9119235" cy="5391150"/>
                    </a:xfrm>
                    <a:prstGeom prst="rect">
                      <a:avLst/>
                    </a:prstGeom>
                  </pic:spPr>
                </pic:pic>
              </a:graphicData>
            </a:graphic>
          </wp:inline>
        </w:drawing>
      </w:r>
      <w:r>
        <w:rPr>
          <w:rFonts w:hint="eastAsia" w:eastAsia="仿宋_GB2312"/>
          <w:b w:val="0"/>
          <w:bCs w:val="0"/>
          <w:lang w:val="en" w:eastAsia="zh-CN"/>
        </w:rPr>
        <w:drawing>
          <wp:inline distT="0" distB="0" distL="114300" distR="114300">
            <wp:extent cx="9107805" cy="5528310"/>
            <wp:effectExtent l="0" t="0" r="17145" b="15240"/>
            <wp:docPr id="12" name="图片 12" descr="607-北京市密云区城市管理委员会-决算草案报表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607-北京市密云区城市管理委员会-决算草案报表_8"/>
                    <pic:cNvPicPr>
                      <a:picLocks noChangeAspect="1"/>
                    </pic:cNvPicPr>
                  </pic:nvPicPr>
                  <pic:blipFill>
                    <a:blip r:embed="rId14"/>
                    <a:srcRect b="3599"/>
                    <a:stretch>
                      <a:fillRect/>
                    </a:stretch>
                  </pic:blipFill>
                  <pic:spPr>
                    <a:xfrm>
                      <a:off x="0" y="0"/>
                      <a:ext cx="9107805" cy="5528310"/>
                    </a:xfrm>
                    <a:prstGeom prst="rect">
                      <a:avLst/>
                    </a:prstGeom>
                  </pic:spPr>
                </pic:pic>
              </a:graphicData>
            </a:graphic>
          </wp:inline>
        </w:drawing>
      </w:r>
      <w:r>
        <w:rPr>
          <w:rFonts w:hint="eastAsia" w:eastAsia="仿宋_GB2312"/>
          <w:b w:val="0"/>
          <w:bCs w:val="0"/>
          <w:lang w:val="en" w:eastAsia="zh-CN"/>
        </w:rPr>
        <w:drawing>
          <wp:inline distT="0" distB="0" distL="114300" distR="114300">
            <wp:extent cx="9130665" cy="5505450"/>
            <wp:effectExtent l="0" t="0" r="13335" b="0"/>
            <wp:docPr id="11" name="图片 11" descr="607-北京市密云区城市管理委员会-决算草案报表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607-北京市密云区城市管理委员会-决算草案报表_9"/>
                    <pic:cNvPicPr>
                      <a:picLocks noChangeAspect="1"/>
                    </pic:cNvPicPr>
                  </pic:nvPicPr>
                  <pic:blipFill>
                    <a:blip r:embed="rId15"/>
                    <a:srcRect b="2835"/>
                    <a:stretch>
                      <a:fillRect/>
                    </a:stretch>
                  </pic:blipFill>
                  <pic:spPr>
                    <a:xfrm>
                      <a:off x="0" y="0"/>
                      <a:ext cx="9130665" cy="5505450"/>
                    </a:xfrm>
                    <a:prstGeom prst="rect">
                      <a:avLst/>
                    </a:prstGeom>
                  </pic:spPr>
                </pic:pic>
              </a:graphicData>
            </a:graphic>
          </wp:inline>
        </w:drawing>
      </w:r>
      <w:r>
        <w:rPr>
          <w:rFonts w:hint="eastAsia" w:eastAsia="仿宋_GB2312"/>
          <w:b w:val="0"/>
          <w:bCs w:val="0"/>
          <w:lang w:val="en" w:eastAsia="zh-CN"/>
        </w:rPr>
        <w:drawing>
          <wp:inline distT="0" distB="0" distL="114300" distR="114300">
            <wp:extent cx="9234805" cy="5641975"/>
            <wp:effectExtent l="0" t="0" r="4445" b="15875"/>
            <wp:docPr id="10" name="图片 10" descr="607-北京市密云区城市管理委员会-决算草案报表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607-北京市密云区城市管理委员会-决算草案报表_10"/>
                    <pic:cNvPicPr>
                      <a:picLocks noChangeAspect="1"/>
                    </pic:cNvPicPr>
                  </pic:nvPicPr>
                  <pic:blipFill>
                    <a:blip r:embed="rId16"/>
                    <a:srcRect b="3539"/>
                    <a:stretch>
                      <a:fillRect/>
                    </a:stretch>
                  </pic:blipFill>
                  <pic:spPr>
                    <a:xfrm>
                      <a:off x="0" y="0"/>
                      <a:ext cx="9234805" cy="5641975"/>
                    </a:xfrm>
                    <a:prstGeom prst="rect">
                      <a:avLst/>
                    </a:prstGeom>
                  </pic:spPr>
                </pic:pic>
              </a:graphicData>
            </a:graphic>
          </wp:inline>
        </w:drawing>
      </w:r>
      <w:r>
        <w:rPr>
          <w:rFonts w:hint="eastAsia" w:eastAsia="仿宋_GB2312"/>
          <w:b w:val="0"/>
          <w:bCs w:val="0"/>
          <w:lang w:val="en" w:eastAsia="zh-CN"/>
        </w:rPr>
        <w:drawing>
          <wp:inline distT="0" distB="0" distL="114300" distR="114300">
            <wp:extent cx="9211310" cy="5836920"/>
            <wp:effectExtent l="0" t="0" r="8890" b="11430"/>
            <wp:docPr id="9" name="图片 9" descr="607-北京市密云区城市管理委员会-决算草案报表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07-北京市密云区城市管理委员会-决算草案报表_11"/>
                    <pic:cNvPicPr>
                      <a:picLocks noChangeAspect="1"/>
                    </pic:cNvPicPr>
                  </pic:nvPicPr>
                  <pic:blipFill>
                    <a:blip r:embed="rId17"/>
                    <a:srcRect l="372" t="1184" r="-372" b="2982"/>
                    <a:stretch>
                      <a:fillRect/>
                    </a:stretch>
                  </pic:blipFill>
                  <pic:spPr>
                    <a:xfrm>
                      <a:off x="0" y="0"/>
                      <a:ext cx="9211310" cy="5836920"/>
                    </a:xfrm>
                    <a:prstGeom prst="rect">
                      <a:avLst/>
                    </a:prstGeom>
                  </pic:spPr>
                </pic:pic>
              </a:graphicData>
            </a:graphic>
          </wp:inline>
        </w:drawing>
      </w:r>
      <w:r>
        <w:rPr>
          <w:rFonts w:hint="eastAsia" w:eastAsia="仿宋_GB2312"/>
          <w:b w:val="0"/>
          <w:bCs w:val="0"/>
          <w:lang w:val="en" w:eastAsia="zh-CN"/>
        </w:rPr>
        <w:drawing>
          <wp:inline distT="0" distB="0" distL="114300" distR="114300">
            <wp:extent cx="9244965" cy="5344795"/>
            <wp:effectExtent l="0" t="0" r="13335" b="8255"/>
            <wp:docPr id="8" name="图片 8" descr="607-北京市密云区城市管理委员会-决算草案报表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607-北京市密云区城市管理委员会-决算草案报表_12"/>
                    <pic:cNvPicPr>
                      <a:picLocks noChangeAspect="1"/>
                    </pic:cNvPicPr>
                  </pic:nvPicPr>
                  <pic:blipFill>
                    <a:blip r:embed="rId18"/>
                    <a:srcRect b="3861"/>
                    <a:stretch>
                      <a:fillRect/>
                    </a:stretch>
                  </pic:blipFill>
                  <pic:spPr>
                    <a:xfrm>
                      <a:off x="0" y="0"/>
                      <a:ext cx="9244965" cy="5344795"/>
                    </a:xfrm>
                    <a:prstGeom prst="rect">
                      <a:avLst/>
                    </a:prstGeom>
                  </pic:spPr>
                </pic:pic>
              </a:graphicData>
            </a:graphic>
          </wp:inline>
        </w:drawing>
      </w:r>
      <w:r>
        <w:rPr>
          <w:rFonts w:hint="eastAsia" w:eastAsia="仿宋_GB2312"/>
          <w:b w:val="0"/>
          <w:bCs w:val="0"/>
          <w:lang w:val="en" w:eastAsia="zh-CN"/>
        </w:rPr>
        <w:drawing>
          <wp:inline distT="0" distB="0" distL="114300" distR="114300">
            <wp:extent cx="9222105" cy="5436235"/>
            <wp:effectExtent l="0" t="0" r="17145" b="12065"/>
            <wp:docPr id="7" name="图片 7" descr="607-北京市密云区城市管理委员会-决算草案报表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607-北京市密云区城市管理委员会-决算草案报表_13"/>
                    <pic:cNvPicPr>
                      <a:picLocks noChangeAspect="1"/>
                    </pic:cNvPicPr>
                  </pic:nvPicPr>
                  <pic:blipFill>
                    <a:blip r:embed="rId19"/>
                    <a:srcRect b="3462"/>
                    <a:stretch>
                      <a:fillRect/>
                    </a:stretch>
                  </pic:blipFill>
                  <pic:spPr>
                    <a:xfrm>
                      <a:off x="0" y="0"/>
                      <a:ext cx="9222105" cy="5436235"/>
                    </a:xfrm>
                    <a:prstGeom prst="rect">
                      <a:avLst/>
                    </a:prstGeom>
                  </pic:spPr>
                </pic:pic>
              </a:graphicData>
            </a:graphic>
          </wp:inline>
        </w:drawing>
      </w:r>
      <w:r>
        <w:rPr>
          <w:rFonts w:hint="eastAsia" w:eastAsia="仿宋_GB2312"/>
          <w:b w:val="0"/>
          <w:bCs w:val="0"/>
          <w:lang w:val="en" w:eastAsia="zh-CN"/>
        </w:rPr>
        <w:drawing>
          <wp:inline distT="0" distB="0" distL="114300" distR="114300">
            <wp:extent cx="9244965" cy="5848350"/>
            <wp:effectExtent l="0" t="0" r="13335" b="0"/>
            <wp:docPr id="6" name="图片 6" descr="607-北京市密云区城市管理委员会-决算草案报表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607-北京市密云区城市管理委员会-决算草案报表_14"/>
                    <pic:cNvPicPr>
                      <a:picLocks noChangeAspect="1"/>
                    </pic:cNvPicPr>
                  </pic:nvPicPr>
                  <pic:blipFill>
                    <a:blip r:embed="rId20"/>
                    <a:srcRect b="3333"/>
                    <a:stretch>
                      <a:fillRect/>
                    </a:stretch>
                  </pic:blipFill>
                  <pic:spPr>
                    <a:xfrm>
                      <a:off x="0" y="0"/>
                      <a:ext cx="9244965" cy="5848350"/>
                    </a:xfrm>
                    <a:prstGeom prst="rect">
                      <a:avLst/>
                    </a:prstGeom>
                  </pic:spPr>
                </pic:pic>
              </a:graphicData>
            </a:graphic>
          </wp:inline>
        </w:drawing>
      </w:r>
      <w:r>
        <w:rPr>
          <w:rFonts w:hint="eastAsia" w:eastAsia="仿宋_GB2312"/>
          <w:b w:val="0"/>
          <w:bCs w:val="0"/>
          <w:lang w:val="en" w:eastAsia="zh-CN"/>
        </w:rPr>
        <w:drawing>
          <wp:inline distT="0" distB="0" distL="114300" distR="114300">
            <wp:extent cx="9291320" cy="5436235"/>
            <wp:effectExtent l="0" t="0" r="5080" b="12065"/>
            <wp:docPr id="5" name="图片 5" descr="607-北京市密云区城市管理委员会-决算草案报表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07-北京市密云区城市管理委员会-决算草案报表_15"/>
                    <pic:cNvPicPr>
                      <a:picLocks noChangeAspect="1"/>
                    </pic:cNvPicPr>
                  </pic:nvPicPr>
                  <pic:blipFill>
                    <a:blip r:embed="rId21"/>
                    <a:srcRect b="4942"/>
                    <a:stretch>
                      <a:fillRect/>
                    </a:stretch>
                  </pic:blipFill>
                  <pic:spPr>
                    <a:xfrm>
                      <a:off x="0" y="0"/>
                      <a:ext cx="9291320" cy="5436235"/>
                    </a:xfrm>
                    <a:prstGeom prst="rect">
                      <a:avLst/>
                    </a:prstGeom>
                  </pic:spPr>
                </pic:pic>
              </a:graphicData>
            </a:graphic>
          </wp:inline>
        </w:drawing>
      </w:r>
      <w:r>
        <w:rPr>
          <w:rFonts w:hint="eastAsia" w:eastAsia="仿宋_GB2312"/>
          <w:b w:val="0"/>
          <w:bCs w:val="0"/>
          <w:lang w:val="en" w:eastAsia="zh-CN"/>
        </w:rPr>
        <w:drawing>
          <wp:inline distT="0" distB="0" distL="114300" distR="114300">
            <wp:extent cx="9383395" cy="5827395"/>
            <wp:effectExtent l="0" t="0" r="8255" b="1905"/>
            <wp:docPr id="4" name="图片 4" descr="607-北京市密云区城市管理委员会-决算草案报表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607-北京市密云区城市管理委员会-决算草案报表_16"/>
                    <pic:cNvPicPr>
                      <a:picLocks noChangeAspect="1"/>
                    </pic:cNvPicPr>
                  </pic:nvPicPr>
                  <pic:blipFill>
                    <a:blip r:embed="rId22"/>
                    <a:srcRect b="4717"/>
                    <a:stretch>
                      <a:fillRect/>
                    </a:stretch>
                  </pic:blipFill>
                  <pic:spPr>
                    <a:xfrm>
                      <a:off x="0" y="0"/>
                      <a:ext cx="9383395" cy="5827395"/>
                    </a:xfrm>
                    <a:prstGeom prst="rect">
                      <a:avLst/>
                    </a:prstGeom>
                  </pic:spPr>
                </pic:pic>
              </a:graphicData>
            </a:graphic>
          </wp:inline>
        </w:drawing>
      </w:r>
      <w:r>
        <w:rPr>
          <w:rFonts w:hint="eastAsia" w:eastAsia="仿宋_GB2312"/>
          <w:b w:val="0"/>
          <w:bCs w:val="0"/>
          <w:lang w:val="en" w:eastAsia="zh-CN"/>
        </w:rPr>
        <w:drawing>
          <wp:inline distT="0" distB="0" distL="114300" distR="114300">
            <wp:extent cx="9256395" cy="5986780"/>
            <wp:effectExtent l="0" t="0" r="1905" b="13970"/>
            <wp:docPr id="3" name="图片 3" descr="607-北京市密云区城市管理委员会-决算草案报表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07-北京市密云区城市管理委员会-决算草案报表_17"/>
                    <pic:cNvPicPr>
                      <a:picLocks noChangeAspect="1"/>
                    </pic:cNvPicPr>
                  </pic:nvPicPr>
                  <pic:blipFill>
                    <a:blip r:embed="rId23"/>
                    <a:srcRect b="4515"/>
                    <a:stretch>
                      <a:fillRect/>
                    </a:stretch>
                  </pic:blipFill>
                  <pic:spPr>
                    <a:xfrm>
                      <a:off x="0" y="0"/>
                      <a:ext cx="9256395" cy="5986780"/>
                    </a:xfrm>
                    <a:prstGeom prst="rect">
                      <a:avLst/>
                    </a:prstGeom>
                  </pic:spPr>
                </pic:pic>
              </a:graphicData>
            </a:graphic>
          </wp:inline>
        </w:drawing>
      </w:r>
    </w:p>
    <w:p>
      <w:pPr>
        <w:tabs>
          <w:tab w:val="center" w:pos="6979"/>
        </w:tabs>
        <w:spacing w:before="156" w:beforeLines="50" w:after="156" w:afterLines="50"/>
        <w:jc w:val="center"/>
        <w:rPr>
          <w:rFonts w:hint="eastAsia" w:ascii="宋体" w:hAnsi="宋体"/>
          <w:b/>
          <w:sz w:val="32"/>
          <w:szCs w:val="32"/>
        </w:rPr>
      </w:pPr>
      <w:r>
        <w:rPr>
          <w:rFonts w:hint="eastAsia" w:ascii="宋体" w:hAnsi="宋体" w:cs="宋体"/>
          <w:b/>
          <w:bCs/>
          <w:spacing w:val="40"/>
          <w:kern w:val="0"/>
          <w:sz w:val="32"/>
          <w:szCs w:val="32"/>
        </w:rPr>
        <w:t xml:space="preserve">第二部分 </w:t>
      </w:r>
      <w:r>
        <w:rPr>
          <w:rFonts w:hint="eastAsia" w:ascii="宋体" w:hAnsi="宋体"/>
          <w:b/>
          <w:spacing w:val="40"/>
          <w:sz w:val="32"/>
          <w:szCs w:val="32"/>
        </w:rPr>
        <w:t>202</w:t>
      </w:r>
      <w:r>
        <w:rPr>
          <w:rFonts w:hint="eastAsia" w:ascii="宋体" w:hAnsi="宋体"/>
          <w:b/>
          <w:spacing w:val="40"/>
          <w:sz w:val="32"/>
          <w:szCs w:val="32"/>
          <w:lang w:val="en-US" w:eastAsia="zh-CN"/>
        </w:rPr>
        <w:t>3</w:t>
      </w:r>
      <w:r>
        <w:rPr>
          <w:rFonts w:hint="eastAsia" w:ascii="宋体" w:hAnsi="宋体"/>
          <w:b/>
          <w:spacing w:val="40"/>
          <w:sz w:val="32"/>
          <w:szCs w:val="32"/>
        </w:rPr>
        <w:t>年度部门决算说明</w:t>
      </w:r>
    </w:p>
    <w:p>
      <w:pPr>
        <w:tabs>
          <w:tab w:val="center" w:pos="6979"/>
        </w:tabs>
        <w:spacing w:line="580" w:lineRule="exact"/>
        <w:ind w:firstLine="548" w:firstLineChars="196"/>
        <w:rPr>
          <w:rFonts w:hint="eastAsia" w:ascii="黑体" w:eastAsia="黑体"/>
          <w:b/>
          <w:sz w:val="28"/>
          <w:szCs w:val="28"/>
        </w:rPr>
      </w:pPr>
      <w:r>
        <w:rPr>
          <w:rFonts w:hint="eastAsia" w:ascii="黑体" w:eastAsia="黑体"/>
          <w:b w:val="0"/>
          <w:bCs/>
          <w:sz w:val="28"/>
          <w:szCs w:val="28"/>
        </w:rPr>
        <w:t>一、部门/单位基本情况</w:t>
      </w:r>
      <w:r>
        <w:rPr>
          <w:rFonts w:hint="eastAsia" w:ascii="仿宋_GB2312" w:eastAsia="仿宋_GB2312"/>
          <w:sz w:val="28"/>
          <w:szCs w:val="28"/>
        </w:rPr>
        <w:t>（比照</w:t>
      </w:r>
      <w:r>
        <w:rPr>
          <w:rFonts w:ascii="仿宋_GB2312" w:eastAsia="仿宋_GB2312"/>
          <w:sz w:val="28"/>
          <w:szCs w:val="28"/>
        </w:rPr>
        <w:t>预算公开</w:t>
      </w:r>
      <w:r>
        <w:rPr>
          <w:rFonts w:hint="eastAsia" w:ascii="仿宋_GB2312" w:eastAsia="仿宋_GB2312"/>
          <w:sz w:val="28"/>
          <w:szCs w:val="28"/>
        </w:rPr>
        <w:t>的内容</w:t>
      </w:r>
      <w:r>
        <w:rPr>
          <w:rFonts w:ascii="仿宋_GB2312" w:eastAsia="仿宋_GB2312"/>
          <w:sz w:val="28"/>
          <w:szCs w:val="28"/>
        </w:rPr>
        <w:t>格式）</w:t>
      </w:r>
    </w:p>
    <w:p>
      <w:pPr>
        <w:pStyle w:val="2"/>
        <w:rPr>
          <w:rFonts w:hint="eastAsia"/>
        </w:rPr>
      </w:pPr>
      <w:r>
        <w:rPr>
          <w:rFonts w:hint="eastAsia" w:ascii="仿宋_GB2312" w:eastAsia="仿宋_GB2312"/>
          <w:sz w:val="28"/>
          <w:szCs w:val="28"/>
        </w:rPr>
        <w:t>（一）</w:t>
      </w:r>
      <w:r>
        <w:rPr>
          <w:rFonts w:hint="eastAsia" w:ascii="仿宋_GB2312" w:eastAsia="仿宋_GB2312"/>
          <w:sz w:val="28"/>
          <w:szCs w:val="28"/>
          <w:lang w:val="en-US" w:eastAsia="zh-CN"/>
        </w:rPr>
        <w:t>1、</w:t>
      </w:r>
      <w:r>
        <w:rPr>
          <w:rFonts w:hint="eastAsia" w:ascii="仿宋" w:hAnsi="仿宋" w:eastAsia="仿宋" w:cs="仿宋"/>
          <w:sz w:val="28"/>
          <w:szCs w:val="28"/>
        </w:rPr>
        <w:t>机构职责</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w:t>
      </w:r>
      <w:r>
        <w:rPr>
          <w:rFonts w:hint="eastAsia" w:ascii="仿宋" w:hAnsi="仿宋" w:eastAsia="仿宋" w:cs="仿宋"/>
          <w:sz w:val="28"/>
          <w:szCs w:val="28"/>
        </w:rPr>
        <w:t>）贯彻执行国家和本市有关法律法规、战略规划和政策措施；起草全区关于城市管理和城乡环境建设综合协调、市容环境卫生管理、能源日常运行管理、相关市政公用事业管理等方面的</w:t>
      </w:r>
      <w:r>
        <w:rPr>
          <w:rFonts w:hint="eastAsia" w:ascii="仿宋" w:hAnsi="仿宋" w:eastAsia="仿宋" w:cs="仿宋"/>
          <w:bCs/>
          <w:sz w:val="28"/>
          <w:szCs w:val="28"/>
        </w:rPr>
        <w:t>规范性文件，拟</w:t>
      </w:r>
      <w:r>
        <w:rPr>
          <w:rFonts w:hint="eastAsia" w:ascii="仿宋" w:hAnsi="仿宋" w:eastAsia="仿宋" w:cs="仿宋"/>
          <w:sz w:val="28"/>
          <w:szCs w:val="28"/>
        </w:rPr>
        <w:t xml:space="preserve">订全区城市管理方面的发展规划、年度计划，并组织实施；制定相关标准化工作规划、计划，拟订相关地方标准和规范，并组织监督实施。 </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2</w:t>
      </w:r>
      <w:r>
        <w:rPr>
          <w:rFonts w:hint="eastAsia" w:ascii="仿宋" w:hAnsi="仿宋" w:eastAsia="仿宋" w:cs="仿宋"/>
          <w:sz w:val="28"/>
          <w:szCs w:val="28"/>
        </w:rPr>
        <w:t>）负责全区城市管理工作</w:t>
      </w:r>
      <w:r>
        <w:rPr>
          <w:rFonts w:hint="eastAsia" w:ascii="仿宋" w:hAnsi="仿宋" w:eastAsia="仿宋" w:cs="仿宋"/>
          <w:color w:val="000000"/>
          <w:sz w:val="28"/>
          <w:szCs w:val="28"/>
        </w:rPr>
        <w:t>的业务指导、组织协调、监督检查、考核评价；</w:t>
      </w:r>
      <w:r>
        <w:rPr>
          <w:rFonts w:hint="eastAsia" w:ascii="仿宋" w:hAnsi="仿宋" w:eastAsia="仿宋" w:cs="仿宋"/>
          <w:sz w:val="28"/>
          <w:szCs w:val="28"/>
        </w:rPr>
        <w:t>承担城市管理、城乡环境建设的综合协调、监督考核工作；承担密云区城乡环境建设管理委员会的日常工作。</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b w:val="0"/>
          <w:bCs w:val="0"/>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3</w:t>
      </w:r>
      <w:r>
        <w:rPr>
          <w:rFonts w:hint="eastAsia" w:ascii="仿宋" w:hAnsi="仿宋" w:eastAsia="仿宋" w:cs="仿宋"/>
          <w:sz w:val="28"/>
          <w:szCs w:val="28"/>
        </w:rPr>
        <w:t>）负责组织指导信息化城市管理系统工作；组织协调、管理城市运行保障的相关工作</w:t>
      </w:r>
      <w:r>
        <w:rPr>
          <w:rFonts w:hint="eastAsia" w:ascii="仿宋" w:hAnsi="仿宋" w:eastAsia="仿宋" w:cs="仿宋"/>
          <w:sz w:val="28"/>
          <w:szCs w:val="28"/>
          <w:lang w:eastAsia="zh-CN"/>
        </w:rPr>
        <w:t>；</w:t>
      </w:r>
      <w:r>
        <w:rPr>
          <w:rFonts w:hint="eastAsia" w:ascii="仿宋" w:hAnsi="仿宋" w:eastAsia="仿宋" w:cs="仿宋"/>
          <w:b w:val="0"/>
          <w:bCs w:val="0"/>
          <w:kern w:val="2"/>
          <w:sz w:val="28"/>
          <w:szCs w:val="28"/>
          <w:lang w:eastAsia="zh-CN"/>
        </w:rPr>
        <w:t>负责城市道路及其附属设施的统筹管理工作；负责政府投资重点道路项目手续办理、征地拆迁的组织实施工作。</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4</w:t>
      </w:r>
      <w:r>
        <w:rPr>
          <w:rFonts w:hint="eastAsia" w:ascii="仿宋" w:hAnsi="仿宋" w:eastAsia="仿宋" w:cs="仿宋"/>
          <w:sz w:val="28"/>
          <w:szCs w:val="28"/>
        </w:rPr>
        <w:t>）承担全区城市容貌管理责任；组织协调落实重点地区、重点街道的景观建设和治理工作；组织协调、管理城市道路公共服务设施设置；负责市容环境综合整治工作，组织架空线入地和规范整治工作；负责管理户外广告、牌匾标识、标语、宣传品设置；负责城市照明管理工作，会同区规划部门编制夜景照明专项规划并组织实施，监督照明设施的维护管理。</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b w:val="0"/>
          <w:bCs w:val="0"/>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5</w:t>
      </w:r>
      <w:r>
        <w:rPr>
          <w:rFonts w:hint="eastAsia" w:ascii="仿宋" w:hAnsi="仿宋" w:eastAsia="仿宋" w:cs="仿宋"/>
          <w:sz w:val="28"/>
          <w:szCs w:val="28"/>
        </w:rPr>
        <w:t>）负责全区城市环境卫生的组织管理和监督检查工作；承担生活垃圾等固体废弃物清扫、收集、贮存、运输和处置的监督管理责任；负责指导、管理环境卫生设施建设工作；</w:t>
      </w:r>
      <w:r>
        <w:rPr>
          <w:rFonts w:hint="eastAsia" w:ascii="仿宋" w:hAnsi="仿宋" w:eastAsia="仿宋" w:cs="仿宋"/>
          <w:b w:val="0"/>
          <w:bCs w:val="0"/>
          <w:sz w:val="28"/>
          <w:szCs w:val="28"/>
        </w:rPr>
        <w:t>负责</w:t>
      </w:r>
      <w:r>
        <w:rPr>
          <w:rFonts w:hint="eastAsia" w:ascii="仿宋" w:hAnsi="仿宋" w:eastAsia="仿宋" w:cs="仿宋"/>
          <w:b w:val="0"/>
          <w:bCs w:val="0"/>
          <w:sz w:val="28"/>
          <w:szCs w:val="28"/>
          <w:lang w:eastAsia="zh-CN"/>
        </w:rPr>
        <w:t>指导</w:t>
      </w:r>
      <w:r>
        <w:rPr>
          <w:rFonts w:hint="eastAsia" w:ascii="仿宋" w:hAnsi="仿宋" w:eastAsia="仿宋" w:cs="仿宋"/>
          <w:b w:val="0"/>
          <w:bCs w:val="0"/>
          <w:sz w:val="28"/>
          <w:szCs w:val="28"/>
        </w:rPr>
        <w:t>垃圾分类工作，按有关规定对再生资源回收行业进行监督管理。</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6</w:t>
      </w:r>
      <w:r>
        <w:rPr>
          <w:rFonts w:hint="eastAsia" w:ascii="仿宋" w:hAnsi="仿宋" w:eastAsia="仿宋" w:cs="仿宋"/>
          <w:sz w:val="28"/>
          <w:szCs w:val="28"/>
        </w:rPr>
        <w:t>）负责全区煤炭、电力、燃气、供热、电源点的行业管理；负责加油（气）站管理的综合协调；负责新能源汽车充电站（桩）的建设和运营管理。</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7</w:t>
      </w:r>
      <w:r>
        <w:rPr>
          <w:rFonts w:hint="eastAsia" w:ascii="仿宋" w:hAnsi="仿宋" w:eastAsia="仿宋" w:cs="仿宋"/>
          <w:sz w:val="28"/>
          <w:szCs w:val="28"/>
        </w:rPr>
        <w:t>）统筹全区能源日常运行工作，承担煤、电、油、气等能源的日常运行监测、调度、协调和供应保障工作；建立健全热电气常态化联调联供机制。</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8</w:t>
      </w:r>
      <w:r>
        <w:rPr>
          <w:rFonts w:hint="eastAsia" w:ascii="仿宋" w:hAnsi="仿宋" w:eastAsia="仿宋" w:cs="仿宋"/>
          <w:sz w:val="28"/>
          <w:szCs w:val="28"/>
        </w:rPr>
        <w:t>）承担综合协调管理全区城市地下管线及其检查井和井盖设施的责任；会同区规划、交通等相关管理部门推进地下管线工程与道路工程同步实施；负责地下综合管廊规划、建设和运营的综合协调管理，制定相关政策，参与编制地下综合管廊规划，拟订年度建设计划，负责地下综合管廊运营的监督管理；承担相关市政设施建设的统筹协调工作，建立市政设施工程规划、建设、管理有效衔接机制，参与相关建设工程的联合验收。</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9</w:t>
      </w:r>
      <w:r>
        <w:rPr>
          <w:rFonts w:hint="eastAsia" w:ascii="仿宋" w:hAnsi="仿宋" w:eastAsia="仿宋" w:cs="仿宋"/>
          <w:sz w:val="28"/>
          <w:szCs w:val="28"/>
        </w:rPr>
        <w:t>）负责主管全区石油、天然气管道（不包括炼油、化工等企业厂区内管道）保护工作，并承担相应管理职责。</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10</w:t>
      </w:r>
      <w:r>
        <w:rPr>
          <w:rFonts w:hint="eastAsia" w:ascii="仿宋" w:hAnsi="仿宋" w:eastAsia="仿宋" w:cs="仿宋"/>
          <w:sz w:val="28"/>
          <w:szCs w:val="28"/>
        </w:rPr>
        <w:t>）承担市容环境卫生、燃气、供热、电力、电源点、煤炭、市政管线及附属设施、地下综合管廊、再生资源回收、加气（电）站、户外广告设施、城市照明设施等方面的安全管理责任；负责相关重要设施建设工程质量和安全运行的监督管理；督促行业内重点单位建立安全管理制度和应急预案，落实安全防范措施，消除事故隐患，并在职责权限范围内负责监督检查和依法处理。承担密云区城市公共设施事故应急指挥部、密云区电力事故应急指挥部的具体工作。</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11</w:t>
      </w:r>
      <w:r>
        <w:rPr>
          <w:rFonts w:hint="eastAsia" w:ascii="仿宋" w:hAnsi="仿宋" w:eastAsia="仿宋" w:cs="仿宋"/>
          <w:sz w:val="28"/>
          <w:szCs w:val="28"/>
        </w:rPr>
        <w:t>）</w:t>
      </w:r>
      <w:r>
        <w:rPr>
          <w:rFonts w:hint="eastAsia" w:ascii="仿宋" w:hAnsi="仿宋" w:eastAsia="仿宋" w:cs="仿宋"/>
          <w:b w:val="0"/>
          <w:bCs w:val="0"/>
          <w:kern w:val="0"/>
          <w:sz w:val="28"/>
          <w:szCs w:val="28"/>
        </w:rPr>
        <w:t>负责全区经营性机动车公共停车设施</w:t>
      </w:r>
      <w:r>
        <w:rPr>
          <w:rFonts w:hint="eastAsia" w:ascii="仿宋" w:hAnsi="仿宋" w:eastAsia="仿宋" w:cs="仿宋"/>
          <w:b w:val="0"/>
          <w:bCs w:val="0"/>
          <w:kern w:val="0"/>
          <w:sz w:val="28"/>
          <w:szCs w:val="28"/>
          <w:lang w:eastAsia="zh-CN"/>
        </w:rPr>
        <w:t>行业</w:t>
      </w:r>
      <w:r>
        <w:rPr>
          <w:rFonts w:hint="eastAsia" w:ascii="仿宋" w:hAnsi="仿宋" w:eastAsia="仿宋" w:cs="仿宋"/>
          <w:b w:val="0"/>
          <w:bCs w:val="0"/>
          <w:kern w:val="0"/>
          <w:sz w:val="28"/>
          <w:szCs w:val="28"/>
        </w:rPr>
        <w:t>管理工作；</w:t>
      </w:r>
      <w:r>
        <w:rPr>
          <w:rFonts w:hint="eastAsia" w:ascii="仿宋" w:hAnsi="仿宋" w:eastAsia="仿宋" w:cs="仿宋"/>
          <w:b w:val="0"/>
          <w:bCs w:val="0"/>
          <w:sz w:val="28"/>
          <w:szCs w:val="28"/>
        </w:rPr>
        <w:t>负责静态交通管理；负责统筹协调本区交通秩序管理工作，</w:t>
      </w:r>
      <w:r>
        <w:rPr>
          <w:rFonts w:hint="eastAsia" w:ascii="仿宋" w:hAnsi="仿宋" w:eastAsia="仿宋" w:cs="仿宋"/>
          <w:sz w:val="28"/>
          <w:szCs w:val="28"/>
        </w:rPr>
        <w:t>组织实施本区交通专项疏堵工作，组织协调区域停车设施、公共场站规划建设。</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b w:val="0"/>
          <w:bCs w:val="0"/>
          <w:sz w:val="28"/>
          <w:szCs w:val="28"/>
        </w:rPr>
      </w:pPr>
      <w:r>
        <w:rPr>
          <w:rFonts w:hint="eastAsia" w:ascii="仿宋" w:hAnsi="仿宋" w:eastAsia="仿宋" w:cs="仿宋"/>
          <w:b w:val="0"/>
          <w:bCs w:val="0"/>
          <w:sz w:val="28"/>
          <w:szCs w:val="28"/>
        </w:rPr>
        <w:t>（</w:t>
      </w:r>
      <w:r>
        <w:rPr>
          <w:rFonts w:hint="eastAsia" w:ascii="仿宋" w:hAnsi="仿宋" w:eastAsia="仿宋" w:cs="仿宋"/>
          <w:b w:val="0"/>
          <w:bCs w:val="0"/>
          <w:sz w:val="28"/>
          <w:szCs w:val="28"/>
          <w:lang w:val="en-US" w:eastAsia="zh-CN"/>
        </w:rPr>
        <w:t>12</w:t>
      </w:r>
      <w:r>
        <w:rPr>
          <w:rFonts w:hint="eastAsia" w:ascii="仿宋" w:hAnsi="仿宋" w:eastAsia="仿宋" w:cs="仿宋"/>
          <w:b w:val="0"/>
          <w:bCs w:val="0"/>
          <w:sz w:val="28"/>
          <w:szCs w:val="28"/>
        </w:rPr>
        <w:t>）</w:t>
      </w:r>
      <w:r>
        <w:rPr>
          <w:rFonts w:hint="eastAsia" w:ascii="仿宋" w:hAnsi="仿宋" w:eastAsia="仿宋" w:cs="仿宋"/>
          <w:b w:val="0"/>
          <w:bCs w:val="0"/>
          <w:sz w:val="28"/>
          <w:szCs w:val="28"/>
          <w:lang w:eastAsia="zh-CN"/>
        </w:rPr>
        <w:t>负责监护密云辖区铁路道口过往车辆、行人安全。</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13</w:t>
      </w:r>
      <w:r>
        <w:rPr>
          <w:rFonts w:hint="eastAsia" w:ascii="仿宋" w:hAnsi="仿宋" w:eastAsia="仿宋" w:cs="仿宋"/>
          <w:sz w:val="28"/>
          <w:szCs w:val="28"/>
          <w:lang w:eastAsia="zh-CN"/>
        </w:rPr>
        <w:t>）</w:t>
      </w:r>
      <w:r>
        <w:rPr>
          <w:rFonts w:hint="eastAsia" w:ascii="仿宋" w:hAnsi="仿宋" w:eastAsia="仿宋" w:cs="仿宋"/>
          <w:sz w:val="28"/>
          <w:szCs w:val="28"/>
        </w:rPr>
        <w:t>承办区政府交办的其他事项。</w:t>
      </w:r>
    </w:p>
    <w:p>
      <w:pPr>
        <w:keepNext w:val="0"/>
        <w:keepLines w:val="0"/>
        <w:pageBreakBefore w:val="0"/>
        <w:widowControl/>
        <w:kinsoku/>
        <w:wordWrap/>
        <w:overflowPunct/>
        <w:topLinePunct w:val="0"/>
        <w:autoSpaceDE/>
        <w:autoSpaceDN/>
        <w:bidi w:val="0"/>
        <w:spacing w:line="580" w:lineRule="exact"/>
        <w:ind w:firstLine="560" w:firstLineChars="200"/>
        <w:jc w:val="left"/>
        <w:rPr>
          <w:rFonts w:hint="eastAsia" w:ascii="仿宋" w:hAnsi="仿宋" w:eastAsia="仿宋" w:cs="仿宋"/>
          <w:color w:val="000000"/>
          <w:kern w:val="0"/>
          <w:sz w:val="28"/>
          <w:szCs w:val="28"/>
          <w:shd w:val="clear" w:color="auto" w:fill="FFFFFF"/>
          <w:lang w:eastAsia="zh-CN"/>
        </w:rPr>
      </w:pPr>
      <w:r>
        <w:rPr>
          <w:rFonts w:hint="eastAsia" w:ascii="仿宋" w:hAnsi="仿宋" w:eastAsia="仿宋" w:cs="仿宋"/>
          <w:sz w:val="28"/>
          <w:szCs w:val="28"/>
          <w:lang w:val="en-US" w:eastAsia="zh-CN"/>
        </w:rPr>
        <w:t>2.</w:t>
      </w:r>
      <w:r>
        <w:rPr>
          <w:rFonts w:hint="eastAsia" w:ascii="仿宋" w:hAnsi="仿宋" w:eastAsia="仿宋" w:cs="仿宋"/>
          <w:sz w:val="28"/>
          <w:szCs w:val="28"/>
        </w:rPr>
        <w:t>内设</w:t>
      </w:r>
      <w:r>
        <w:rPr>
          <w:rFonts w:hint="eastAsia" w:ascii="仿宋" w:hAnsi="仿宋" w:eastAsia="仿宋" w:cs="仿宋"/>
          <w:color w:val="000000"/>
          <w:kern w:val="0"/>
          <w:sz w:val="28"/>
          <w:szCs w:val="28"/>
          <w:shd w:val="clear" w:color="auto" w:fill="FFFFFF"/>
          <w:lang w:eastAsia="zh-CN"/>
        </w:rPr>
        <w:t>机构设置情况</w:t>
      </w:r>
    </w:p>
    <w:p>
      <w:pPr>
        <w:keepNext w:val="0"/>
        <w:keepLines w:val="0"/>
        <w:pageBreakBefore w:val="0"/>
        <w:widowControl w:val="0"/>
        <w:kinsoku/>
        <w:wordWrap/>
        <w:overflowPunct/>
        <w:topLinePunct w:val="0"/>
        <w:autoSpaceDE/>
        <w:autoSpaceDN/>
        <w:bidi w:val="0"/>
        <w:adjustRightInd/>
        <w:snapToGrid/>
        <w:spacing w:line="580" w:lineRule="exact"/>
        <w:ind w:firstLine="560" w:firstLineChars="200"/>
        <w:textAlignment w:val="baseline"/>
        <w:rPr>
          <w:rFonts w:hint="eastAsia" w:ascii="仿宋" w:hAnsi="仿宋" w:eastAsia="仿宋" w:cs="仿宋"/>
          <w:sz w:val="28"/>
          <w:szCs w:val="28"/>
          <w:lang w:eastAsia="zh-CN"/>
        </w:rPr>
      </w:pPr>
      <w:r>
        <w:rPr>
          <w:rFonts w:hint="eastAsia" w:ascii="仿宋" w:hAnsi="仿宋" w:eastAsia="仿宋" w:cs="仿宋"/>
          <w:sz w:val="28"/>
          <w:szCs w:val="28"/>
        </w:rPr>
        <w:t>行政科室</w:t>
      </w:r>
    </w:p>
    <w:p>
      <w:pPr>
        <w:keepNext w:val="0"/>
        <w:keepLines w:val="0"/>
        <w:pageBreakBefore w:val="0"/>
        <w:kinsoku/>
        <w:wordWrap/>
        <w:overflowPunct/>
        <w:topLinePunct w:val="0"/>
        <w:autoSpaceDE/>
        <w:autoSpaceDN/>
        <w:bidi w:val="0"/>
        <w:spacing w:line="580" w:lineRule="exact"/>
        <w:ind w:firstLine="560" w:firstLineChars="200"/>
        <w:textAlignment w:val="baseline"/>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w:t>
      </w:r>
      <w:r>
        <w:rPr>
          <w:rFonts w:hint="eastAsia" w:ascii="仿宋" w:hAnsi="仿宋" w:eastAsia="仿宋" w:cs="仿宋"/>
          <w:sz w:val="28"/>
          <w:szCs w:val="28"/>
        </w:rPr>
        <w:t>）办公室</w:t>
      </w:r>
    </w:p>
    <w:p>
      <w:pPr>
        <w:keepNext w:val="0"/>
        <w:keepLines w:val="0"/>
        <w:pageBreakBefore w:val="0"/>
        <w:widowControl/>
        <w:kinsoku/>
        <w:wordWrap/>
        <w:overflowPunct/>
        <w:topLinePunct w:val="0"/>
        <w:autoSpaceDE/>
        <w:autoSpaceDN/>
        <w:bidi w:val="0"/>
        <w:spacing w:line="580" w:lineRule="exact"/>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负责机关事务工作；负责文电、会务、文秘、机要等机关日常运转工作；负责机关文书档案收集、整理、升级等工作（各业务科室文书档案由本部门按要求整理后交文书档案室）；承担信访、议案、建议、提案、保密、政府信息公开、电子政务和组织接待联络工作；负责机关车辆、后勤工作；承担绩效考核和督查工作；组织有关地方志、年鉴的编纂工作；完成领导交办的其他工作。</w:t>
      </w:r>
    </w:p>
    <w:p>
      <w:pPr>
        <w:keepNext w:val="0"/>
        <w:keepLines w:val="0"/>
        <w:pageBreakBefore w:val="0"/>
        <w:widowControl w:val="0"/>
        <w:kinsoku/>
        <w:wordWrap/>
        <w:overflowPunct/>
        <w:topLinePunct w:val="0"/>
        <w:autoSpaceDE/>
        <w:autoSpaceDN/>
        <w:bidi w:val="0"/>
        <w:spacing w:line="580" w:lineRule="exact"/>
        <w:ind w:firstLine="560" w:firstLineChars="200"/>
        <w:textAlignment w:val="baseline"/>
        <w:rPr>
          <w:rFonts w:hint="eastAsia" w:ascii="仿宋" w:hAnsi="仿宋" w:eastAsia="仿宋" w:cs="仿宋"/>
          <w:b w:val="0"/>
          <w:kern w:val="2"/>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2</w:t>
      </w:r>
      <w:r>
        <w:rPr>
          <w:rFonts w:hint="eastAsia" w:ascii="仿宋" w:hAnsi="仿宋" w:eastAsia="仿宋" w:cs="仿宋"/>
          <w:sz w:val="28"/>
          <w:szCs w:val="28"/>
        </w:rPr>
        <w:t>）机关党委（党建科、政工科）</w:t>
      </w:r>
    </w:p>
    <w:p>
      <w:pPr>
        <w:keepNext w:val="0"/>
        <w:keepLines w:val="0"/>
        <w:pageBreakBefore w:val="0"/>
        <w:widowControl w:val="0"/>
        <w:kinsoku/>
        <w:wordWrap/>
        <w:overflowPunct/>
        <w:topLinePunct w:val="0"/>
        <w:autoSpaceDE/>
        <w:autoSpaceDN/>
        <w:bidi w:val="0"/>
        <w:spacing w:line="580" w:lineRule="exact"/>
        <w:ind w:firstLine="560" w:firstLineChars="200"/>
        <w:textAlignment w:val="baseline"/>
        <w:rPr>
          <w:rFonts w:hint="eastAsia" w:ascii="仿宋" w:hAnsi="仿宋" w:eastAsia="仿宋" w:cs="仿宋"/>
          <w:sz w:val="28"/>
          <w:szCs w:val="28"/>
        </w:rPr>
      </w:pPr>
      <w:r>
        <w:rPr>
          <w:rFonts w:hint="eastAsia" w:ascii="仿宋" w:hAnsi="仿宋" w:eastAsia="仿宋" w:cs="仿宋"/>
          <w:sz w:val="28"/>
          <w:szCs w:val="28"/>
        </w:rPr>
        <w:t>负责机关及所属单位的党群工作 。承担党组落实党要管党、从严治党和党风廉政建设主体责任的具体工作；负责本系统思想政治、精神文明建设工作、统战工作；负责妇联和共青团工作；负责本系统老干部管理与服务工作；负责机关及所属单位组织、人事、劳资、机构编制、干部队伍建设；负责人事档案的管理工作;完成领导交办的其他工作。</w:t>
      </w:r>
    </w:p>
    <w:p>
      <w:pPr>
        <w:keepNext w:val="0"/>
        <w:keepLines w:val="0"/>
        <w:pageBreakBefore w:val="0"/>
        <w:widowControl w:val="0"/>
        <w:kinsoku/>
        <w:wordWrap/>
        <w:overflowPunct/>
        <w:topLinePunct w:val="0"/>
        <w:autoSpaceDE/>
        <w:autoSpaceDN/>
        <w:bidi w:val="0"/>
        <w:spacing w:line="580" w:lineRule="exact"/>
        <w:ind w:firstLine="560" w:firstLineChars="200"/>
        <w:textAlignment w:val="baseline"/>
        <w:rPr>
          <w:rFonts w:hint="eastAsia" w:ascii="仿宋" w:hAnsi="仿宋" w:eastAsia="仿宋" w:cs="仿宋"/>
          <w:b w:val="0"/>
          <w:kern w:val="2"/>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3</w:t>
      </w:r>
      <w:r>
        <w:rPr>
          <w:rFonts w:hint="eastAsia" w:ascii="仿宋" w:hAnsi="仿宋" w:eastAsia="仿宋" w:cs="仿宋"/>
          <w:sz w:val="28"/>
          <w:szCs w:val="28"/>
        </w:rPr>
        <w:t>）</w:t>
      </w:r>
      <w:r>
        <w:rPr>
          <w:rFonts w:hint="eastAsia" w:ascii="仿宋" w:hAnsi="仿宋" w:eastAsia="仿宋" w:cs="仿宋"/>
          <w:b w:val="0"/>
          <w:kern w:val="2"/>
          <w:sz w:val="28"/>
          <w:szCs w:val="28"/>
        </w:rPr>
        <w:t>财务审计科</w:t>
      </w:r>
    </w:p>
    <w:p>
      <w:pPr>
        <w:keepNext w:val="0"/>
        <w:keepLines w:val="0"/>
        <w:pageBreakBefore w:val="0"/>
        <w:kinsoku/>
        <w:wordWrap/>
        <w:overflowPunct/>
        <w:topLinePunct w:val="0"/>
        <w:autoSpaceDE/>
        <w:autoSpaceDN/>
        <w:bidi w:val="0"/>
        <w:spacing w:line="580" w:lineRule="exact"/>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负责贯彻落实国家颁布的《会计法》，依法理财；执行国家有关财政、财务、会计法规和制度；负责根据上级核准的预算（计划）和有关政策、制度、规定，对财务收支情况进行反映和监督;负责专项资金的监督、控制、管理工作；负责固定资产登记、监督、销毁工作；承担会计报表，会计资料、立卷、归档工作；监督检查所属单位财务的预算执行情况；完成领导交办的其他工作。</w:t>
      </w:r>
    </w:p>
    <w:p>
      <w:pPr>
        <w:keepNext w:val="0"/>
        <w:keepLines w:val="0"/>
        <w:pageBreakBefore w:val="0"/>
        <w:kinsoku/>
        <w:wordWrap/>
        <w:overflowPunct/>
        <w:topLinePunct w:val="0"/>
        <w:autoSpaceDE/>
        <w:autoSpaceDN/>
        <w:bidi w:val="0"/>
        <w:spacing w:line="580" w:lineRule="exact"/>
        <w:ind w:firstLine="560" w:firstLineChars="200"/>
        <w:textAlignment w:val="baseline"/>
        <w:rPr>
          <w:rFonts w:hint="eastAsia" w:ascii="仿宋" w:hAnsi="仿宋" w:eastAsia="仿宋" w:cs="仿宋"/>
          <w:b w:val="0"/>
          <w:kern w:val="2"/>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4</w:t>
      </w:r>
      <w:r>
        <w:rPr>
          <w:rFonts w:hint="eastAsia" w:ascii="仿宋" w:hAnsi="仿宋" w:eastAsia="仿宋" w:cs="仿宋"/>
          <w:sz w:val="28"/>
          <w:szCs w:val="28"/>
        </w:rPr>
        <w:t>）</w:t>
      </w:r>
      <w:r>
        <w:rPr>
          <w:rFonts w:hint="eastAsia" w:ascii="仿宋" w:hAnsi="仿宋" w:eastAsia="仿宋" w:cs="仿宋"/>
          <w:b w:val="0"/>
          <w:kern w:val="2"/>
          <w:sz w:val="28"/>
          <w:szCs w:val="28"/>
        </w:rPr>
        <w:t>市政公用设施管理科</w:t>
      </w:r>
    </w:p>
    <w:p>
      <w:pPr>
        <w:keepNext w:val="0"/>
        <w:keepLines w:val="0"/>
        <w:pageBreakBefore w:val="0"/>
        <w:widowControl w:val="0"/>
        <w:kinsoku/>
        <w:wordWrap/>
        <w:overflowPunct/>
        <w:topLinePunct w:val="0"/>
        <w:autoSpaceDE/>
        <w:autoSpaceDN/>
        <w:bidi w:val="0"/>
        <w:spacing w:line="580" w:lineRule="exact"/>
        <w:ind w:firstLine="560" w:firstLineChars="200"/>
        <w:textAlignment w:val="baseline"/>
        <w:rPr>
          <w:rFonts w:hint="eastAsia" w:ascii="仿宋" w:hAnsi="仿宋" w:eastAsia="仿宋" w:cs="仿宋"/>
          <w:sz w:val="28"/>
          <w:szCs w:val="28"/>
        </w:rPr>
      </w:pPr>
      <w:r>
        <w:rPr>
          <w:rFonts w:hint="eastAsia" w:ascii="仿宋" w:hAnsi="仿宋" w:eastAsia="仿宋" w:cs="仿宋"/>
          <w:sz w:val="28"/>
          <w:szCs w:val="28"/>
        </w:rPr>
        <w:t>负责编制全区市政基础设施建设专项规划及其建设、维修的年度计划，并组织实施；负责组织实施政府投资的市政基础设施建设项目的申报、立项、建设管理和竣工验收工作；负责管理辖区内城市道路及附属设施、参与组织城区道路、市政公用设施防汛工作；负责临时占用（挖掘）城市道路的行政许可工作；负责全区市政公用行业科技发展和信息化工作，指导重大科技项目攻关、成果推广和新技术引进工作;完成领导交办的其他工作。</w:t>
      </w:r>
    </w:p>
    <w:p>
      <w:pPr>
        <w:keepNext w:val="0"/>
        <w:keepLines w:val="0"/>
        <w:pageBreakBefore w:val="0"/>
        <w:widowControl w:val="0"/>
        <w:kinsoku/>
        <w:wordWrap/>
        <w:overflowPunct/>
        <w:topLinePunct w:val="0"/>
        <w:autoSpaceDE/>
        <w:autoSpaceDN/>
        <w:bidi w:val="0"/>
        <w:spacing w:line="580" w:lineRule="exact"/>
        <w:ind w:firstLine="560" w:firstLineChars="200"/>
        <w:textAlignment w:val="baseline"/>
        <w:rPr>
          <w:rFonts w:hint="eastAsia" w:ascii="仿宋" w:hAnsi="仿宋" w:eastAsia="仿宋" w:cs="仿宋"/>
          <w:b w:val="0"/>
          <w:kern w:val="2"/>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5</w:t>
      </w:r>
      <w:r>
        <w:rPr>
          <w:rFonts w:hint="eastAsia" w:ascii="仿宋" w:hAnsi="仿宋" w:eastAsia="仿宋" w:cs="仿宋"/>
          <w:sz w:val="28"/>
          <w:szCs w:val="28"/>
        </w:rPr>
        <w:t>）</w:t>
      </w:r>
      <w:r>
        <w:rPr>
          <w:rFonts w:hint="eastAsia" w:ascii="仿宋" w:hAnsi="仿宋" w:eastAsia="仿宋" w:cs="仿宋"/>
          <w:b w:val="0"/>
          <w:kern w:val="2"/>
          <w:sz w:val="28"/>
          <w:szCs w:val="28"/>
        </w:rPr>
        <w:t>环境建设管理科</w:t>
      </w:r>
    </w:p>
    <w:p>
      <w:pPr>
        <w:keepNext w:val="0"/>
        <w:keepLines w:val="0"/>
        <w:pageBreakBefore w:val="0"/>
        <w:widowControl/>
        <w:kinsoku/>
        <w:wordWrap/>
        <w:overflowPunct/>
        <w:topLinePunct w:val="0"/>
        <w:autoSpaceDE/>
        <w:autoSpaceDN/>
        <w:bidi w:val="0"/>
        <w:spacing w:line="580" w:lineRule="exact"/>
        <w:ind w:firstLine="560" w:firstLineChars="200"/>
        <w:rPr>
          <w:rFonts w:hint="eastAsia" w:ascii="仿宋" w:hAnsi="仿宋" w:eastAsia="仿宋" w:cs="仿宋"/>
          <w:b/>
          <w:kern w:val="0"/>
          <w:sz w:val="28"/>
          <w:szCs w:val="28"/>
        </w:rPr>
      </w:pPr>
      <w:r>
        <w:rPr>
          <w:rFonts w:hint="eastAsia" w:ascii="仿宋" w:hAnsi="仿宋" w:eastAsia="仿宋" w:cs="仿宋"/>
          <w:kern w:val="0"/>
          <w:sz w:val="28"/>
          <w:szCs w:val="28"/>
        </w:rPr>
        <w:t>负责市容景观管理工作，指导落实重点地区、重点街道容貌景观规划、建设和治理，并监督检查；组织开展重大活动的城市景观布置，组织协调城市道路公共服务设施管理，组织编制专项规划，并组织落实建设、治理和维护工作；负责市容环境整治管理指导工作，起草工作方案，拟订任务计划，并组织落实；组织开展重点区域环境问题综合整治和环境秩序的协调治理工作；负责城市精细化管理工作; 组织架空线入地和规范整治工作；完成领导交办的其他工作。</w:t>
      </w:r>
    </w:p>
    <w:p>
      <w:pPr>
        <w:keepNext w:val="0"/>
        <w:keepLines w:val="0"/>
        <w:pageBreakBefore w:val="0"/>
        <w:kinsoku/>
        <w:wordWrap/>
        <w:overflowPunct/>
        <w:topLinePunct w:val="0"/>
        <w:autoSpaceDE/>
        <w:autoSpaceDN/>
        <w:bidi w:val="0"/>
        <w:spacing w:after="0" w:line="580" w:lineRule="exact"/>
        <w:ind w:firstLine="560" w:firstLineChars="200"/>
        <w:textAlignment w:val="baseline"/>
        <w:rPr>
          <w:rFonts w:hint="eastAsia" w:ascii="仿宋" w:hAnsi="仿宋" w:eastAsia="仿宋" w:cs="仿宋"/>
          <w:b w:val="0"/>
          <w:bCs w:val="0"/>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6</w:t>
      </w:r>
      <w:r>
        <w:rPr>
          <w:rFonts w:hint="eastAsia" w:ascii="仿宋" w:hAnsi="仿宋" w:eastAsia="仿宋" w:cs="仿宋"/>
          <w:sz w:val="28"/>
          <w:szCs w:val="28"/>
        </w:rPr>
        <w:t>）</w:t>
      </w:r>
      <w:r>
        <w:rPr>
          <w:rFonts w:hint="eastAsia" w:ascii="仿宋" w:hAnsi="仿宋" w:eastAsia="仿宋" w:cs="仿宋"/>
          <w:b w:val="0"/>
          <w:sz w:val="28"/>
          <w:szCs w:val="28"/>
        </w:rPr>
        <w:t>法制宣传科</w:t>
      </w:r>
    </w:p>
    <w:p>
      <w:pPr>
        <w:keepNext w:val="0"/>
        <w:keepLines w:val="0"/>
        <w:pageBreakBefore w:val="0"/>
        <w:widowControl/>
        <w:kinsoku/>
        <w:wordWrap/>
        <w:overflowPunct/>
        <w:topLinePunct w:val="0"/>
        <w:autoSpaceDE/>
        <w:autoSpaceDN/>
        <w:bidi w:val="0"/>
        <w:spacing w:line="580" w:lineRule="exact"/>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负责研究全区城市管理方面的发展战略和重大问题；组织开展重点课题调查研究并承担重要文稿的起草；负责机关推进依法行政综合工作；起草全区有关城市管理、城乡环境建设综合协调、市政公用管理、市容环境卫生管理、能源运行管理等方面的规范性文件；负责行政执法工作的监督、指导和协调；负责本系统法制宣传教育工作；承担行政复议、应诉的有关工作；承担机关行政规范性文件的合法性审核和备案工作;完成领导交办的其他工作。</w:t>
      </w:r>
    </w:p>
    <w:p>
      <w:pPr>
        <w:keepNext w:val="0"/>
        <w:keepLines w:val="0"/>
        <w:pageBreakBefore w:val="0"/>
        <w:widowControl/>
        <w:kinsoku/>
        <w:wordWrap/>
        <w:overflowPunct/>
        <w:topLinePunct w:val="0"/>
        <w:autoSpaceDE/>
        <w:autoSpaceDN/>
        <w:bidi w:val="0"/>
        <w:spacing w:line="580" w:lineRule="exact"/>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负责全区城市管理和环境建设的新闻宣传、社会动员和舆情应对工作；建立健全宣传动员工作机制；组织、策划、协调宣传报道、新闻发布等活动；组织、引导、促进公众参与城市管理和环境建设；组织对外宣传工作。负责信息宣传报道工作。</w:t>
      </w:r>
    </w:p>
    <w:p>
      <w:pPr>
        <w:keepNext w:val="0"/>
        <w:keepLines w:val="0"/>
        <w:pageBreakBefore w:val="0"/>
        <w:widowControl/>
        <w:kinsoku/>
        <w:wordWrap/>
        <w:overflowPunct/>
        <w:topLinePunct w:val="0"/>
        <w:autoSpaceDE/>
        <w:autoSpaceDN/>
        <w:bidi w:val="0"/>
        <w:spacing w:line="580" w:lineRule="exact"/>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落实工会的参与、维护、建设、教育的四项职能工作；严格按照《工会法》、市总、区总文件精神开展工作；开展职工的服务和福利工作；负责女工工作。</w:t>
      </w:r>
    </w:p>
    <w:p>
      <w:pPr>
        <w:keepNext w:val="0"/>
        <w:keepLines w:val="0"/>
        <w:pageBreakBefore w:val="0"/>
        <w:kinsoku/>
        <w:wordWrap/>
        <w:overflowPunct/>
        <w:topLinePunct w:val="0"/>
        <w:autoSpaceDE/>
        <w:autoSpaceDN/>
        <w:bidi w:val="0"/>
        <w:spacing w:after="0" w:line="580" w:lineRule="exact"/>
        <w:ind w:firstLine="560" w:firstLineChars="200"/>
        <w:textAlignment w:val="baseline"/>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7</w:t>
      </w:r>
      <w:r>
        <w:rPr>
          <w:rFonts w:hint="eastAsia" w:ascii="仿宋" w:hAnsi="仿宋" w:eastAsia="仿宋" w:cs="仿宋"/>
          <w:sz w:val="28"/>
          <w:szCs w:val="28"/>
        </w:rPr>
        <w:t>）广告管理科</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kern w:val="0"/>
          <w:sz w:val="28"/>
          <w:szCs w:val="28"/>
        </w:rPr>
        <w:t>负责全区户外广告、牌匾标识、标语和宣传品的设置管理工作；组织拟订户外广告专业规划和技术标准，并监督实施;完成领导交办的其他工作</w:t>
      </w:r>
      <w:r>
        <w:rPr>
          <w:rFonts w:hint="eastAsia" w:ascii="仿宋" w:hAnsi="仿宋" w:eastAsia="仿宋" w:cs="仿宋"/>
          <w:sz w:val="28"/>
          <w:szCs w:val="28"/>
        </w:rPr>
        <w:t>。</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事业单位</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w:t>
      </w:r>
      <w:r>
        <w:rPr>
          <w:rFonts w:hint="eastAsia" w:ascii="仿宋" w:hAnsi="仿宋" w:eastAsia="仿宋" w:cs="仿宋"/>
          <w:sz w:val="28"/>
          <w:szCs w:val="28"/>
        </w:rPr>
        <w:t>）北京市密云区城市运行和铁路道口安全协调中心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宣传贯彻国家、市、区安全生产方针、政策、法律法规，牵头开展城管委相关安全工作，完成区安委会年度考核；组织开展城区流域道路防汛工作，牵头制定防汛预案。负责铁路监护道口安全管理的事务性工作，参与铁路道口重大事故的调查、处理；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不再保留北京市密云区铁路道口安全管理办公室、北京市密云区安全应急管理中心。</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2</w:t>
      </w:r>
      <w:r>
        <w:rPr>
          <w:rFonts w:hint="eastAsia" w:ascii="仿宋" w:hAnsi="仿宋" w:eastAsia="仿宋" w:cs="仿宋"/>
          <w:sz w:val="28"/>
          <w:szCs w:val="28"/>
        </w:rPr>
        <w:t>）北京市密云区能源事务中心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统筹本区能源运行的事务性工作；落实年度能源运行调控方案，协调解决能源运行、电力、煤炭行业、管道保护相关重大问题的事务性工作；负责燃气、煤炭、电力和成品油的资源总量平衡，落实煤炭储备基地规划；负责监测分析能源运行态势和煤电油气的运输及供需情况；建立健全热电气常态化联调联供机制。落实电力需求侧管理等方面的政策措施；承担电力建设协调的有关事务性工作；落实燃气发展规划和年度燃气供应计划；落实燃气设施建设运行、安全管理及燃气供应服务的标准；监督检查燃气行业安全和服务工作的事务性工作；参与重要燃气供用气项目的设计审查和工程验收，组织实施重大燃气工程和技术改造项目；负责燃气安全宣传和专业培训。负责承担综合协调、管理全区输油气地下管道的事务性工作;负责全区石油、天然气管道（不包括炼油、化工等企业厂区内管道）保护工作；负责输油气地下管道协调、管理的事务性工作，指导有关单位履行管道保护义务；依法查处危害管道安全违法行为的事务性工作;负责加油（气、电）站管理综合协调的事务性工作，负责加气站经营资格审查、管理的事务性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不再保留北京市密云区加油（气、电）站综合管理办公室、北京市密云区能源运行管理中心。</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3</w:t>
      </w:r>
      <w:r>
        <w:rPr>
          <w:rFonts w:hint="eastAsia" w:ascii="仿宋" w:hAnsi="仿宋" w:eastAsia="仿宋" w:cs="仿宋"/>
          <w:sz w:val="28"/>
          <w:szCs w:val="28"/>
        </w:rPr>
        <w:t>）北京市密云区生活垃圾事务促进中心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指导、管理全区生活垃圾、餐厨垃圾、粪便、渣土等固体废弃物清扫、收集、运输、处置的事务性工作；协调、指导再生资源回收行业的事务性工作；落实固体废弃物管理和再生资源回收行业管理的专业规划和年度计划；落实生活垃圾排放登记制度；负责全区环境卫生收集运输设备的配置和管理的事务性工作；负责指导、协调全区环境卫生业务的事务性工作；落实环卫、渣土行业相关发展政策、管理规定、作业标准和运行规范;负责指导、协调全区扫雪铲冰的事务性工作；负责指导、协调城乡公厕管理的事务性工作；负责指导、管理环境卫生设施建设的事务性工作，承担本区推进垃圾分类的辅助性、事务性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不再保留北京市密云区市容环卫设施项目中心、北京市密云区固体废物管理中心。</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4</w:t>
      </w:r>
      <w:r>
        <w:rPr>
          <w:rFonts w:hint="eastAsia" w:ascii="仿宋" w:hAnsi="仿宋" w:eastAsia="仿宋" w:cs="仿宋"/>
          <w:sz w:val="28"/>
          <w:szCs w:val="28"/>
        </w:rPr>
        <w:t>）北京市密云区市政设施和照明事务中心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全区城市地下管线及其检查井和井盖设施综合协调管理的事务性工作；牵头建立地下管线运行管理体制；建立地下管线隐患排查治理工作体系，统筹协调地下管线隐患排查治理的事务性工作；负责编制本区地下管线运行综合协调管理规划的事务性工作，并组织实施；负责全区地下综合管廊规划、建设和运营的综合协调管理的事务性工作，研究建立地下综合管廊日常运行管理机制，参与编制地下综合管廊规划，负责拟订年度建设计划、地下综合管廊运营管理的事务性工作；负责相关市政设施建设的统筹协调工作的事务性工作，建立市政设施建设工程规划、建设、管理有效衔接机制；负责城市规划区域内夜景照明的规划、管理、协调的事务性工作，负责夜景照明建设方案的审核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5</w:t>
      </w:r>
      <w:r>
        <w:rPr>
          <w:rFonts w:hint="eastAsia" w:ascii="仿宋" w:hAnsi="仿宋" w:eastAsia="仿宋" w:cs="仿宋"/>
          <w:sz w:val="28"/>
          <w:szCs w:val="28"/>
        </w:rPr>
        <w:t xml:space="preserve">）北京市密云区停车事务中心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主要职责：负责公共停车场备案管理的事务性工作；负责协调城区静态交通秩序治理工作的事务性工作；负责路侧停车、公共区域停车日常监督管理的事务性工作；负责路侧停车电子收费日常管理的事务性工作。</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6</w:t>
      </w:r>
      <w:r>
        <w:rPr>
          <w:rFonts w:hint="eastAsia" w:ascii="仿宋" w:hAnsi="仿宋" w:eastAsia="仿宋" w:cs="仿宋"/>
          <w:sz w:val="28"/>
          <w:szCs w:val="28"/>
        </w:rPr>
        <w:t>）北京市密云区供热事务中心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全区城镇居民冬季采暖的供热行业管理的事务性工作；落实供热发展规划及供热能源的生产、采购、调配和供需年度平衡计划；落实供热行业的技术、运营、服务、供应等管理标准和规范；参与重要供热项目的设计审查和工程验收；监督检查供热行业安全管理和服务的事务性工作；负责组织和管理供热节能的事务性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7</w:t>
      </w:r>
      <w:r>
        <w:rPr>
          <w:rFonts w:hint="eastAsia" w:ascii="仿宋" w:hAnsi="仿宋" w:eastAsia="仿宋" w:cs="仿宋"/>
          <w:sz w:val="28"/>
          <w:szCs w:val="28"/>
        </w:rPr>
        <w:t>）北京市密云区市政重点工程建设推进中心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全区城乡基础设施重点项目管理的事务性工作，负责项目建设过程中的指导、协调、监督和代建管理的事务性工作，参与制定具体建设项目管理办法；办理项目前期手续；参与项目的设计审查工作及施工、监理招标工作；监督工程质量、参与工程验收的事务性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8</w:t>
      </w:r>
      <w:r>
        <w:rPr>
          <w:rFonts w:hint="eastAsia" w:ascii="仿宋" w:hAnsi="仿宋" w:eastAsia="仿宋" w:cs="仿宋"/>
          <w:sz w:val="28"/>
          <w:szCs w:val="28"/>
        </w:rPr>
        <w:t>）北京市密云区市政重点工程服务中心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市政重点工程的拆迁协调的事务性工作,负责城管委重点工程和基础设施拆迁协调的事务性工作；负责协调组织工程项目所在镇街（地区）进行拆迁的事务性工作;负责协调组织工程项目涉及的地上、地下线路产权单位对杆线进行移改的事务性工作;负责协调组织工程项目所在镇街（地区）入户调查后上报拆迁估价报告及其他相关资料进行事前评审的事务性工作；完成补偿后上报拆迁补偿相关资料进行结算评审;负责重点工程项目拆迁补偿资金拨付工作;负责补偿数据信息的统计，档案资料管理及归档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9</w:t>
      </w:r>
      <w:r>
        <w:rPr>
          <w:rFonts w:hint="eastAsia" w:ascii="仿宋" w:hAnsi="仿宋" w:eastAsia="仿宋" w:cs="仿宋"/>
          <w:sz w:val="28"/>
          <w:szCs w:val="28"/>
        </w:rPr>
        <w:t>）北京市密云区城市管理协调考评中心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协调解决城市管理中的重大、综合性问题的事务性工作；负责联系协调市属在密单位、驻密部队开展城市管理工作的事务性工作；负责城市管理相关执法工作综合协调的事务性工作;负责全区城市管理的督促检查和考核评价的事务性工作,建立健全相关监督检查和综合考核评价体系；参与拟订城市管理相关部门、相关行业、相关企事业单位的监督检查、考核评价制度并组织实施;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10</w:t>
      </w:r>
      <w:r>
        <w:rPr>
          <w:rFonts w:hint="eastAsia" w:ascii="仿宋" w:hAnsi="仿宋" w:eastAsia="仿宋" w:cs="仿宋"/>
          <w:sz w:val="28"/>
          <w:szCs w:val="28"/>
        </w:rPr>
        <w:t>）北京市密云区垃圾渣土事务中心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主要职责：负责对全区产生垃圾渣土的单位及个人进行监督检查与管理的事务性工作；负责办理辖区内垃圾渣土消纳、车辆准运审批手续、颁发渣土消纳证的事务性工作；完成区城管委交办的其他任务。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11</w:t>
      </w:r>
      <w:r>
        <w:rPr>
          <w:rFonts w:hint="eastAsia" w:ascii="仿宋" w:hAnsi="仿宋" w:eastAsia="仿宋" w:cs="仿宋"/>
          <w:sz w:val="28"/>
          <w:szCs w:val="28"/>
        </w:rPr>
        <w:t>）北京市密云区市政设施巡查中心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主要职责：负责密云城区市政设施、市政道路及其附属设施、城区地下管线与地下设施检查井井盖、城区照明设施、城区交通设施巡查和管理的事务性工作；完成区城管委交办的其他任务。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12</w:t>
      </w:r>
      <w:r>
        <w:rPr>
          <w:rFonts w:hint="eastAsia" w:ascii="仿宋" w:hAnsi="仿宋" w:eastAsia="仿宋" w:cs="仿宋"/>
          <w:sz w:val="28"/>
          <w:szCs w:val="28"/>
        </w:rPr>
        <w:t>）北京市密云区环境卫生服务中心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贯彻落实国家及北京市关于环境卫生管理工作的方针、政策和法律、法规，参与制定全区环境卫生发展规划，从事环境卫生的建设与服务工作；指导全区各镇街（地区）环境卫生业务工作；具体从事道路清扫保洁、其他垃圾和厨余垃圾的清运、公厕运行与管理、垃圾处理、粪便清污、填埋气处理及渗沥液处理、医疗垃圾转运、扫雪铲冰、洒水降尘、环卫基础设施建设等工作；负责建设区政府投资的相关环卫设施，参与新建环卫设施的建设和验收以及运行前的各项筹备工作；负责对现有业务范围内的各项环卫业务和环卫设施进行管理的事务性工作；负责指导辖区内社区、机关、学校等单位自建环卫设施的建设和运行；负责城市建成区区管道路两侧绿化带的环境卫生管理的事务性工作；负责城市河湖管理范围内（不含水域）的环境卫生管理的事务性工作;负责组织开展其他环卫业务和服务；完成区委、区政府和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13</w:t>
      </w:r>
      <w:r>
        <w:rPr>
          <w:rFonts w:hint="eastAsia" w:ascii="仿宋" w:hAnsi="仿宋" w:eastAsia="仿宋" w:cs="仿宋"/>
          <w:sz w:val="28"/>
          <w:szCs w:val="28"/>
        </w:rPr>
        <w:t>）北京市密云区环境建设协调检查中心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在城乡环境建设管理委员会的领导下，参与编制环境建设管理的规划、计划，确定年度重点工作；负责统筹协调城乡环境建设管理方面重大事项的事务性工作，协调解决遇到重大问题的事务性工作；建立健全相关监督检查和综合考核评价体系的事务性工作，组织开展城乡环境建设考核评价的事务性工作；督促落实城乡建设管理委员会审议议定事项，承担委员会的日常工作。负责指导、监督、协调“门前三包”制度常态化管理的事务性工作；指导各镇街（地区）建立综合监督考评制度，组织开展社会评价、“月检查、月曝光、月排名”工作;完成区城管委交办的其他任务。</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w:t>
      </w:r>
      <w:r>
        <w:rPr>
          <w:rFonts w:hint="eastAsia" w:ascii="仿宋" w:hAnsi="仿宋" w:eastAsia="仿宋" w:cs="仿宋"/>
          <w:sz w:val="28"/>
          <w:szCs w:val="28"/>
          <w:lang w:val="en-US" w:eastAsia="zh-CN"/>
        </w:rPr>
        <w:t>14</w:t>
      </w:r>
      <w:r>
        <w:rPr>
          <w:rFonts w:hint="eastAsia" w:ascii="仿宋" w:hAnsi="仿宋" w:eastAsia="仿宋" w:cs="仿宋"/>
          <w:sz w:val="28"/>
          <w:szCs w:val="28"/>
        </w:rPr>
        <w:t>）北京市密云区市政工程管理处  </w:t>
      </w:r>
    </w:p>
    <w:p>
      <w:pPr>
        <w:keepNext w:val="0"/>
        <w:keepLines w:val="0"/>
        <w:pageBreakBefore w:val="0"/>
        <w:kinsoku/>
        <w:wordWrap/>
        <w:overflowPunct/>
        <w:topLinePunct w:val="0"/>
        <w:autoSpaceDE/>
        <w:autoSpaceDN/>
        <w:bidi w:val="0"/>
        <w:adjustRightInd w:val="0"/>
        <w:snapToGrid w:val="0"/>
        <w:spacing w:line="58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主要职责：负责城区市政道路、排水设施、区属产权路灯及夜景照明设施、休闲广场、雕塑、古建筑、城区桥梁、交通设施及标志标线、庄禾屯至密怀交界铁护网、公厕排污管道的管护工作；负责城区防汛抢险；负责全区市政公用设施信息化工作；承担全区城市公共设施事故应急的日常工作；负责临时占用（挖掘）城市道路费用收缴；完成区城管委交办的其他任务。</w:t>
      </w:r>
    </w:p>
    <w:p>
      <w:pPr>
        <w:tabs>
          <w:tab w:val="center" w:pos="6979"/>
        </w:tabs>
        <w:spacing w:line="580" w:lineRule="exact"/>
        <w:ind w:firstLine="420" w:firstLineChars="150"/>
        <w:rPr>
          <w:rFonts w:hint="eastAsia" w:ascii="仿宋_GB2312" w:eastAsia="仿宋_GB2312"/>
          <w:sz w:val="28"/>
          <w:szCs w:val="28"/>
        </w:rPr>
      </w:pPr>
    </w:p>
    <w:p>
      <w:pPr>
        <w:tabs>
          <w:tab w:val="center" w:pos="6979"/>
        </w:tabs>
        <w:spacing w:line="580" w:lineRule="exact"/>
        <w:ind w:firstLine="420" w:firstLineChars="150"/>
        <w:rPr>
          <w:rFonts w:ascii="仿宋_GB2312" w:eastAsia="仿宋_GB2312"/>
          <w:sz w:val="28"/>
          <w:szCs w:val="28"/>
        </w:rPr>
      </w:pPr>
      <w:r>
        <w:rPr>
          <w:rFonts w:hint="eastAsia" w:ascii="仿宋_GB2312" w:eastAsia="仿宋_GB2312"/>
          <w:sz w:val="28"/>
          <w:szCs w:val="28"/>
        </w:rPr>
        <w:t>（二）人员构成情况</w:t>
      </w:r>
    </w:p>
    <w:p>
      <w:pPr>
        <w:tabs>
          <w:tab w:val="center" w:pos="6979"/>
        </w:tabs>
        <w:spacing w:line="580" w:lineRule="exact"/>
        <w:ind w:firstLine="560" w:firstLineChars="200"/>
        <w:rPr>
          <w:rFonts w:ascii="仿宋_GB2312" w:eastAsia="仿宋_GB2312"/>
          <w:kern w:val="0"/>
          <w:sz w:val="28"/>
          <w:szCs w:val="28"/>
        </w:rPr>
      </w:pPr>
      <w:r>
        <w:rPr>
          <w:rFonts w:hint="eastAsia" w:ascii="仿宋_GB2312" w:eastAsia="仿宋_GB2312"/>
          <w:kern w:val="0"/>
          <w:sz w:val="28"/>
          <w:szCs w:val="28"/>
        </w:rPr>
        <w:t>行政编制</w:t>
      </w:r>
      <w:r>
        <w:rPr>
          <w:rFonts w:hint="eastAsia" w:ascii="仿宋_GB2312" w:eastAsia="仿宋_GB2312"/>
          <w:kern w:val="0"/>
          <w:sz w:val="28"/>
          <w:szCs w:val="28"/>
          <w:lang w:val="en-US" w:eastAsia="zh-CN"/>
        </w:rPr>
        <w:t>19</w:t>
      </w:r>
      <w:r>
        <w:rPr>
          <w:rFonts w:hint="eastAsia" w:ascii="仿宋_GB2312" w:eastAsia="仿宋_GB2312"/>
          <w:kern w:val="0"/>
          <w:sz w:val="28"/>
          <w:szCs w:val="28"/>
        </w:rPr>
        <w:t>人，实有人数</w:t>
      </w:r>
      <w:r>
        <w:rPr>
          <w:rFonts w:hint="eastAsia" w:ascii="仿宋_GB2312" w:eastAsia="仿宋_GB2312"/>
          <w:kern w:val="0"/>
          <w:sz w:val="28"/>
          <w:szCs w:val="28"/>
          <w:lang w:val="en-US" w:eastAsia="zh-CN"/>
        </w:rPr>
        <w:t>18</w:t>
      </w:r>
      <w:r>
        <w:rPr>
          <w:rFonts w:hint="eastAsia" w:ascii="仿宋_GB2312" w:eastAsia="仿宋_GB2312"/>
          <w:kern w:val="0"/>
          <w:sz w:val="28"/>
          <w:szCs w:val="28"/>
        </w:rPr>
        <w:t>人；事业编制</w:t>
      </w:r>
      <w:r>
        <w:rPr>
          <w:rFonts w:hint="eastAsia" w:ascii="仿宋_GB2312" w:eastAsia="仿宋_GB2312"/>
          <w:kern w:val="0"/>
          <w:sz w:val="28"/>
          <w:szCs w:val="28"/>
          <w:lang w:val="en-US" w:eastAsia="zh-CN"/>
        </w:rPr>
        <w:t>227</w:t>
      </w:r>
      <w:r>
        <w:rPr>
          <w:rFonts w:hint="eastAsia" w:ascii="仿宋_GB2312" w:eastAsia="仿宋_GB2312"/>
          <w:kern w:val="0"/>
          <w:sz w:val="28"/>
          <w:szCs w:val="28"/>
        </w:rPr>
        <w:t>人，实有人数</w:t>
      </w:r>
      <w:r>
        <w:rPr>
          <w:rFonts w:hint="eastAsia" w:ascii="仿宋_GB2312" w:eastAsia="仿宋_GB2312"/>
          <w:kern w:val="0"/>
          <w:sz w:val="28"/>
          <w:szCs w:val="28"/>
          <w:lang w:val="en-US" w:eastAsia="zh-CN"/>
        </w:rPr>
        <w:t>195</w:t>
      </w:r>
      <w:r>
        <w:rPr>
          <w:rFonts w:hint="eastAsia" w:ascii="仿宋_GB2312" w:eastAsia="仿宋_GB2312"/>
          <w:kern w:val="0"/>
          <w:sz w:val="28"/>
          <w:szCs w:val="28"/>
        </w:rPr>
        <w:t>人。</w:t>
      </w:r>
    </w:p>
    <w:p>
      <w:pPr>
        <w:tabs>
          <w:tab w:val="center" w:pos="6979"/>
        </w:tabs>
        <w:spacing w:line="580" w:lineRule="exact"/>
        <w:rPr>
          <w:rFonts w:hint="eastAsia" w:ascii="黑体" w:eastAsia="黑体"/>
          <w:b w:val="0"/>
          <w:bCs/>
          <w:sz w:val="28"/>
          <w:szCs w:val="28"/>
        </w:rPr>
      </w:pPr>
      <w:r>
        <w:rPr>
          <w:rFonts w:hint="eastAsia" w:ascii="仿宋_GB2312" w:eastAsia="仿宋_GB2312"/>
          <w:b/>
          <w:sz w:val="32"/>
          <w:szCs w:val="32"/>
        </w:rPr>
        <w:t xml:space="preserve">  </w:t>
      </w:r>
      <w:r>
        <w:rPr>
          <w:rFonts w:hint="eastAsia" w:ascii="仿宋_GB2312" w:eastAsia="仿宋_GB2312"/>
          <w:b w:val="0"/>
          <w:bCs/>
          <w:sz w:val="32"/>
          <w:szCs w:val="32"/>
        </w:rPr>
        <w:t xml:space="preserve"> </w:t>
      </w:r>
      <w:r>
        <w:rPr>
          <w:rFonts w:hint="eastAsia" w:ascii="黑体" w:eastAsia="黑体"/>
          <w:b w:val="0"/>
          <w:bCs/>
          <w:sz w:val="28"/>
          <w:szCs w:val="28"/>
        </w:rPr>
        <w:t>二、收入支出决算总体情况说明</w:t>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年度收、</w:t>
      </w:r>
      <w:r>
        <w:rPr>
          <w:rFonts w:ascii="仿宋_GB2312" w:eastAsia="仿宋_GB2312"/>
          <w:sz w:val="28"/>
          <w:szCs w:val="28"/>
        </w:rPr>
        <w:t>支</w:t>
      </w:r>
      <w:r>
        <w:rPr>
          <w:rFonts w:hint="eastAsia" w:ascii="仿宋_GB2312" w:eastAsia="仿宋_GB2312"/>
          <w:sz w:val="28"/>
          <w:szCs w:val="28"/>
        </w:rPr>
        <w:t>总计</w:t>
      </w:r>
      <w:r>
        <w:rPr>
          <w:rFonts w:ascii="仿宋_GB2312" w:eastAsia="仿宋_GB2312"/>
          <w:sz w:val="28"/>
          <w:szCs w:val="28"/>
        </w:rPr>
        <w:t>115792.44</w:t>
      </w:r>
      <w:r>
        <w:rPr>
          <w:rFonts w:hint="eastAsia" w:ascii="仿宋_GB2312" w:eastAsia="仿宋_GB2312"/>
          <w:sz w:val="28"/>
          <w:szCs w:val="28"/>
        </w:rPr>
        <w:t>万元，</w:t>
      </w:r>
      <w:r>
        <w:rPr>
          <w:rFonts w:ascii="仿宋_GB2312" w:eastAsia="仿宋_GB2312"/>
          <w:sz w:val="28"/>
          <w:szCs w:val="28"/>
        </w:rPr>
        <w:t>比上年增加</w:t>
      </w:r>
      <w:r>
        <w:rPr>
          <w:rFonts w:hint="eastAsia" w:ascii="仿宋_GB2312" w:eastAsia="仿宋_GB2312"/>
          <w:sz w:val="28"/>
          <w:szCs w:val="28"/>
          <w:lang w:val="en-US" w:eastAsia="zh-CN"/>
        </w:rPr>
        <w:t>11825.54</w:t>
      </w:r>
      <w:r>
        <w:rPr>
          <w:rFonts w:hint="eastAsia" w:ascii="仿宋_GB2312" w:eastAsia="仿宋_GB2312"/>
          <w:sz w:val="28"/>
          <w:szCs w:val="28"/>
        </w:rPr>
        <w:t>万元，增长</w:t>
      </w:r>
      <w:r>
        <w:rPr>
          <w:rFonts w:hint="eastAsia" w:ascii="仿宋_GB2312" w:eastAsia="仿宋_GB2312"/>
          <w:sz w:val="28"/>
          <w:szCs w:val="28"/>
          <w:lang w:val="en-US" w:eastAsia="zh-CN"/>
        </w:rPr>
        <w:t>11.37</w:t>
      </w:r>
      <w:r>
        <w:rPr>
          <w:rFonts w:hint="eastAsia" w:ascii="仿宋_GB2312" w:eastAsia="仿宋_GB2312"/>
          <w:sz w:val="28"/>
          <w:szCs w:val="28"/>
        </w:rPr>
        <w:t>%。</w:t>
      </w:r>
    </w:p>
    <w:p>
      <w:pPr>
        <w:tabs>
          <w:tab w:val="center" w:pos="6979"/>
        </w:tabs>
        <w:spacing w:line="580" w:lineRule="exact"/>
        <w:ind w:firstLine="570"/>
        <w:rPr>
          <w:rFonts w:hint="eastAsia" w:ascii="仿宋_GB2312" w:eastAsia="仿宋_GB2312"/>
          <w:sz w:val="28"/>
          <w:szCs w:val="28"/>
          <w:highlight w:val="none"/>
        </w:rPr>
      </w:pPr>
      <w:r>
        <w:rPr>
          <w:rFonts w:hint="eastAsia" w:ascii="仿宋_GB2312" w:eastAsia="仿宋_GB2312"/>
          <w:sz w:val="28"/>
          <w:szCs w:val="28"/>
          <w:highlight w:val="none"/>
        </w:rPr>
        <w:t>（一</w:t>
      </w:r>
      <w:r>
        <w:rPr>
          <w:rFonts w:ascii="仿宋_GB2312" w:eastAsia="仿宋_GB2312"/>
          <w:sz w:val="28"/>
          <w:szCs w:val="28"/>
          <w:highlight w:val="none"/>
        </w:rPr>
        <w:t>）</w:t>
      </w:r>
      <w:r>
        <w:rPr>
          <w:rFonts w:hint="eastAsia" w:ascii="仿宋_GB2312" w:eastAsia="仿宋_GB2312"/>
          <w:sz w:val="28"/>
          <w:szCs w:val="28"/>
          <w:highlight w:val="none"/>
        </w:rPr>
        <w:t>收入决算</w:t>
      </w:r>
      <w:r>
        <w:rPr>
          <w:rFonts w:ascii="仿宋_GB2312" w:eastAsia="仿宋_GB2312"/>
          <w:sz w:val="28"/>
          <w:szCs w:val="28"/>
          <w:highlight w:val="none"/>
        </w:rPr>
        <w:t>说明</w:t>
      </w:r>
    </w:p>
    <w:p>
      <w:pPr>
        <w:tabs>
          <w:tab w:val="center" w:pos="6979"/>
        </w:tabs>
        <w:spacing w:line="580" w:lineRule="exact"/>
        <w:ind w:firstLine="570"/>
        <w:rPr>
          <w:rFonts w:hint="eastAsia" w:ascii="仿宋_GB2312" w:eastAsia="仿宋_GB2312"/>
          <w:sz w:val="28"/>
          <w:szCs w:val="28"/>
          <w:lang w:eastAsia="zh-CN"/>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年度本年收入合计</w:t>
      </w:r>
      <w:r>
        <w:rPr>
          <w:rFonts w:ascii="仿宋_GB2312" w:eastAsia="仿宋_GB2312"/>
          <w:sz w:val="28"/>
          <w:szCs w:val="28"/>
        </w:rPr>
        <w:t>105220.7</w:t>
      </w:r>
      <w:r>
        <w:rPr>
          <w:rFonts w:hint="eastAsia" w:ascii="仿宋_GB2312" w:eastAsia="仿宋_GB2312"/>
          <w:sz w:val="28"/>
          <w:szCs w:val="28"/>
        </w:rPr>
        <w:t>万元，</w:t>
      </w:r>
      <w:r>
        <w:rPr>
          <w:rFonts w:ascii="仿宋_GB2312" w:eastAsia="仿宋_GB2312"/>
          <w:sz w:val="28"/>
          <w:szCs w:val="28"/>
        </w:rPr>
        <w:t>比上年增加</w:t>
      </w:r>
      <w:r>
        <w:rPr>
          <w:rFonts w:hint="eastAsia" w:ascii="仿宋_GB2312" w:eastAsia="仿宋_GB2312"/>
          <w:sz w:val="28"/>
          <w:szCs w:val="28"/>
          <w:lang w:val="en-US" w:eastAsia="zh-CN"/>
        </w:rPr>
        <w:t>33433.18</w:t>
      </w:r>
      <w:r>
        <w:rPr>
          <w:rFonts w:hint="eastAsia" w:ascii="仿宋_GB2312" w:eastAsia="仿宋_GB2312"/>
          <w:sz w:val="28"/>
          <w:szCs w:val="28"/>
        </w:rPr>
        <w:t>万元，增长</w:t>
      </w:r>
      <w:r>
        <w:rPr>
          <w:rFonts w:hint="eastAsia" w:ascii="仿宋_GB2312" w:eastAsia="仿宋_GB2312"/>
          <w:sz w:val="28"/>
          <w:szCs w:val="28"/>
          <w:lang w:val="en-US" w:eastAsia="zh-CN"/>
        </w:rPr>
        <w:t>46.57</w:t>
      </w:r>
      <w:r>
        <w:rPr>
          <w:rFonts w:hint="eastAsia" w:ascii="仿宋_GB2312" w:eastAsia="仿宋_GB2312"/>
          <w:sz w:val="28"/>
          <w:szCs w:val="28"/>
        </w:rPr>
        <w:t>%</w:t>
      </w:r>
      <w:r>
        <w:rPr>
          <w:rFonts w:hint="eastAsia" w:ascii="仿宋_GB2312" w:eastAsia="仿宋_GB2312"/>
          <w:sz w:val="28"/>
          <w:szCs w:val="28"/>
          <w:lang w:eastAsia="zh-CN"/>
        </w:rPr>
        <w:t>。</w:t>
      </w:r>
    </w:p>
    <w:p>
      <w:pPr>
        <w:tabs>
          <w:tab w:val="center" w:pos="6979"/>
        </w:tabs>
        <w:spacing w:line="580" w:lineRule="exact"/>
        <w:ind w:firstLine="560" w:firstLineChars="200"/>
        <w:rPr>
          <w:rFonts w:hint="eastAsia"/>
        </w:rPr>
      </w:pPr>
      <w:r>
        <w:rPr>
          <w:rFonts w:hint="eastAsia" w:ascii="仿宋_GB2312" w:eastAsia="仿宋_GB2312"/>
          <w:sz w:val="28"/>
          <w:szCs w:val="28"/>
        </w:rPr>
        <w:t>1.财政拨款收入</w:t>
      </w:r>
      <w:r>
        <w:rPr>
          <w:rFonts w:ascii="仿宋_GB2312" w:eastAsia="仿宋_GB2312"/>
          <w:sz w:val="28"/>
          <w:szCs w:val="28"/>
        </w:rPr>
        <w:t>105220.7</w:t>
      </w:r>
      <w:r>
        <w:rPr>
          <w:rFonts w:hint="eastAsia" w:ascii="仿宋_GB2312" w:eastAsia="仿宋_GB2312"/>
          <w:sz w:val="28"/>
          <w:szCs w:val="28"/>
        </w:rPr>
        <w:t>万元，占收入合计的</w:t>
      </w:r>
      <w:r>
        <w:rPr>
          <w:rFonts w:ascii="仿宋_GB2312" w:eastAsia="仿宋_GB2312"/>
          <w:sz w:val="28"/>
          <w:szCs w:val="28"/>
        </w:rPr>
        <w:t>100</w:t>
      </w:r>
      <w:r>
        <w:rPr>
          <w:rFonts w:hint="eastAsia" w:ascii="仿宋_GB2312" w:eastAsia="仿宋_GB2312"/>
          <w:sz w:val="28"/>
          <w:szCs w:val="28"/>
        </w:rPr>
        <w:t>%。其中：一般公共预算财政拨款收入</w:t>
      </w:r>
      <w:r>
        <w:rPr>
          <w:rFonts w:ascii="仿宋_GB2312" w:eastAsia="仿宋_GB2312"/>
          <w:sz w:val="28"/>
          <w:szCs w:val="28"/>
        </w:rPr>
        <w:t>76025.22</w:t>
      </w:r>
      <w:r>
        <w:rPr>
          <w:rFonts w:hint="eastAsia" w:ascii="仿宋_GB2312" w:eastAsia="仿宋_GB2312"/>
          <w:sz w:val="28"/>
          <w:szCs w:val="28"/>
        </w:rPr>
        <w:t>万元，占收入合计的</w:t>
      </w:r>
      <w:r>
        <w:rPr>
          <w:rFonts w:ascii="仿宋_GB2312" w:eastAsia="仿宋_GB2312"/>
          <w:sz w:val="28"/>
          <w:szCs w:val="28"/>
        </w:rPr>
        <w:t>72.25</w:t>
      </w:r>
      <w:r>
        <w:rPr>
          <w:rFonts w:hint="eastAsia" w:ascii="仿宋_GB2312" w:eastAsia="仿宋_GB2312"/>
          <w:sz w:val="28"/>
          <w:szCs w:val="28"/>
        </w:rPr>
        <w:t>%；政府性基金预算财政拨款收入</w:t>
      </w:r>
      <w:r>
        <w:rPr>
          <w:rFonts w:ascii="仿宋_GB2312" w:eastAsia="仿宋_GB2312"/>
          <w:sz w:val="28"/>
          <w:szCs w:val="28"/>
        </w:rPr>
        <w:t>29195.49</w:t>
      </w:r>
      <w:r>
        <w:rPr>
          <w:rFonts w:hint="eastAsia" w:ascii="仿宋_GB2312" w:eastAsia="仿宋_GB2312"/>
          <w:sz w:val="28"/>
          <w:szCs w:val="28"/>
        </w:rPr>
        <w:t>万元，占收入合计的</w:t>
      </w:r>
      <w:r>
        <w:rPr>
          <w:rFonts w:ascii="仿宋_GB2312" w:eastAsia="仿宋_GB2312"/>
          <w:sz w:val="28"/>
          <w:szCs w:val="28"/>
        </w:rPr>
        <w:t>27.74</w:t>
      </w:r>
      <w:r>
        <w:rPr>
          <w:rFonts w:hint="eastAsia" w:ascii="仿宋_GB2312" w:eastAsia="仿宋_GB2312"/>
          <w:sz w:val="28"/>
          <w:szCs w:val="28"/>
        </w:rPr>
        <w:t>%；国有资本经营预算财政拨款收入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2.上级补助收入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3.事业收入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4.经营收入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5.附属单位上缴收入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6.其他收入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spacing w:line="560" w:lineRule="exact"/>
        <w:ind w:firstLine="640"/>
        <w:rPr>
          <w:rFonts w:hint="eastAsia" w:ascii="仿宋_GB2312" w:eastAsia="仿宋_GB2312" w:cs="Droid Sans"/>
          <w:color w:val="000000"/>
          <w:sz w:val="32"/>
          <w:szCs w:val="32"/>
          <w:highlight w:val="none"/>
          <w:lang w:eastAsia="zh-CN"/>
        </w:rPr>
      </w:pPr>
      <w:r>
        <w:rPr>
          <w:rFonts w:hint="eastAsia" w:ascii="仿宋_GB2312" w:eastAsia="仿宋_GB2312" w:cs="Droid Sans"/>
          <w:color w:val="000000"/>
          <w:sz w:val="32"/>
          <w:szCs w:val="32"/>
          <w:highlight w:val="none"/>
          <w:lang w:eastAsia="zh-CN"/>
        </w:rPr>
        <w:t>（此处插入图表，用上述</w:t>
      </w:r>
      <w:r>
        <w:rPr>
          <w:rFonts w:hint="eastAsia" w:ascii="仿宋_GB2312" w:eastAsia="仿宋_GB2312" w:cs="Droid Sans"/>
          <w:color w:val="000000"/>
          <w:sz w:val="32"/>
          <w:szCs w:val="32"/>
          <w:highlight w:val="none"/>
          <w:lang w:val="en-US" w:eastAsia="zh-CN"/>
        </w:rPr>
        <w:t>收入</w:t>
      </w:r>
      <w:r>
        <w:rPr>
          <w:rFonts w:hint="eastAsia" w:ascii="仿宋_GB2312" w:eastAsia="仿宋_GB2312" w:cs="Droid Sans"/>
          <w:color w:val="000000"/>
          <w:sz w:val="32"/>
          <w:szCs w:val="32"/>
          <w:highlight w:val="none"/>
          <w:lang w:eastAsia="zh-CN"/>
        </w:rPr>
        <w:t>金额制作饼状图，示例如下，无金额类型不必制图）</w:t>
      </w:r>
    </w:p>
    <w:p>
      <w:pPr>
        <w:pStyle w:val="3"/>
        <w:ind w:firstLine="0"/>
        <w:jc w:val="center"/>
        <w:rPr>
          <w:rFonts w:hint="default"/>
          <w:lang w:val="en-US"/>
        </w:rPr>
      </w:pPr>
      <w:r>
        <w:rPr>
          <w:rFonts w:hint="eastAsia" w:ascii="仿宋_GB2312" w:eastAsia="仿宋_GB2312"/>
          <w:color w:val="000000"/>
          <w:sz w:val="32"/>
          <w:szCs w:val="32"/>
          <w:highlight w:val="none"/>
          <w:lang w:val="en-US" w:eastAsia="zh-CN"/>
        </w:rPr>
        <w:t>图1：收入决算</w:t>
      </w:r>
    </w:p>
    <w:p>
      <w:pPr>
        <w:bidi w:val="0"/>
        <w:jc w:val="center"/>
        <w:rPr>
          <w:rFonts w:hint="eastAsia"/>
          <w:lang w:val="en-US" w:eastAsia="zh-CN"/>
        </w:rPr>
      </w:pPr>
      <w:r>
        <w:rPr>
          <w:rFonts w:hint="eastAsia"/>
          <w:lang w:val="en-US" w:eastAsia="zh-CN"/>
        </w:rPr>
        <w:drawing>
          <wp:inline distT="0" distB="0" distL="114300" distR="114300">
            <wp:extent cx="4408805" cy="2477770"/>
            <wp:effectExtent l="4445" t="5080" r="6350" b="12700"/>
            <wp:docPr id="21" name="图表 21" title="{{pieChar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（二</w:t>
      </w:r>
      <w:r>
        <w:rPr>
          <w:rFonts w:ascii="仿宋_GB2312" w:eastAsia="仿宋_GB2312"/>
          <w:sz w:val="28"/>
          <w:szCs w:val="28"/>
        </w:rPr>
        <w:t>）</w:t>
      </w:r>
      <w:r>
        <w:rPr>
          <w:rFonts w:hint="eastAsia" w:ascii="仿宋_GB2312" w:eastAsia="仿宋_GB2312"/>
          <w:sz w:val="28"/>
          <w:szCs w:val="28"/>
        </w:rPr>
        <w:t>支出决算</w:t>
      </w:r>
      <w:r>
        <w:rPr>
          <w:rFonts w:ascii="仿宋_GB2312" w:eastAsia="仿宋_GB2312"/>
          <w:sz w:val="28"/>
          <w:szCs w:val="28"/>
        </w:rPr>
        <w:t>说明</w:t>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年度本年支出合计</w:t>
      </w:r>
      <w:r>
        <w:rPr>
          <w:rFonts w:ascii="仿宋_GB2312" w:eastAsia="仿宋_GB2312"/>
          <w:sz w:val="28"/>
          <w:szCs w:val="28"/>
        </w:rPr>
        <w:t>115773.54</w:t>
      </w:r>
      <w:r>
        <w:rPr>
          <w:rFonts w:hint="eastAsia" w:ascii="仿宋_GB2312" w:eastAsia="仿宋_GB2312"/>
          <w:sz w:val="28"/>
          <w:szCs w:val="28"/>
        </w:rPr>
        <w:t>万元，</w:t>
      </w:r>
      <w:r>
        <w:rPr>
          <w:rFonts w:ascii="仿宋_GB2312" w:eastAsia="仿宋_GB2312"/>
          <w:sz w:val="28"/>
          <w:szCs w:val="28"/>
        </w:rPr>
        <w:t>比上年增加</w:t>
      </w:r>
      <w:r>
        <w:rPr>
          <w:rFonts w:hint="eastAsia" w:ascii="仿宋_GB2312" w:eastAsia="仿宋_GB2312"/>
          <w:sz w:val="28"/>
          <w:szCs w:val="28"/>
          <w:lang w:val="en-US" w:eastAsia="zh-CN"/>
        </w:rPr>
        <w:t>11806.64</w:t>
      </w:r>
      <w:r>
        <w:rPr>
          <w:rFonts w:hint="eastAsia" w:ascii="仿宋_GB2312" w:eastAsia="仿宋_GB2312"/>
          <w:sz w:val="28"/>
          <w:szCs w:val="28"/>
        </w:rPr>
        <w:t>万元，增长</w:t>
      </w:r>
      <w:r>
        <w:rPr>
          <w:rFonts w:hint="eastAsia" w:ascii="仿宋_GB2312" w:eastAsia="仿宋_GB2312"/>
          <w:sz w:val="28"/>
          <w:szCs w:val="28"/>
          <w:lang w:val="en-US" w:eastAsia="zh-CN"/>
        </w:rPr>
        <w:t>11.36</w:t>
      </w:r>
      <w:r>
        <w:rPr>
          <w:rFonts w:hint="eastAsia" w:ascii="仿宋_GB2312" w:eastAsia="仿宋_GB2312"/>
          <w:sz w:val="28"/>
          <w:szCs w:val="28"/>
        </w:rPr>
        <w:t>%，其中：基本支出</w:t>
      </w:r>
      <w:r>
        <w:rPr>
          <w:rFonts w:ascii="仿宋_GB2312" w:eastAsia="仿宋_GB2312"/>
          <w:sz w:val="28"/>
          <w:szCs w:val="28"/>
        </w:rPr>
        <w:t>6705.89</w:t>
      </w:r>
      <w:r>
        <w:rPr>
          <w:rFonts w:hint="eastAsia" w:ascii="仿宋_GB2312" w:eastAsia="仿宋_GB2312"/>
          <w:sz w:val="28"/>
          <w:szCs w:val="28"/>
        </w:rPr>
        <w:t>万元，占支出合计的</w:t>
      </w:r>
      <w:r>
        <w:rPr>
          <w:rFonts w:ascii="仿宋_GB2312" w:eastAsia="仿宋_GB2312"/>
          <w:sz w:val="28"/>
          <w:szCs w:val="28"/>
        </w:rPr>
        <w:t>5.79</w:t>
      </w:r>
      <w:r>
        <w:rPr>
          <w:rFonts w:hint="eastAsia" w:ascii="仿宋_GB2312" w:eastAsia="仿宋_GB2312"/>
          <w:sz w:val="28"/>
          <w:szCs w:val="28"/>
        </w:rPr>
        <w:t>%；项目支出</w:t>
      </w:r>
      <w:r>
        <w:rPr>
          <w:rFonts w:ascii="仿宋_GB2312" w:eastAsia="仿宋_GB2312"/>
          <w:sz w:val="28"/>
          <w:szCs w:val="28"/>
        </w:rPr>
        <w:t>109067.65</w:t>
      </w:r>
      <w:r>
        <w:rPr>
          <w:rFonts w:hint="eastAsia" w:ascii="仿宋_GB2312" w:eastAsia="仿宋_GB2312"/>
          <w:sz w:val="28"/>
          <w:szCs w:val="28"/>
        </w:rPr>
        <w:t>万元，占支出合计的</w:t>
      </w:r>
      <w:r>
        <w:rPr>
          <w:rFonts w:ascii="仿宋_GB2312" w:eastAsia="仿宋_GB2312"/>
          <w:sz w:val="28"/>
          <w:szCs w:val="28"/>
        </w:rPr>
        <w:t>94.2</w:t>
      </w:r>
      <w:r>
        <w:rPr>
          <w:rFonts w:hint="eastAsia" w:ascii="仿宋_GB2312" w:eastAsia="仿宋_GB2312"/>
          <w:sz w:val="28"/>
          <w:szCs w:val="28"/>
        </w:rPr>
        <w:t>%;上缴上级支出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%；经营支出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%；对附属单位补助支出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w:t>
      </w:r>
    </w:p>
    <w:p>
      <w:pPr>
        <w:spacing w:line="560" w:lineRule="exact"/>
        <w:ind w:firstLine="640"/>
        <w:rPr>
          <w:rFonts w:hint="eastAsia" w:ascii="仿宋_GB2312" w:eastAsia="仿宋_GB2312" w:cs="Droid Sans"/>
          <w:color w:val="000000"/>
          <w:sz w:val="32"/>
          <w:szCs w:val="32"/>
          <w:highlight w:val="none"/>
          <w:lang w:eastAsia="zh-CN"/>
        </w:rPr>
      </w:pPr>
      <w:r>
        <w:rPr>
          <w:rFonts w:hint="eastAsia" w:ascii="仿宋_GB2312" w:eastAsia="仿宋_GB2312" w:cs="Droid Sans"/>
          <w:color w:val="000000"/>
          <w:sz w:val="32"/>
          <w:szCs w:val="32"/>
          <w:highlight w:val="none"/>
          <w:lang w:eastAsia="zh-CN"/>
        </w:rPr>
        <w:t>（此处插入图表，用上述</w:t>
      </w:r>
      <w:r>
        <w:rPr>
          <w:rFonts w:hint="eastAsia" w:ascii="仿宋_GB2312" w:eastAsia="仿宋_GB2312" w:cs="Droid Sans"/>
          <w:color w:val="000000"/>
          <w:sz w:val="32"/>
          <w:szCs w:val="32"/>
          <w:highlight w:val="none"/>
          <w:lang w:val="en-US" w:eastAsia="zh-CN"/>
        </w:rPr>
        <w:t>支出</w:t>
      </w:r>
      <w:r>
        <w:rPr>
          <w:rFonts w:hint="eastAsia" w:ascii="仿宋_GB2312" w:eastAsia="仿宋_GB2312" w:cs="Droid Sans"/>
          <w:color w:val="000000"/>
          <w:sz w:val="32"/>
          <w:szCs w:val="32"/>
          <w:highlight w:val="none"/>
          <w:lang w:eastAsia="zh-CN"/>
        </w:rPr>
        <w:t>金额制作饼状图，示例如下，无金额类型不必制图）</w:t>
      </w:r>
    </w:p>
    <w:p>
      <w:pPr>
        <w:pStyle w:val="3"/>
        <w:ind w:firstLine="642"/>
        <w:jc w:val="center"/>
        <w:rPr>
          <w:rFonts w:hint="eastAsia" w:ascii="仿宋_GB2312" w:eastAsia="仿宋_GB2312"/>
          <w:color w:val="000000"/>
          <w:sz w:val="32"/>
          <w:szCs w:val="32"/>
          <w:highlight w:val="none"/>
          <w:lang w:val="en-US" w:eastAsia="zh-CN"/>
        </w:rPr>
      </w:pPr>
      <w:r>
        <w:rPr>
          <w:rFonts w:hint="eastAsia" w:ascii="仿宋_GB2312" w:eastAsia="仿宋_GB2312"/>
          <w:color w:val="000000"/>
          <w:sz w:val="32"/>
          <w:szCs w:val="32"/>
          <w:highlight w:val="none"/>
          <w:lang w:val="en-US" w:eastAsia="zh-CN"/>
        </w:rPr>
        <w:t>图2：基本支出和项目支出情况</w:t>
      </w:r>
    </w:p>
    <w:p>
      <w:pPr>
        <w:jc w:val="center"/>
        <w:rPr>
          <w:rFonts w:hint="eastAsia" w:ascii="黑体" w:eastAsia="黑体"/>
          <w:b/>
          <w:sz w:val="28"/>
          <w:szCs w:val="28"/>
        </w:rPr>
      </w:pPr>
      <w:r>
        <w:rPr>
          <w:rFonts w:hint="eastAsia"/>
          <w:lang w:val="en-US" w:eastAsia="zh-CN"/>
        </w:rPr>
        <w:t xml:space="preserve">     </w:t>
      </w:r>
      <w:r>
        <w:rPr>
          <w:rFonts w:hint="eastAsia"/>
          <w:lang w:val="en-US" w:eastAsia="zh-CN"/>
        </w:rPr>
        <w:drawing>
          <wp:inline distT="0" distB="0" distL="114300" distR="114300">
            <wp:extent cx="4408805" cy="2466340"/>
            <wp:effectExtent l="4445" t="5080" r="6350" b="5080"/>
            <wp:docPr id="20" name="图表 20" title="{{pieChar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pPr>
        <w:tabs>
          <w:tab w:val="center" w:pos="6979"/>
        </w:tabs>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三</w:t>
      </w:r>
      <w:r>
        <w:rPr>
          <w:rFonts w:ascii="黑体" w:eastAsia="黑体"/>
          <w:b w:val="0"/>
          <w:bCs/>
          <w:sz w:val="28"/>
          <w:szCs w:val="28"/>
        </w:rPr>
        <w:t>、财政拨款</w:t>
      </w:r>
      <w:r>
        <w:rPr>
          <w:rFonts w:hint="eastAsia" w:ascii="黑体" w:eastAsia="黑体"/>
          <w:b w:val="0"/>
          <w:bCs/>
          <w:sz w:val="28"/>
          <w:szCs w:val="28"/>
        </w:rPr>
        <w:t>收入支出决算</w:t>
      </w:r>
      <w:r>
        <w:rPr>
          <w:rFonts w:ascii="黑体" w:eastAsia="黑体"/>
          <w:b w:val="0"/>
          <w:bCs/>
          <w:sz w:val="28"/>
          <w:szCs w:val="28"/>
        </w:rPr>
        <w:t>总体情况说明</w:t>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年度财政拨款收、</w:t>
      </w:r>
      <w:r>
        <w:rPr>
          <w:rFonts w:ascii="仿宋_GB2312" w:eastAsia="仿宋_GB2312"/>
          <w:sz w:val="28"/>
          <w:szCs w:val="28"/>
        </w:rPr>
        <w:t>支</w:t>
      </w:r>
      <w:r>
        <w:rPr>
          <w:rFonts w:hint="eastAsia" w:ascii="仿宋_GB2312" w:eastAsia="仿宋_GB2312"/>
          <w:sz w:val="28"/>
          <w:szCs w:val="28"/>
        </w:rPr>
        <w:t>总计</w:t>
      </w:r>
      <w:r>
        <w:rPr>
          <w:rFonts w:ascii="仿宋_GB2312" w:eastAsia="仿宋_GB2312"/>
          <w:sz w:val="28"/>
          <w:szCs w:val="28"/>
        </w:rPr>
        <w:t>115762.44</w:t>
      </w:r>
      <w:r>
        <w:rPr>
          <w:rFonts w:hint="eastAsia" w:ascii="仿宋_GB2312" w:eastAsia="仿宋_GB2312"/>
          <w:sz w:val="28"/>
          <w:szCs w:val="28"/>
        </w:rPr>
        <w:t>万元，比上年</w:t>
      </w:r>
      <w:r>
        <w:rPr>
          <w:rFonts w:ascii="仿宋_GB2312" w:eastAsia="仿宋_GB2312"/>
          <w:sz w:val="28"/>
          <w:szCs w:val="28"/>
        </w:rPr>
        <w:t>增加</w:t>
      </w:r>
      <w:r>
        <w:rPr>
          <w:rFonts w:hint="eastAsia" w:ascii="仿宋_GB2312" w:eastAsia="仿宋_GB2312"/>
          <w:sz w:val="28"/>
          <w:szCs w:val="28"/>
          <w:lang w:val="en-US" w:eastAsia="zh-CN"/>
        </w:rPr>
        <w:t>11795.54</w:t>
      </w:r>
      <w:r>
        <w:rPr>
          <w:rFonts w:hint="eastAsia" w:ascii="仿宋_GB2312" w:eastAsia="仿宋_GB2312"/>
          <w:sz w:val="28"/>
          <w:szCs w:val="28"/>
        </w:rPr>
        <w:t>万元，增长</w:t>
      </w:r>
      <w:r>
        <w:rPr>
          <w:rFonts w:hint="eastAsia" w:ascii="仿宋_GB2312" w:eastAsia="仿宋_GB2312"/>
          <w:sz w:val="28"/>
          <w:szCs w:val="28"/>
          <w:lang w:val="en-US" w:eastAsia="zh-CN"/>
        </w:rPr>
        <w:t>11.35</w:t>
      </w:r>
      <w:r>
        <w:rPr>
          <w:rFonts w:hint="eastAsia" w:ascii="仿宋_GB2312" w:eastAsia="仿宋_GB2312"/>
          <w:sz w:val="28"/>
          <w:szCs w:val="28"/>
        </w:rPr>
        <w:t>%。主要原因</w:t>
      </w:r>
      <w:r>
        <w:rPr>
          <w:rFonts w:hint="eastAsia" w:ascii="仿宋_GB2312" w:eastAsia="仿宋_GB2312"/>
          <w:sz w:val="28"/>
          <w:szCs w:val="28"/>
          <w:lang w:val="en-US" w:eastAsia="zh-CN"/>
        </w:rPr>
        <w:t>:工程项目增加</w:t>
      </w:r>
      <w:r>
        <w:rPr>
          <w:rFonts w:hint="eastAsia" w:ascii="仿宋_GB2312" w:eastAsia="仿宋_GB2312"/>
          <w:sz w:val="28"/>
          <w:szCs w:val="28"/>
        </w:rPr>
        <w:t>。</w:t>
      </w:r>
    </w:p>
    <w:p>
      <w:pPr>
        <w:tabs>
          <w:tab w:val="center" w:pos="6979"/>
        </w:tabs>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四、一般公共预算财政拨款支出决算情况说明</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（一）一般公共预算财政拨款支出决算总体情况</w:t>
      </w:r>
    </w:p>
    <w:p>
      <w:pPr>
        <w:tabs>
          <w:tab w:val="center" w:pos="6979"/>
        </w:tabs>
        <w:spacing w:line="580" w:lineRule="exact"/>
        <w:ind w:firstLine="560" w:firstLineChars="200"/>
        <w:rPr>
          <w:rFonts w:hint="eastAsia" w:ascii="仿宋_GB2312" w:eastAsia="仿宋_GB2312"/>
          <w:sz w:val="28"/>
          <w:szCs w:val="28"/>
          <w:lang w:eastAsia="zh-CN"/>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年度一般公共预算财政拨款支出</w:t>
      </w:r>
      <w:r>
        <w:rPr>
          <w:rFonts w:ascii="仿宋_GB2312" w:eastAsia="仿宋_GB2312"/>
          <w:sz w:val="28"/>
          <w:szCs w:val="28"/>
        </w:rPr>
        <w:t>86182.61</w:t>
      </w:r>
      <w:r>
        <w:rPr>
          <w:rFonts w:hint="eastAsia" w:ascii="仿宋_GB2312" w:eastAsia="仿宋_GB2312"/>
          <w:sz w:val="28"/>
          <w:szCs w:val="28"/>
        </w:rPr>
        <w:t>万元，主要用于以下方面（按大类）</w:t>
      </w:r>
      <w:r>
        <w:rPr>
          <w:rFonts w:hint="eastAsia" w:ascii="仿宋_GB2312" w:eastAsia="仿宋_GB2312"/>
          <w:sz w:val="28"/>
          <w:szCs w:val="28"/>
          <w:lang w:eastAsia="zh-CN"/>
        </w:rPr>
        <w:t>。</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（二）一般公共预算财政拨款支出决算具体情况</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1、“一般公共服务支出”（类）202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年度年初预算增加（减少）</w:t>
      </w:r>
      <w:r>
        <w:rPr>
          <w:rFonts w:hint="eastAsia" w:ascii="仿宋_GB2312" w:eastAsia="仿宋_GB2312"/>
          <w:sz w:val="28"/>
          <w:szCs w:val="28"/>
          <w:lang w:val="en-US" w:eastAsia="zh-CN"/>
        </w:rPr>
        <w:t>0</w:t>
      </w:r>
      <w:r>
        <w:rPr>
          <w:rFonts w:hint="eastAsia" w:ascii="仿宋_GB2312" w:eastAsia="仿宋_GB2312"/>
          <w:sz w:val="28"/>
          <w:szCs w:val="28"/>
        </w:rPr>
        <w:t>万元，增长（下降）</w:t>
      </w:r>
      <w:r>
        <w:rPr>
          <w:rFonts w:hint="eastAsia" w:ascii="仿宋_GB2312" w:eastAsia="仿宋_GB2312"/>
          <w:sz w:val="28"/>
          <w:szCs w:val="28"/>
          <w:lang w:val="en-US" w:eastAsia="zh-CN"/>
        </w:rPr>
        <w:t>0</w:t>
      </w:r>
      <w:r>
        <w:rPr>
          <w:rFonts w:hint="eastAsia" w:ascii="仿宋_GB2312" w:eastAsia="仿宋_GB2312"/>
          <w:sz w:val="28"/>
          <w:szCs w:val="28"/>
        </w:rPr>
        <w:t>%。其中：</w:t>
      </w:r>
    </w:p>
    <w:p>
      <w:pPr>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“人大事务”（款，下同）202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年度年初预算增加（减少）</w:t>
      </w:r>
      <w:r>
        <w:rPr>
          <w:rFonts w:hint="eastAsia" w:ascii="仿宋_GB2312" w:eastAsia="仿宋_GB2312"/>
          <w:sz w:val="28"/>
          <w:szCs w:val="28"/>
          <w:lang w:val="en-US" w:eastAsia="zh-CN"/>
        </w:rPr>
        <w:t>0</w:t>
      </w:r>
      <w:r>
        <w:rPr>
          <w:rFonts w:hint="eastAsia" w:ascii="仿宋_GB2312" w:eastAsia="仿宋_GB2312"/>
          <w:sz w:val="28"/>
          <w:szCs w:val="28"/>
        </w:rPr>
        <w:t>万元，增长（下降）</w:t>
      </w:r>
      <w:r>
        <w:rPr>
          <w:rFonts w:hint="eastAsia" w:ascii="仿宋_GB2312" w:eastAsia="仿宋_GB2312"/>
          <w:sz w:val="28"/>
          <w:szCs w:val="28"/>
          <w:lang w:val="en-US" w:eastAsia="zh-CN"/>
        </w:rPr>
        <w:t>0</w:t>
      </w:r>
      <w:r>
        <w:rPr>
          <w:rFonts w:hint="eastAsia" w:ascii="仿宋_GB2312" w:eastAsia="仿宋_GB2312"/>
          <w:sz w:val="28"/>
          <w:szCs w:val="28"/>
        </w:rPr>
        <w:t>%。。</w:t>
      </w:r>
    </w:p>
    <w:p>
      <w:pPr>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2、“</w:t>
      </w:r>
      <w:r>
        <w:rPr>
          <w:rFonts w:hint="eastAsia" w:ascii="仿宋_GB2312" w:eastAsia="仿宋_GB2312"/>
          <w:sz w:val="28"/>
          <w:szCs w:val="28"/>
          <w:lang w:eastAsia="zh-CN"/>
        </w:rPr>
        <w:t>社会保障和就业支出</w:t>
      </w:r>
      <w:r>
        <w:rPr>
          <w:rFonts w:hint="eastAsia" w:ascii="仿宋_GB2312" w:eastAsia="仿宋_GB2312"/>
          <w:sz w:val="28"/>
          <w:szCs w:val="28"/>
        </w:rPr>
        <w:t>”(类)202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1102.52</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164.68</w:t>
      </w:r>
      <w:r>
        <w:rPr>
          <w:rFonts w:hint="eastAsia" w:ascii="仿宋_GB2312" w:eastAsia="仿宋_GB2312"/>
          <w:sz w:val="28"/>
          <w:szCs w:val="28"/>
        </w:rPr>
        <w:t>万元，增长</w:t>
      </w:r>
      <w:r>
        <w:rPr>
          <w:rFonts w:hint="eastAsia" w:ascii="仿宋_GB2312" w:eastAsia="仿宋_GB2312"/>
          <w:sz w:val="28"/>
          <w:szCs w:val="28"/>
          <w:lang w:val="en-US" w:eastAsia="zh-CN"/>
        </w:rPr>
        <w:t>17.56</w:t>
      </w:r>
      <w:r>
        <w:rPr>
          <w:rFonts w:hint="eastAsia" w:ascii="仿宋_GB2312" w:eastAsia="仿宋_GB2312"/>
          <w:sz w:val="28"/>
          <w:szCs w:val="28"/>
        </w:rPr>
        <w:t>%。其中：</w:t>
      </w:r>
    </w:p>
    <w:p>
      <w:pPr>
        <w:spacing w:line="580" w:lineRule="exact"/>
        <w:ind w:firstLine="560" w:firstLineChars="200"/>
        <w:rPr>
          <w:rFonts w:hint="eastAsia" w:ascii="仿宋_GB2312" w:eastAsia="仿宋_GB2312"/>
          <w:sz w:val="28"/>
          <w:szCs w:val="28"/>
        </w:rPr>
      </w:pPr>
      <w:r>
        <w:rPr>
          <w:rFonts w:hint="eastAsia" w:ascii="仿宋_GB2312" w:eastAsia="仿宋_GB2312"/>
          <w:sz w:val="28"/>
          <w:szCs w:val="28"/>
          <w:lang w:val="en-US" w:eastAsia="zh-CN"/>
        </w:rPr>
        <w:t>3、“卫生健康支出</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460.70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47.65</w:t>
      </w:r>
      <w:r>
        <w:rPr>
          <w:rFonts w:hint="eastAsia" w:ascii="仿宋_GB2312" w:eastAsia="仿宋_GB2312"/>
          <w:sz w:val="28"/>
          <w:szCs w:val="28"/>
        </w:rPr>
        <w:t>万元，增长</w:t>
      </w:r>
      <w:r>
        <w:rPr>
          <w:rFonts w:hint="eastAsia" w:ascii="仿宋_GB2312" w:eastAsia="仿宋_GB2312"/>
          <w:sz w:val="28"/>
          <w:szCs w:val="28"/>
          <w:lang w:val="en-US" w:eastAsia="zh-CN"/>
        </w:rPr>
        <w:t>11.54</w:t>
      </w:r>
      <w:r>
        <w:rPr>
          <w:rFonts w:hint="eastAsia" w:ascii="仿宋_GB2312" w:eastAsia="仿宋_GB2312"/>
          <w:sz w:val="28"/>
          <w:szCs w:val="28"/>
        </w:rPr>
        <w:t>%。主要原因：</w:t>
      </w:r>
      <w:r>
        <w:rPr>
          <w:rFonts w:hint="eastAsia" w:ascii="仿宋_GB2312" w:eastAsia="仿宋_GB2312"/>
          <w:sz w:val="28"/>
          <w:szCs w:val="28"/>
          <w:lang w:eastAsia="zh-CN"/>
        </w:rPr>
        <w:t>人员增加及社保基数增加</w:t>
      </w:r>
      <w:r>
        <w:rPr>
          <w:rFonts w:hint="eastAsia" w:ascii="仿宋_GB2312" w:eastAsia="仿宋_GB2312"/>
          <w:sz w:val="28"/>
          <w:szCs w:val="28"/>
        </w:rPr>
        <w:t>。</w:t>
      </w:r>
    </w:p>
    <w:p>
      <w:pPr>
        <w:spacing w:line="580" w:lineRule="exact"/>
        <w:ind w:firstLine="560" w:firstLineChars="200"/>
        <w:rPr>
          <w:rFonts w:hint="eastAsia" w:ascii="仿宋_GB2312" w:eastAsia="仿宋_GB2312"/>
          <w:sz w:val="28"/>
          <w:szCs w:val="28"/>
        </w:rPr>
      </w:pPr>
      <w:r>
        <w:rPr>
          <w:rFonts w:hint="eastAsia" w:ascii="仿宋_GB2312" w:eastAsia="仿宋_GB2312"/>
          <w:sz w:val="28"/>
          <w:szCs w:val="28"/>
          <w:lang w:val="en-US" w:eastAsia="zh-CN"/>
        </w:rPr>
        <w:t>4、“节能环保支出”</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10204.93</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9006.37</w:t>
      </w:r>
      <w:r>
        <w:rPr>
          <w:rFonts w:hint="eastAsia" w:ascii="仿宋_GB2312" w:eastAsia="仿宋_GB2312"/>
          <w:sz w:val="28"/>
          <w:szCs w:val="28"/>
        </w:rPr>
        <w:t>万元，增长</w:t>
      </w:r>
      <w:r>
        <w:rPr>
          <w:rFonts w:hint="eastAsia" w:ascii="仿宋_GB2312" w:eastAsia="仿宋_GB2312"/>
          <w:sz w:val="28"/>
          <w:szCs w:val="28"/>
          <w:lang w:val="en-US" w:eastAsia="zh-CN"/>
        </w:rPr>
        <w:t>751.43</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spacing w:line="580" w:lineRule="exact"/>
        <w:ind w:firstLine="560" w:firstLineChars="200"/>
        <w:rPr>
          <w:rFonts w:hint="eastAsia" w:ascii="仿宋_GB2312" w:eastAsia="仿宋_GB2312"/>
          <w:sz w:val="28"/>
          <w:szCs w:val="28"/>
        </w:rPr>
      </w:pPr>
      <w:r>
        <w:rPr>
          <w:rFonts w:hint="eastAsia" w:ascii="仿宋_GB2312" w:eastAsia="仿宋_GB2312"/>
          <w:sz w:val="28"/>
          <w:szCs w:val="28"/>
          <w:lang w:val="en-US" w:eastAsia="zh-CN"/>
        </w:rPr>
        <w:t>5、“城乡社区支出”</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101257.04</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26501.13</w:t>
      </w:r>
      <w:r>
        <w:rPr>
          <w:rFonts w:hint="eastAsia" w:ascii="仿宋_GB2312" w:eastAsia="仿宋_GB2312"/>
          <w:sz w:val="28"/>
          <w:szCs w:val="28"/>
        </w:rPr>
        <w:t>万元，增长</w:t>
      </w:r>
      <w:r>
        <w:rPr>
          <w:rFonts w:hint="eastAsia" w:ascii="仿宋_GB2312" w:eastAsia="仿宋_GB2312"/>
          <w:sz w:val="28"/>
          <w:szCs w:val="28"/>
          <w:lang w:val="en-US" w:eastAsia="zh-CN"/>
        </w:rPr>
        <w:t>35.45</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pStyle w:val="2"/>
        <w:rPr>
          <w:rFonts w:hint="eastAsia" w:ascii="仿宋_GB2312" w:eastAsia="仿宋_GB2312"/>
          <w:sz w:val="28"/>
          <w:szCs w:val="28"/>
        </w:rPr>
      </w:pPr>
      <w:r>
        <w:rPr>
          <w:rFonts w:hint="eastAsia" w:eastAsia="仿宋_GB2312"/>
          <w:lang w:val="en-US" w:eastAsia="zh-CN"/>
        </w:rPr>
        <w:t xml:space="preserve"> 6、</w:t>
      </w:r>
      <w:r>
        <w:rPr>
          <w:rFonts w:hint="eastAsia" w:ascii="仿宋_GB2312" w:eastAsia="仿宋_GB2312"/>
          <w:sz w:val="28"/>
          <w:szCs w:val="28"/>
          <w:lang w:val="en-US" w:eastAsia="zh-CN"/>
        </w:rPr>
        <w:t>“农林水”</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1704.29</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1694.63</w:t>
      </w:r>
      <w:r>
        <w:rPr>
          <w:rFonts w:hint="eastAsia" w:ascii="仿宋_GB2312" w:eastAsia="仿宋_GB2312"/>
          <w:sz w:val="28"/>
          <w:szCs w:val="28"/>
        </w:rPr>
        <w:t>万元，增长</w:t>
      </w:r>
      <w:r>
        <w:rPr>
          <w:rFonts w:hint="eastAsia" w:ascii="仿宋_GB2312" w:eastAsia="仿宋_GB2312"/>
          <w:sz w:val="28"/>
          <w:szCs w:val="28"/>
          <w:lang w:val="en-US" w:eastAsia="zh-CN"/>
        </w:rPr>
        <w:t>17542.75</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pStyle w:val="2"/>
        <w:rPr>
          <w:rFonts w:hint="eastAsia" w:ascii="仿宋_GB2312" w:eastAsia="仿宋_GB2312"/>
          <w:sz w:val="28"/>
          <w:szCs w:val="28"/>
        </w:rPr>
      </w:pPr>
      <w:r>
        <w:rPr>
          <w:rFonts w:hint="eastAsia" w:ascii="仿宋_GB2312" w:eastAsia="仿宋_GB2312"/>
          <w:sz w:val="28"/>
          <w:szCs w:val="28"/>
          <w:lang w:val="en-US" w:eastAsia="zh-CN"/>
        </w:rPr>
        <w:t>7、“交通运输支出”</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400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400</w:t>
      </w:r>
      <w:r>
        <w:rPr>
          <w:rFonts w:hint="eastAsia" w:ascii="仿宋_GB2312" w:eastAsia="仿宋_GB2312"/>
          <w:sz w:val="28"/>
          <w:szCs w:val="28"/>
        </w:rPr>
        <w:t>万元，增长</w:t>
      </w:r>
      <w:r>
        <w:rPr>
          <w:rFonts w:hint="eastAsia" w:ascii="仿宋_GB2312" w:eastAsia="仿宋_GB2312"/>
          <w:sz w:val="28"/>
          <w:szCs w:val="28"/>
          <w:lang w:val="en-US" w:eastAsia="zh-CN"/>
        </w:rPr>
        <w:t>100</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pStyle w:val="2"/>
        <w:rPr>
          <w:rFonts w:hint="eastAsia" w:ascii="仿宋_GB2312" w:eastAsia="仿宋_GB2312"/>
          <w:sz w:val="28"/>
          <w:szCs w:val="28"/>
        </w:rPr>
      </w:pPr>
      <w:r>
        <w:rPr>
          <w:rFonts w:hint="eastAsia" w:ascii="仿宋_GB2312" w:eastAsia="仿宋_GB2312"/>
          <w:sz w:val="28"/>
          <w:szCs w:val="28"/>
          <w:lang w:val="en-US" w:eastAsia="zh-CN"/>
        </w:rPr>
        <w:t>8、“住房保障支出”</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543.73</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543.73</w:t>
      </w:r>
      <w:r>
        <w:rPr>
          <w:rFonts w:hint="eastAsia" w:ascii="仿宋_GB2312" w:eastAsia="仿宋_GB2312"/>
          <w:sz w:val="28"/>
          <w:szCs w:val="28"/>
        </w:rPr>
        <w:t>万元，增长</w:t>
      </w:r>
      <w:r>
        <w:rPr>
          <w:rFonts w:hint="eastAsia" w:ascii="仿宋_GB2312" w:eastAsia="仿宋_GB2312"/>
          <w:sz w:val="28"/>
          <w:szCs w:val="28"/>
          <w:lang w:val="en-US" w:eastAsia="zh-CN"/>
        </w:rPr>
        <w:t>100</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pStyle w:val="2"/>
        <w:rPr>
          <w:rFonts w:hint="eastAsia" w:ascii="仿宋_GB2312" w:eastAsia="仿宋_GB2312"/>
          <w:sz w:val="28"/>
          <w:szCs w:val="28"/>
          <w:lang w:val="en-US" w:eastAsia="zh-CN"/>
        </w:rPr>
      </w:pPr>
      <w:r>
        <w:rPr>
          <w:rFonts w:hint="eastAsia" w:ascii="仿宋_GB2312" w:eastAsia="仿宋_GB2312"/>
          <w:sz w:val="28"/>
          <w:szCs w:val="28"/>
          <w:lang w:val="en-US" w:eastAsia="zh-CN"/>
        </w:rPr>
        <w:t>9、“其他支出”</w:t>
      </w:r>
      <w:r>
        <w:rPr>
          <w:rFonts w:hint="eastAsia" w:ascii="仿宋_GB2312" w:eastAsia="仿宋_GB2312"/>
          <w:sz w:val="28"/>
          <w:szCs w:val="28"/>
        </w:rPr>
        <w:t>（</w:t>
      </w:r>
      <w:r>
        <w:rPr>
          <w:rFonts w:hint="eastAsia" w:ascii="仿宋_GB2312" w:eastAsia="仿宋_GB2312"/>
          <w:sz w:val="28"/>
          <w:szCs w:val="28"/>
          <w:lang w:eastAsia="zh-CN"/>
        </w:rPr>
        <w:t>类</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111000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111000</w:t>
      </w:r>
      <w:r>
        <w:rPr>
          <w:rFonts w:hint="eastAsia" w:ascii="仿宋_GB2312" w:eastAsia="仿宋_GB2312"/>
          <w:sz w:val="28"/>
          <w:szCs w:val="28"/>
        </w:rPr>
        <w:t>万元，增长</w:t>
      </w:r>
      <w:r>
        <w:rPr>
          <w:rFonts w:hint="eastAsia" w:ascii="仿宋_GB2312" w:eastAsia="仿宋_GB2312"/>
          <w:sz w:val="28"/>
          <w:szCs w:val="28"/>
          <w:lang w:val="en-US" w:eastAsia="zh-CN"/>
        </w:rPr>
        <w:t>100</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spacing w:line="580" w:lineRule="exact"/>
        <w:ind w:firstLine="560" w:firstLineChars="200"/>
        <w:rPr>
          <w:rFonts w:hint="eastAsia" w:ascii="仿宋_GB2312" w:eastAsia="仿宋_GB2312"/>
          <w:b w:val="0"/>
          <w:bCs/>
          <w:sz w:val="28"/>
          <w:szCs w:val="28"/>
        </w:rPr>
      </w:pPr>
      <w:r>
        <w:rPr>
          <w:rFonts w:hint="eastAsia" w:ascii="黑体" w:eastAsia="黑体"/>
          <w:b w:val="0"/>
          <w:bCs/>
          <w:sz w:val="28"/>
          <w:szCs w:val="28"/>
        </w:rPr>
        <w:t>五、政府性基金预算财政拨款支出决算情况说明</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（一）政府性基金预算财政拨款支出决算总体情况</w:t>
      </w:r>
    </w:p>
    <w:p>
      <w:pPr>
        <w:tabs>
          <w:tab w:val="center" w:pos="6979"/>
        </w:tabs>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年度政府性基金预算财政拨款支出</w:t>
      </w:r>
      <w:r>
        <w:rPr>
          <w:rFonts w:ascii="仿宋_GB2312" w:eastAsia="仿宋_GB2312"/>
          <w:sz w:val="28"/>
          <w:szCs w:val="28"/>
        </w:rPr>
        <w:t>29579.84</w:t>
      </w:r>
      <w:r>
        <w:rPr>
          <w:rFonts w:hint="eastAsia" w:ascii="仿宋_GB2312" w:eastAsia="仿宋_GB2312"/>
          <w:sz w:val="28"/>
          <w:szCs w:val="28"/>
        </w:rPr>
        <w:t>万元，主要用于以下方面（按大类）：城乡社区支出</w:t>
      </w:r>
      <w:r>
        <w:rPr>
          <w:rFonts w:hint="eastAsia" w:ascii="仿宋_GB2312" w:eastAsia="仿宋_GB2312"/>
          <w:sz w:val="28"/>
          <w:szCs w:val="28"/>
          <w:lang w:val="en-US" w:eastAsia="zh-CN"/>
        </w:rPr>
        <w:t>0</w:t>
      </w:r>
      <w:r>
        <w:rPr>
          <w:rFonts w:hint="eastAsia" w:ascii="仿宋_GB2312" w:eastAsia="仿宋_GB2312"/>
          <w:sz w:val="28"/>
          <w:szCs w:val="28"/>
        </w:rPr>
        <w:t>万元，占本年财政拨款支出</w:t>
      </w:r>
      <w:r>
        <w:rPr>
          <w:rFonts w:hint="eastAsia" w:ascii="仿宋_GB2312" w:eastAsia="仿宋_GB2312"/>
          <w:sz w:val="28"/>
          <w:szCs w:val="28"/>
          <w:lang w:val="en-US" w:eastAsia="zh-CN"/>
        </w:rPr>
        <w:t>0</w:t>
      </w:r>
      <w:r>
        <w:rPr>
          <w:rFonts w:hint="eastAsia" w:ascii="仿宋_GB2312" w:eastAsia="仿宋_GB2312"/>
          <w:sz w:val="28"/>
          <w:szCs w:val="28"/>
        </w:rPr>
        <w:t>%；</w:t>
      </w:r>
      <w:r>
        <w:rPr>
          <w:rFonts w:hint="eastAsia" w:ascii="仿宋_GB2312" w:eastAsia="仿宋_GB2312"/>
          <w:sz w:val="28"/>
          <w:szCs w:val="28"/>
          <w:lang w:eastAsia="zh-CN"/>
        </w:rPr>
        <w:t>城市建设支出</w:t>
      </w:r>
      <w:r>
        <w:rPr>
          <w:rFonts w:hint="eastAsia" w:ascii="仿宋_GB2312" w:eastAsia="仿宋_GB2312"/>
          <w:sz w:val="28"/>
          <w:szCs w:val="28"/>
          <w:lang w:val="en-US" w:eastAsia="zh-CN"/>
        </w:rPr>
        <w:t>29579.84万元，</w:t>
      </w:r>
      <w:r>
        <w:rPr>
          <w:rFonts w:hint="eastAsia" w:ascii="仿宋_GB2312" w:eastAsia="仿宋_GB2312"/>
          <w:sz w:val="28"/>
          <w:szCs w:val="28"/>
        </w:rPr>
        <w:t>占本年财政拨款支出</w:t>
      </w:r>
      <w:r>
        <w:rPr>
          <w:rFonts w:hint="eastAsia" w:ascii="仿宋_GB2312" w:eastAsia="仿宋_GB2312"/>
          <w:sz w:val="28"/>
          <w:szCs w:val="28"/>
          <w:lang w:val="en-US" w:eastAsia="zh-CN"/>
        </w:rPr>
        <w:t>100</w:t>
      </w:r>
      <w:r>
        <w:rPr>
          <w:rFonts w:hint="eastAsia" w:ascii="仿宋_GB2312" w:eastAsia="仿宋_GB2312"/>
          <w:sz w:val="28"/>
          <w:szCs w:val="28"/>
        </w:rPr>
        <w:t>%。</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（二）政府性基金预算财政拨款支出决算具体情况</w:t>
      </w:r>
    </w:p>
    <w:p>
      <w:pPr>
        <w:autoSpaceDE w:val="0"/>
        <w:autoSpaceDN w:val="0"/>
        <w:adjustRightInd w:val="0"/>
        <w:spacing w:line="580" w:lineRule="exact"/>
        <w:ind w:firstLine="700" w:firstLineChars="250"/>
        <w:jc w:val="left"/>
        <w:rPr>
          <w:rFonts w:hint="eastAsia" w:ascii="仿宋_GB2312" w:eastAsia="仿宋_GB2312"/>
          <w:sz w:val="28"/>
          <w:szCs w:val="28"/>
        </w:rPr>
      </w:pPr>
      <w:r>
        <w:rPr>
          <w:rFonts w:hint="eastAsia" w:ascii="仿宋_GB2312" w:eastAsia="仿宋_GB2312"/>
          <w:sz w:val="28"/>
          <w:szCs w:val="28"/>
        </w:rPr>
        <w:t>1、“城乡社区支出”（类，下同）202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年度年初预算增加（减少）</w:t>
      </w:r>
      <w:r>
        <w:rPr>
          <w:rFonts w:hint="eastAsia" w:ascii="仿宋_GB2312" w:eastAsia="仿宋_GB2312"/>
          <w:sz w:val="28"/>
          <w:szCs w:val="28"/>
          <w:lang w:val="en-US" w:eastAsia="zh-CN"/>
        </w:rPr>
        <w:t>0</w:t>
      </w:r>
      <w:r>
        <w:rPr>
          <w:rFonts w:hint="eastAsia" w:ascii="仿宋_GB2312" w:eastAsia="仿宋_GB2312"/>
          <w:sz w:val="28"/>
          <w:szCs w:val="28"/>
        </w:rPr>
        <w:t>万元，增长（下降）</w:t>
      </w:r>
      <w:r>
        <w:rPr>
          <w:rFonts w:hint="eastAsia" w:ascii="仿宋_GB2312" w:eastAsia="仿宋_GB2312"/>
          <w:sz w:val="28"/>
          <w:szCs w:val="28"/>
          <w:lang w:val="en-US" w:eastAsia="zh-CN"/>
        </w:rPr>
        <w:t>0</w:t>
      </w:r>
      <w:r>
        <w:rPr>
          <w:rFonts w:hint="eastAsia" w:ascii="仿宋_GB2312" w:eastAsia="仿宋_GB2312"/>
          <w:sz w:val="28"/>
          <w:szCs w:val="28"/>
        </w:rPr>
        <w:t>%。其中：</w:t>
      </w:r>
    </w:p>
    <w:p>
      <w:pPr>
        <w:spacing w:line="580" w:lineRule="exact"/>
        <w:ind w:firstLine="560" w:firstLineChars="200"/>
        <w:rPr>
          <w:rFonts w:hint="eastAsia" w:ascii="仿宋_GB2312" w:eastAsia="仿宋_GB2312"/>
          <w:sz w:val="28"/>
          <w:szCs w:val="28"/>
          <w:lang w:eastAsia="zh-CN"/>
        </w:rPr>
      </w:pPr>
      <w:r>
        <w:rPr>
          <w:rFonts w:hint="eastAsia" w:ascii="仿宋_GB2312" w:eastAsia="仿宋_GB2312"/>
          <w:sz w:val="28"/>
          <w:szCs w:val="28"/>
        </w:rPr>
        <w:t>“城市公用事业附加及对应专项债务收入安排的支出”（款，下同）202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年度年初预算增加（减少）</w:t>
      </w:r>
      <w:r>
        <w:rPr>
          <w:rFonts w:hint="eastAsia" w:ascii="仿宋_GB2312" w:eastAsia="仿宋_GB2312"/>
          <w:sz w:val="28"/>
          <w:szCs w:val="28"/>
          <w:lang w:val="en-US" w:eastAsia="zh-CN"/>
        </w:rPr>
        <w:t>0</w:t>
      </w:r>
      <w:r>
        <w:rPr>
          <w:rFonts w:hint="eastAsia" w:ascii="仿宋_GB2312" w:eastAsia="仿宋_GB2312"/>
          <w:sz w:val="28"/>
          <w:szCs w:val="28"/>
        </w:rPr>
        <w:t>万元，增长（下降）</w:t>
      </w:r>
      <w:r>
        <w:rPr>
          <w:rFonts w:hint="eastAsia" w:ascii="仿宋_GB2312" w:eastAsia="仿宋_GB2312"/>
          <w:sz w:val="28"/>
          <w:szCs w:val="28"/>
          <w:lang w:val="en-US" w:eastAsia="zh-CN"/>
        </w:rPr>
        <w:t>0</w:t>
      </w:r>
      <w:r>
        <w:rPr>
          <w:rFonts w:hint="eastAsia" w:ascii="仿宋_GB2312" w:eastAsia="仿宋_GB2312"/>
          <w:sz w:val="28"/>
          <w:szCs w:val="28"/>
        </w:rPr>
        <w:t>%。</w:t>
      </w:r>
    </w:p>
    <w:p>
      <w:pPr>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2、“国有土地使用权出让收入安排的支出”（类）202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29579.84</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15800.75</w:t>
      </w:r>
      <w:r>
        <w:rPr>
          <w:rFonts w:hint="eastAsia" w:ascii="仿宋_GB2312" w:eastAsia="仿宋_GB2312"/>
          <w:sz w:val="28"/>
          <w:szCs w:val="28"/>
        </w:rPr>
        <w:t>万元，增长</w:t>
      </w:r>
      <w:r>
        <w:rPr>
          <w:rFonts w:hint="eastAsia" w:ascii="仿宋_GB2312" w:eastAsia="仿宋_GB2312"/>
          <w:sz w:val="28"/>
          <w:szCs w:val="28"/>
          <w:lang w:val="en-US" w:eastAsia="zh-CN"/>
        </w:rPr>
        <w:t>114.67</w:t>
      </w:r>
      <w:r>
        <w:rPr>
          <w:rFonts w:hint="eastAsia" w:ascii="仿宋_GB2312" w:eastAsia="仿宋_GB2312"/>
          <w:sz w:val="28"/>
          <w:szCs w:val="28"/>
        </w:rPr>
        <w:t>%。其中：</w:t>
      </w:r>
    </w:p>
    <w:p>
      <w:pPr>
        <w:spacing w:line="580" w:lineRule="exact"/>
        <w:ind w:firstLine="560" w:firstLineChars="200"/>
        <w:rPr>
          <w:rFonts w:ascii="仿宋_GB2312" w:eastAsia="仿宋_GB2312"/>
          <w:sz w:val="28"/>
          <w:szCs w:val="28"/>
        </w:rPr>
      </w:pPr>
      <w:r>
        <w:rPr>
          <w:rFonts w:hint="eastAsia" w:ascii="仿宋_GB2312" w:eastAsia="仿宋_GB2312"/>
          <w:sz w:val="28"/>
          <w:szCs w:val="28"/>
        </w:rPr>
        <w:t>“</w:t>
      </w:r>
      <w:r>
        <w:rPr>
          <w:rFonts w:hint="eastAsia" w:ascii="仿宋_GB2312" w:eastAsia="仿宋_GB2312"/>
          <w:sz w:val="28"/>
          <w:szCs w:val="28"/>
          <w:lang w:eastAsia="zh-CN"/>
        </w:rPr>
        <w:t>城市建设支出</w:t>
      </w:r>
      <w:r>
        <w:rPr>
          <w:rFonts w:hint="eastAsia" w:ascii="仿宋_GB2312" w:eastAsia="仿宋_GB2312"/>
          <w:sz w:val="28"/>
          <w:szCs w:val="28"/>
        </w:rPr>
        <w:t>”（款）202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29579.84</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年度年初预算增加</w:t>
      </w:r>
      <w:r>
        <w:rPr>
          <w:rFonts w:hint="eastAsia" w:ascii="仿宋_GB2312" w:eastAsia="仿宋_GB2312"/>
          <w:sz w:val="28"/>
          <w:szCs w:val="28"/>
          <w:lang w:val="en-US" w:eastAsia="zh-CN"/>
        </w:rPr>
        <w:t>15800.75</w:t>
      </w:r>
      <w:r>
        <w:rPr>
          <w:rFonts w:hint="eastAsia" w:ascii="仿宋_GB2312" w:eastAsia="仿宋_GB2312"/>
          <w:sz w:val="28"/>
          <w:szCs w:val="28"/>
        </w:rPr>
        <w:t>万元，增长</w:t>
      </w:r>
      <w:r>
        <w:rPr>
          <w:rFonts w:hint="eastAsia" w:ascii="仿宋_GB2312" w:eastAsia="仿宋_GB2312"/>
          <w:sz w:val="28"/>
          <w:szCs w:val="28"/>
          <w:lang w:val="en-US" w:eastAsia="zh-CN"/>
        </w:rPr>
        <w:t>114.67</w:t>
      </w:r>
      <w:r>
        <w:rPr>
          <w:rFonts w:hint="eastAsia" w:ascii="仿宋_GB2312" w:eastAsia="仿宋_GB2312"/>
          <w:sz w:val="28"/>
          <w:szCs w:val="28"/>
        </w:rPr>
        <w:t>%。主要原因：</w:t>
      </w:r>
      <w:r>
        <w:rPr>
          <w:rFonts w:hint="eastAsia" w:ascii="仿宋_GB2312" w:eastAsia="仿宋_GB2312"/>
          <w:sz w:val="28"/>
          <w:szCs w:val="28"/>
          <w:lang w:eastAsia="zh-CN"/>
        </w:rPr>
        <w:t>工程项目增加</w:t>
      </w:r>
      <w:r>
        <w:rPr>
          <w:rFonts w:hint="eastAsia" w:ascii="仿宋_GB2312" w:eastAsia="仿宋_GB2312"/>
          <w:sz w:val="28"/>
          <w:szCs w:val="28"/>
        </w:rPr>
        <w:t>。</w:t>
      </w:r>
    </w:p>
    <w:p>
      <w:pPr>
        <w:spacing w:line="580" w:lineRule="exact"/>
        <w:ind w:firstLine="560" w:firstLineChars="200"/>
        <w:rPr>
          <w:rFonts w:hint="eastAsia" w:ascii="黑体" w:eastAsia="黑体"/>
          <w:b w:val="0"/>
          <w:bCs/>
          <w:sz w:val="28"/>
          <w:szCs w:val="28"/>
        </w:rPr>
      </w:pPr>
      <w:r>
        <w:rPr>
          <w:rFonts w:hint="eastAsia" w:ascii="黑体" w:eastAsia="黑体"/>
          <w:b w:val="0"/>
          <w:bCs/>
          <w:sz w:val="28"/>
          <w:szCs w:val="28"/>
        </w:rPr>
        <w:t>六、国有资本经营预算财</w:t>
      </w:r>
      <w:r>
        <w:rPr>
          <w:rFonts w:ascii="黑体" w:eastAsia="黑体"/>
          <w:b w:val="0"/>
          <w:bCs/>
          <w:sz w:val="28"/>
          <w:szCs w:val="28"/>
        </w:rPr>
        <w:t>政拨款</w:t>
      </w:r>
      <w:r>
        <w:rPr>
          <w:rFonts w:hint="eastAsia" w:ascii="黑体" w:eastAsia="黑体"/>
          <w:b w:val="0"/>
          <w:bCs/>
          <w:sz w:val="28"/>
          <w:szCs w:val="28"/>
        </w:rPr>
        <w:t>收支情况</w:t>
      </w:r>
    </w:p>
    <w:p>
      <w:pPr>
        <w:ind w:firstLine="537" w:firstLineChars="192"/>
        <w:rPr>
          <w:rFonts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年度国有资本经营预算财政</w:t>
      </w:r>
      <w:r>
        <w:rPr>
          <w:rFonts w:ascii="仿宋_GB2312" w:eastAsia="仿宋_GB2312"/>
          <w:sz w:val="28"/>
          <w:szCs w:val="28"/>
        </w:rPr>
        <w:t>拨款</w:t>
      </w:r>
      <w:r>
        <w:rPr>
          <w:rFonts w:hint="eastAsia" w:ascii="仿宋_GB2312" w:eastAsia="仿宋_GB2312"/>
          <w:sz w:val="28"/>
          <w:szCs w:val="28"/>
        </w:rPr>
        <w:t>收入总</w:t>
      </w:r>
      <w:r>
        <w:rPr>
          <w:rFonts w:ascii="仿宋_GB2312" w:eastAsia="仿宋_GB2312"/>
          <w:sz w:val="28"/>
          <w:szCs w:val="28"/>
        </w:rPr>
        <w:t>计0</w:t>
      </w:r>
      <w:r>
        <w:rPr>
          <w:rFonts w:hint="eastAsia" w:ascii="仿宋_GB2312" w:eastAsia="仿宋_GB2312"/>
          <w:sz w:val="28"/>
          <w:szCs w:val="28"/>
        </w:rPr>
        <w:t>万元，国有资本经营预算财政</w:t>
      </w:r>
      <w:r>
        <w:rPr>
          <w:rFonts w:ascii="仿宋_GB2312" w:eastAsia="仿宋_GB2312"/>
          <w:sz w:val="28"/>
          <w:szCs w:val="28"/>
        </w:rPr>
        <w:t>拨款</w:t>
      </w:r>
      <w:r>
        <w:rPr>
          <w:rFonts w:hint="eastAsia" w:ascii="仿宋_GB2312" w:eastAsia="仿宋_GB2312"/>
          <w:sz w:val="28"/>
          <w:szCs w:val="28"/>
        </w:rPr>
        <w:t>支出总</w:t>
      </w:r>
      <w:r>
        <w:rPr>
          <w:rFonts w:ascii="仿宋_GB2312" w:eastAsia="仿宋_GB2312"/>
          <w:sz w:val="28"/>
          <w:szCs w:val="28"/>
        </w:rPr>
        <w:t>计0</w:t>
      </w:r>
      <w:r>
        <w:rPr>
          <w:rFonts w:hint="eastAsia" w:ascii="仿宋_GB2312" w:eastAsia="仿宋_GB2312"/>
          <w:sz w:val="28"/>
          <w:szCs w:val="28"/>
        </w:rPr>
        <w:t>万元。</w:t>
      </w:r>
    </w:p>
    <w:p>
      <w:pPr>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七、财政拨款基本支出决算情况说明</w:t>
      </w:r>
    </w:p>
    <w:p>
      <w:pPr>
        <w:tabs>
          <w:tab w:val="center" w:pos="6979"/>
        </w:tabs>
        <w:spacing w:line="580" w:lineRule="exact"/>
        <w:ind w:firstLine="548" w:firstLineChars="196"/>
        <w:rPr>
          <w:rFonts w:hint="eastAsia" w:ascii="黑体" w:eastAsia="黑体"/>
          <w:b/>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年度使用一般公共预算财政拨款安排基本支出</w:t>
      </w:r>
      <w:r>
        <w:rPr>
          <w:rFonts w:ascii="仿宋_GB2312" w:eastAsia="仿宋_GB2312"/>
          <w:sz w:val="28"/>
          <w:szCs w:val="28"/>
        </w:rPr>
        <w:t>6705.89</w:t>
      </w:r>
      <w:r>
        <w:rPr>
          <w:rFonts w:hint="eastAsia" w:ascii="仿宋_GB2312" w:eastAsia="仿宋_GB2312"/>
          <w:sz w:val="28"/>
          <w:szCs w:val="28"/>
        </w:rPr>
        <w:t>万元，使用政府性基金财政拨款安排基本支出</w:t>
      </w:r>
      <w:r>
        <w:rPr>
          <w:rFonts w:ascii="仿宋_GB2312" w:eastAsia="仿宋_GB2312"/>
          <w:sz w:val="28"/>
          <w:szCs w:val="28"/>
        </w:rPr>
        <w:t>0</w:t>
      </w:r>
      <w:r>
        <w:rPr>
          <w:rFonts w:hint="eastAsia" w:ascii="仿宋_GB2312" w:eastAsia="仿宋_GB2312"/>
          <w:sz w:val="28"/>
          <w:szCs w:val="28"/>
        </w:rPr>
        <w:t>万元，其中：（1）工资福利支出包括基本工资</w:t>
      </w:r>
      <w:r>
        <w:rPr>
          <w:rFonts w:ascii="仿宋_GB2312" w:eastAsia="仿宋_GB2312"/>
          <w:sz w:val="28"/>
          <w:szCs w:val="28"/>
        </w:rPr>
        <w:t>、津贴补贴、奖金、伙食补助费、绩效工资、</w:t>
      </w:r>
      <w:r>
        <w:rPr>
          <w:rFonts w:hint="eastAsia" w:ascii="仿宋_GB2312" w:eastAsia="仿宋_GB2312"/>
          <w:sz w:val="28"/>
          <w:szCs w:val="28"/>
        </w:rPr>
        <w:t>其他</w:t>
      </w:r>
      <w:r>
        <w:rPr>
          <w:rFonts w:ascii="仿宋_GB2312" w:eastAsia="仿宋_GB2312"/>
          <w:sz w:val="28"/>
          <w:szCs w:val="28"/>
        </w:rPr>
        <w:t>社会保障缴费、其他工资福利</w:t>
      </w:r>
      <w:r>
        <w:rPr>
          <w:rFonts w:hint="eastAsia" w:ascii="仿宋_GB2312" w:eastAsia="仿宋_GB2312"/>
          <w:sz w:val="28"/>
          <w:szCs w:val="28"/>
        </w:rPr>
        <w:t>等</w:t>
      </w:r>
      <w:r>
        <w:rPr>
          <w:rFonts w:ascii="仿宋_GB2312" w:eastAsia="仿宋_GB2312"/>
          <w:sz w:val="28"/>
          <w:szCs w:val="28"/>
        </w:rPr>
        <w:t>支出</w:t>
      </w:r>
      <w:r>
        <w:rPr>
          <w:rFonts w:hint="eastAsia" w:ascii="仿宋_GB2312" w:eastAsia="仿宋_GB2312"/>
          <w:sz w:val="28"/>
          <w:szCs w:val="28"/>
          <w:lang w:val="en-US" w:eastAsia="zh-CN"/>
        </w:rPr>
        <w:t>6139.31万元</w:t>
      </w:r>
      <w:r>
        <w:rPr>
          <w:rFonts w:hint="eastAsia" w:ascii="仿宋_GB2312" w:eastAsia="仿宋_GB2312"/>
          <w:sz w:val="28"/>
          <w:szCs w:val="28"/>
        </w:rPr>
        <w:t>；（2）商品和服务支出包括</w:t>
      </w:r>
      <w:r>
        <w:rPr>
          <w:rFonts w:ascii="仿宋_GB2312" w:eastAsia="仿宋_GB2312"/>
          <w:sz w:val="28"/>
          <w:szCs w:val="28"/>
        </w:rPr>
        <w:t>办公费、印刷费、咨询费、手续费、水费、电费、邮电费、取暖费、物业管理费、差旅费、因公出国（境）费、维修（护）费、租赁费、会议费、培训费、公务接待费、专用材料费、劳务费、委托业务费、工会经费、福利费、公务用车运行维护费、其他交通费、其他商品和服务</w:t>
      </w:r>
      <w:r>
        <w:rPr>
          <w:rFonts w:hint="eastAsia" w:ascii="仿宋_GB2312" w:eastAsia="仿宋_GB2312"/>
          <w:sz w:val="28"/>
          <w:szCs w:val="28"/>
        </w:rPr>
        <w:t>等</w:t>
      </w:r>
      <w:r>
        <w:rPr>
          <w:rFonts w:ascii="仿宋_GB2312" w:eastAsia="仿宋_GB2312"/>
          <w:sz w:val="28"/>
          <w:szCs w:val="28"/>
        </w:rPr>
        <w:t>支出</w:t>
      </w:r>
      <w:r>
        <w:rPr>
          <w:rFonts w:hint="eastAsia" w:ascii="仿宋_GB2312" w:eastAsia="仿宋_GB2312"/>
          <w:sz w:val="28"/>
          <w:szCs w:val="28"/>
          <w:lang w:val="en-US" w:eastAsia="zh-CN"/>
        </w:rPr>
        <w:t>196.99万元</w:t>
      </w:r>
      <w:r>
        <w:rPr>
          <w:rFonts w:hint="eastAsia" w:ascii="仿宋_GB2312" w:eastAsia="仿宋_GB2312"/>
          <w:sz w:val="28"/>
          <w:szCs w:val="28"/>
        </w:rPr>
        <w:t>；（3）对个人和家庭补助支出包括</w:t>
      </w:r>
      <w:r>
        <w:rPr>
          <w:rFonts w:ascii="仿宋_GB2312" w:eastAsia="仿宋_GB2312"/>
          <w:sz w:val="28"/>
          <w:szCs w:val="28"/>
        </w:rPr>
        <w:t>离休费、退休费、抚恤金、生活补助、</w:t>
      </w:r>
      <w:r>
        <w:rPr>
          <w:rFonts w:hint="eastAsia" w:ascii="仿宋_GB2312" w:eastAsia="仿宋_GB2312"/>
          <w:sz w:val="28"/>
          <w:szCs w:val="28"/>
        </w:rPr>
        <w:t>救济费</w:t>
      </w:r>
      <w:r>
        <w:rPr>
          <w:rFonts w:ascii="仿宋_GB2312" w:eastAsia="仿宋_GB2312"/>
          <w:sz w:val="28"/>
          <w:szCs w:val="28"/>
        </w:rPr>
        <w:t>、医疗费</w:t>
      </w:r>
      <w:r>
        <w:rPr>
          <w:rFonts w:hint="eastAsia" w:ascii="仿宋_GB2312" w:eastAsia="仿宋_GB2312"/>
          <w:sz w:val="28"/>
          <w:szCs w:val="28"/>
        </w:rPr>
        <w:t>补助</w:t>
      </w:r>
      <w:r>
        <w:rPr>
          <w:rFonts w:ascii="仿宋_GB2312" w:eastAsia="仿宋_GB2312"/>
          <w:sz w:val="28"/>
          <w:szCs w:val="28"/>
        </w:rPr>
        <w:t>、助学金、奖励金</w:t>
      </w:r>
      <w:r>
        <w:rPr>
          <w:rFonts w:hint="eastAsia" w:ascii="仿宋_GB2312" w:eastAsia="仿宋_GB2312"/>
          <w:sz w:val="28"/>
          <w:szCs w:val="28"/>
        </w:rPr>
        <w:t>、</w:t>
      </w:r>
      <w:r>
        <w:rPr>
          <w:rFonts w:ascii="仿宋_GB2312" w:eastAsia="仿宋_GB2312"/>
          <w:sz w:val="28"/>
          <w:szCs w:val="28"/>
        </w:rPr>
        <w:t>其他对个人和家庭的补助</w:t>
      </w:r>
      <w:r>
        <w:rPr>
          <w:rFonts w:hint="eastAsia" w:ascii="仿宋_GB2312" w:eastAsia="仿宋_GB2312"/>
          <w:sz w:val="28"/>
          <w:szCs w:val="28"/>
        </w:rPr>
        <w:t>等</w:t>
      </w:r>
      <w:r>
        <w:rPr>
          <w:rFonts w:ascii="仿宋_GB2312" w:eastAsia="仿宋_GB2312"/>
          <w:sz w:val="28"/>
          <w:szCs w:val="28"/>
        </w:rPr>
        <w:t>支出</w:t>
      </w:r>
      <w:r>
        <w:rPr>
          <w:rFonts w:hint="eastAsia" w:ascii="仿宋_GB2312" w:eastAsia="仿宋_GB2312"/>
          <w:sz w:val="28"/>
          <w:szCs w:val="28"/>
          <w:lang w:val="en-US" w:eastAsia="zh-CN"/>
        </w:rPr>
        <w:t>369.59万元</w:t>
      </w:r>
      <w:r>
        <w:rPr>
          <w:rFonts w:hint="eastAsia" w:ascii="仿宋_GB2312" w:eastAsia="仿宋_GB2312"/>
          <w:sz w:val="28"/>
          <w:szCs w:val="28"/>
        </w:rPr>
        <w:t>。（4）其他资本性支出包括</w:t>
      </w:r>
      <w:r>
        <w:rPr>
          <w:rFonts w:ascii="仿宋_GB2312" w:eastAsia="仿宋_GB2312"/>
          <w:sz w:val="28"/>
          <w:szCs w:val="28"/>
        </w:rPr>
        <w:t>办公设备购置、专用设备购置</w:t>
      </w:r>
      <w:r>
        <w:rPr>
          <w:rFonts w:hint="eastAsia" w:ascii="仿宋_GB2312" w:eastAsia="仿宋_GB2312"/>
          <w:sz w:val="28"/>
          <w:szCs w:val="28"/>
        </w:rPr>
        <w:t>等</w:t>
      </w:r>
      <w:r>
        <w:rPr>
          <w:rFonts w:hint="eastAsia" w:ascii="仿宋_GB2312" w:eastAsia="仿宋_GB2312"/>
          <w:sz w:val="28"/>
          <w:szCs w:val="28"/>
          <w:lang w:eastAsia="zh-CN"/>
        </w:rPr>
        <w:t>支出</w:t>
      </w:r>
      <w:r>
        <w:rPr>
          <w:rFonts w:hint="eastAsia" w:ascii="仿宋_GB2312" w:eastAsia="仿宋_GB2312"/>
          <w:sz w:val="28"/>
          <w:szCs w:val="28"/>
          <w:lang w:val="en-US" w:eastAsia="zh-CN"/>
        </w:rPr>
        <w:t>0万元</w:t>
      </w:r>
      <w:r>
        <w:rPr>
          <w:rFonts w:ascii="仿宋_GB2312" w:eastAsia="仿宋_GB2312"/>
          <w:sz w:val="28"/>
          <w:szCs w:val="28"/>
        </w:rPr>
        <w:t>。</w:t>
      </w:r>
    </w:p>
    <w:p>
      <w:pPr>
        <w:autoSpaceDE w:val="0"/>
        <w:autoSpaceDN w:val="0"/>
        <w:adjustRightInd w:val="0"/>
        <w:spacing w:line="580" w:lineRule="exact"/>
        <w:jc w:val="center"/>
        <w:rPr>
          <w:rFonts w:hint="eastAsia" w:ascii="宋体" w:hAnsi="宋体" w:cs="宋体"/>
          <w:b/>
          <w:spacing w:val="40"/>
          <w:kern w:val="0"/>
          <w:sz w:val="32"/>
          <w:szCs w:val="32"/>
        </w:rPr>
      </w:pPr>
      <w:r>
        <w:rPr>
          <w:rFonts w:ascii="仿宋_GB2312" w:eastAsia="仿宋_GB2312"/>
          <w:sz w:val="28"/>
          <w:szCs w:val="28"/>
        </w:rPr>
        <w:br w:type="page"/>
      </w:r>
      <w:r>
        <w:rPr>
          <w:rFonts w:hint="eastAsia" w:ascii="宋体" w:hAnsi="宋体" w:cs="宋体"/>
          <w:b/>
          <w:bCs/>
          <w:spacing w:val="40"/>
          <w:kern w:val="0"/>
          <w:sz w:val="32"/>
          <w:szCs w:val="32"/>
        </w:rPr>
        <w:t>第三部分</w:t>
      </w:r>
      <w:r>
        <w:rPr>
          <w:rFonts w:hint="eastAsia" w:ascii="宋体" w:hAnsi="宋体"/>
          <w:b/>
          <w:spacing w:val="40"/>
          <w:sz w:val="32"/>
          <w:szCs w:val="32"/>
        </w:rPr>
        <w:t>202</w:t>
      </w:r>
      <w:r>
        <w:rPr>
          <w:rFonts w:hint="eastAsia" w:ascii="宋体" w:hAnsi="宋体"/>
          <w:b/>
          <w:spacing w:val="40"/>
          <w:sz w:val="32"/>
          <w:szCs w:val="32"/>
          <w:lang w:val="en-US" w:eastAsia="zh-CN"/>
        </w:rPr>
        <w:t>3</w:t>
      </w:r>
      <w:r>
        <w:rPr>
          <w:rFonts w:hint="eastAsia" w:ascii="宋体" w:hAnsi="宋体"/>
          <w:b/>
          <w:spacing w:val="40"/>
          <w:sz w:val="32"/>
          <w:szCs w:val="32"/>
        </w:rPr>
        <w:t>年度</w:t>
      </w:r>
      <w:r>
        <w:rPr>
          <w:rFonts w:hint="eastAsia" w:ascii="宋体" w:hAnsi="宋体" w:cs="宋体"/>
          <w:b/>
          <w:spacing w:val="40"/>
          <w:kern w:val="0"/>
          <w:sz w:val="32"/>
          <w:szCs w:val="32"/>
        </w:rPr>
        <w:t>其他重要事项的情况说明</w:t>
      </w:r>
    </w:p>
    <w:p>
      <w:pPr>
        <w:spacing w:line="560" w:lineRule="exact"/>
        <w:ind w:firstLine="560" w:firstLineChars="200"/>
        <w:rPr>
          <w:rFonts w:hint="eastAsia" w:ascii="黑体" w:eastAsia="黑体"/>
          <w:sz w:val="28"/>
          <w:szCs w:val="28"/>
        </w:rPr>
      </w:pPr>
      <w:r>
        <w:rPr>
          <w:rFonts w:hint="eastAsia" w:ascii="黑体" w:eastAsia="黑体"/>
          <w:sz w:val="28"/>
          <w:szCs w:val="28"/>
        </w:rPr>
        <w:t>一、“三公”经费财政拨款决算情况</w:t>
      </w:r>
    </w:p>
    <w:p>
      <w:pPr>
        <w:spacing w:line="560" w:lineRule="exact"/>
        <w:ind w:firstLine="600"/>
        <w:rPr>
          <w:rFonts w:hint="eastAsia" w:ascii="仿宋_GB2312" w:eastAsia="仿宋_GB2312"/>
          <w:sz w:val="28"/>
          <w:szCs w:val="28"/>
        </w:rPr>
      </w:pPr>
      <w:r>
        <w:rPr>
          <w:rFonts w:hint="eastAsia" w:ascii="仿宋_GB2312" w:eastAsia="仿宋_GB2312"/>
          <w:sz w:val="28"/>
          <w:szCs w:val="28"/>
        </w:rPr>
        <w:t>“三公”经费包括本部门/单位所属</w:t>
      </w:r>
      <w:r>
        <w:rPr>
          <w:rFonts w:hint="eastAsia" w:ascii="仿宋_GB2312" w:eastAsia="仿宋_GB2312"/>
          <w:bCs/>
          <w:sz w:val="28"/>
          <w:szCs w:val="28"/>
          <w:lang w:val="en-US" w:eastAsia="zh-CN"/>
        </w:rPr>
        <w:t>1</w:t>
      </w:r>
      <w:r>
        <w:rPr>
          <w:rFonts w:hint="eastAsia" w:ascii="仿宋_GB2312" w:eastAsia="仿宋_GB2312"/>
          <w:sz w:val="28"/>
          <w:szCs w:val="28"/>
        </w:rPr>
        <w:t>个行政单位、</w:t>
      </w:r>
      <w:r>
        <w:rPr>
          <w:rFonts w:hint="eastAsia" w:ascii="仿宋_GB2312" w:eastAsia="仿宋_GB2312"/>
          <w:sz w:val="28"/>
          <w:szCs w:val="28"/>
          <w:lang w:val="en-US" w:eastAsia="zh-CN"/>
        </w:rPr>
        <w:t>0</w:t>
      </w:r>
      <w:r>
        <w:rPr>
          <w:rFonts w:hint="eastAsia" w:ascii="仿宋_GB2312" w:eastAsia="仿宋_GB2312"/>
          <w:sz w:val="28"/>
          <w:szCs w:val="28"/>
        </w:rPr>
        <w:t>个</w:t>
      </w:r>
      <w:r>
        <w:rPr>
          <w:rFonts w:ascii="仿宋_GB2312" w:eastAsia="仿宋_GB2312"/>
          <w:sz w:val="28"/>
          <w:szCs w:val="28"/>
        </w:rPr>
        <w:t>参</w:t>
      </w:r>
      <w:r>
        <w:rPr>
          <w:rFonts w:hint="eastAsia" w:ascii="仿宋_GB2312" w:eastAsia="仿宋_GB2312"/>
          <w:sz w:val="28"/>
          <w:szCs w:val="28"/>
        </w:rPr>
        <w:t>照</w:t>
      </w:r>
      <w:r>
        <w:rPr>
          <w:rFonts w:ascii="仿宋_GB2312" w:eastAsia="仿宋_GB2312"/>
          <w:sz w:val="28"/>
          <w:szCs w:val="28"/>
        </w:rPr>
        <w:t>公务员法管理事业单位</w:t>
      </w:r>
      <w:r>
        <w:rPr>
          <w:rFonts w:hint="eastAsia" w:ascii="仿宋_GB2312" w:eastAsia="仿宋_GB2312"/>
          <w:sz w:val="28"/>
          <w:szCs w:val="28"/>
        </w:rPr>
        <w:t>、</w:t>
      </w:r>
      <w:r>
        <w:rPr>
          <w:rFonts w:hint="eastAsia" w:ascii="仿宋_GB2312" w:eastAsia="仿宋_GB2312"/>
          <w:bCs/>
          <w:sz w:val="28"/>
          <w:szCs w:val="28"/>
          <w:lang w:val="en-US" w:eastAsia="zh-CN"/>
        </w:rPr>
        <w:t>3</w:t>
      </w:r>
      <w:r>
        <w:rPr>
          <w:rFonts w:hint="eastAsia" w:ascii="仿宋_GB2312" w:eastAsia="仿宋_GB2312"/>
          <w:bCs/>
          <w:sz w:val="28"/>
          <w:szCs w:val="28"/>
        </w:rPr>
        <w:t>个</w:t>
      </w:r>
      <w:r>
        <w:rPr>
          <w:rFonts w:hint="eastAsia" w:ascii="仿宋_GB2312" w:eastAsia="仿宋_GB2312"/>
          <w:sz w:val="28"/>
          <w:szCs w:val="28"/>
        </w:rPr>
        <w:t>事业单位。202</w:t>
      </w:r>
      <w:r>
        <w:rPr>
          <w:rFonts w:hint="eastAsia" w:ascii="仿宋_GB2312" w:eastAsia="仿宋_GB2312"/>
          <w:sz w:val="28"/>
          <w:szCs w:val="28"/>
          <w:lang w:val="en-US" w:eastAsia="zh-CN"/>
        </w:rPr>
        <w:t>3</w:t>
      </w:r>
      <w:r>
        <w:rPr>
          <w:rFonts w:hint="eastAsia" w:ascii="仿宋_GB2312" w:eastAsia="仿宋_GB2312"/>
          <w:sz w:val="28"/>
          <w:szCs w:val="28"/>
        </w:rPr>
        <w:t>年度“三公”经费财政拨款决算数</w:t>
      </w:r>
      <w:r>
        <w:rPr>
          <w:rFonts w:ascii="仿宋_GB2312" w:eastAsia="仿宋_GB2312"/>
          <w:sz w:val="28"/>
          <w:szCs w:val="28"/>
        </w:rPr>
        <w:t>63.69</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年度“三公”经费财政拨款年初预算</w:t>
      </w:r>
      <w:r>
        <w:rPr>
          <w:rFonts w:ascii="仿宋_GB2312" w:eastAsia="仿宋_GB2312"/>
          <w:sz w:val="28"/>
          <w:szCs w:val="28"/>
        </w:rPr>
        <w:t>59.92</w:t>
      </w:r>
      <w:r>
        <w:rPr>
          <w:rFonts w:hint="eastAsia" w:ascii="仿宋_GB2312" w:eastAsia="仿宋_GB2312"/>
          <w:sz w:val="28"/>
          <w:szCs w:val="28"/>
        </w:rPr>
        <w:t>万元增加（减少）</w:t>
      </w:r>
      <w:r>
        <w:rPr>
          <w:rFonts w:ascii="仿宋_GB2312" w:eastAsia="仿宋_GB2312"/>
          <w:sz w:val="28"/>
          <w:szCs w:val="28"/>
        </w:rPr>
        <w:t>3.77</w:t>
      </w:r>
      <w:r>
        <w:rPr>
          <w:rFonts w:hint="eastAsia" w:ascii="仿宋_GB2312" w:eastAsia="仿宋_GB2312"/>
          <w:sz w:val="28"/>
          <w:szCs w:val="28"/>
        </w:rPr>
        <w:t>万元。其中：</w:t>
      </w:r>
    </w:p>
    <w:p>
      <w:pPr>
        <w:spacing w:line="560" w:lineRule="exact"/>
        <w:ind w:firstLine="600"/>
        <w:rPr>
          <w:rFonts w:hint="eastAsia" w:ascii="仿宋_GB2312" w:eastAsia="仿宋_GB2312"/>
          <w:sz w:val="28"/>
          <w:szCs w:val="28"/>
        </w:rPr>
      </w:pPr>
      <w:r>
        <w:rPr>
          <w:rFonts w:hint="eastAsia" w:ascii="仿宋_GB2312" w:eastAsia="仿宋_GB2312"/>
          <w:sz w:val="28"/>
          <w:szCs w:val="28"/>
        </w:rPr>
        <w:t>1.因公出国（境）费用。202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ascii="仿宋_GB2312" w:eastAsia="仿宋_GB2312"/>
          <w:sz w:val="28"/>
          <w:szCs w:val="28"/>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年度年初预算数</w:t>
      </w:r>
      <w:r>
        <w:rPr>
          <w:rFonts w:ascii="仿宋_GB2312" w:eastAsia="仿宋_GB2312"/>
          <w:sz w:val="28"/>
          <w:szCs w:val="28"/>
        </w:rPr>
        <w:t>0</w:t>
      </w:r>
      <w:r>
        <w:rPr>
          <w:rFonts w:hint="eastAsia" w:ascii="仿宋_GB2312" w:eastAsia="仿宋_GB2312"/>
          <w:sz w:val="28"/>
          <w:szCs w:val="28"/>
        </w:rPr>
        <w:t>万元增加（减少）</w:t>
      </w:r>
      <w:r>
        <w:rPr>
          <w:rFonts w:ascii="仿宋_GB2312" w:eastAsia="仿宋_GB2312"/>
          <w:sz w:val="28"/>
          <w:szCs w:val="28"/>
        </w:rPr>
        <w:t>0</w:t>
      </w:r>
      <w:r>
        <w:rPr>
          <w:rFonts w:hint="eastAsia" w:ascii="仿宋_GB2312" w:eastAsia="仿宋_GB2312"/>
          <w:sz w:val="28"/>
          <w:szCs w:val="28"/>
        </w:rPr>
        <w:t>万元。202</w:t>
      </w:r>
      <w:r>
        <w:rPr>
          <w:rFonts w:hint="eastAsia" w:ascii="仿宋_GB2312" w:eastAsia="仿宋_GB2312"/>
          <w:sz w:val="28"/>
          <w:szCs w:val="28"/>
          <w:lang w:val="en-US" w:eastAsia="zh-CN"/>
        </w:rPr>
        <w:t>3</w:t>
      </w:r>
      <w:r>
        <w:rPr>
          <w:rFonts w:hint="eastAsia" w:ascii="仿宋_GB2312" w:eastAsia="仿宋_GB2312"/>
          <w:sz w:val="28"/>
          <w:szCs w:val="28"/>
        </w:rPr>
        <w:t>年度因公出国（境）费用主要用于……等方面（需列示主要出国的会议、培训等事项），202</w:t>
      </w:r>
      <w:r>
        <w:rPr>
          <w:rFonts w:hint="eastAsia" w:ascii="仿宋_GB2312" w:eastAsia="仿宋_GB2312"/>
          <w:sz w:val="28"/>
          <w:szCs w:val="28"/>
          <w:lang w:val="en-US" w:eastAsia="zh-CN"/>
        </w:rPr>
        <w:t>3</w:t>
      </w:r>
      <w:r>
        <w:rPr>
          <w:rFonts w:hint="eastAsia" w:ascii="仿宋_GB2312" w:eastAsia="仿宋_GB2312"/>
          <w:sz w:val="28"/>
          <w:szCs w:val="28"/>
        </w:rPr>
        <w:t>年度组织因公出国（境）团组</w:t>
      </w:r>
      <w:r>
        <w:rPr>
          <w:rFonts w:hint="eastAsia" w:ascii="仿宋_GB2312" w:eastAsia="仿宋_GB2312"/>
          <w:sz w:val="28"/>
          <w:szCs w:val="28"/>
          <w:lang w:val="en-US" w:eastAsia="zh-CN"/>
        </w:rPr>
        <w:t>0</w:t>
      </w:r>
      <w:r>
        <w:rPr>
          <w:rFonts w:hint="eastAsia" w:ascii="仿宋_GB2312" w:eastAsia="仿宋_GB2312"/>
          <w:sz w:val="28"/>
          <w:szCs w:val="28"/>
        </w:rPr>
        <w:t>个、</w:t>
      </w:r>
      <w:r>
        <w:rPr>
          <w:rFonts w:hint="eastAsia" w:ascii="仿宋_GB2312" w:eastAsia="仿宋_GB2312"/>
          <w:sz w:val="28"/>
          <w:szCs w:val="28"/>
          <w:lang w:val="en-US" w:eastAsia="zh-CN"/>
        </w:rPr>
        <w:t>0</w:t>
      </w:r>
      <w:r>
        <w:rPr>
          <w:rFonts w:hint="eastAsia" w:ascii="仿宋_GB2312" w:eastAsia="仿宋_GB2312"/>
          <w:sz w:val="28"/>
          <w:szCs w:val="28"/>
        </w:rPr>
        <w:t>人次，人均因公出国（境）费用</w:t>
      </w:r>
      <w:r>
        <w:rPr>
          <w:rFonts w:hint="eastAsia" w:ascii="仿宋_GB2312" w:eastAsia="仿宋_GB2312"/>
          <w:sz w:val="28"/>
          <w:szCs w:val="28"/>
          <w:lang w:val="en-US" w:eastAsia="zh-CN"/>
        </w:rPr>
        <w:t>0</w:t>
      </w:r>
      <w:r>
        <w:rPr>
          <w:rFonts w:hint="eastAsia" w:ascii="仿宋_GB2312" w:eastAsia="仿宋_GB2312"/>
          <w:sz w:val="28"/>
          <w:szCs w:val="28"/>
        </w:rPr>
        <w:t>万元。</w:t>
      </w:r>
    </w:p>
    <w:p>
      <w:pPr>
        <w:spacing w:line="560" w:lineRule="exact"/>
        <w:ind w:firstLine="600"/>
        <w:rPr>
          <w:rFonts w:hint="eastAsia" w:ascii="仿宋_GB2312" w:eastAsia="仿宋_GB2312"/>
          <w:sz w:val="28"/>
          <w:szCs w:val="28"/>
        </w:rPr>
      </w:pPr>
      <w:r>
        <w:rPr>
          <w:rFonts w:hint="eastAsia" w:ascii="仿宋_GB2312" w:eastAsia="仿宋_GB2312"/>
          <w:sz w:val="28"/>
          <w:szCs w:val="28"/>
        </w:rPr>
        <w:t>2.公务接待费。202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ascii="仿宋_GB2312" w:eastAsia="仿宋_GB2312"/>
          <w:sz w:val="28"/>
          <w:szCs w:val="28"/>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年度年初预算数</w:t>
      </w:r>
      <w:r>
        <w:rPr>
          <w:rFonts w:ascii="仿宋_GB2312" w:eastAsia="仿宋_GB2312"/>
          <w:sz w:val="28"/>
          <w:szCs w:val="28"/>
        </w:rPr>
        <w:t>0</w:t>
      </w:r>
      <w:r>
        <w:rPr>
          <w:rFonts w:hint="eastAsia" w:ascii="仿宋_GB2312" w:eastAsia="仿宋_GB2312"/>
          <w:sz w:val="28"/>
          <w:szCs w:val="28"/>
        </w:rPr>
        <w:t>万元增加（减少）</w:t>
      </w:r>
      <w:r>
        <w:rPr>
          <w:rFonts w:ascii="仿宋_GB2312" w:eastAsia="仿宋_GB2312"/>
          <w:sz w:val="28"/>
          <w:szCs w:val="28"/>
        </w:rPr>
        <w:t>0</w:t>
      </w:r>
      <w:r>
        <w:rPr>
          <w:rFonts w:hint="eastAsia" w:ascii="仿宋_GB2312" w:eastAsia="仿宋_GB2312"/>
          <w:sz w:val="28"/>
          <w:szCs w:val="28"/>
        </w:rPr>
        <w:t>万元。</w:t>
      </w:r>
      <w:r>
        <w:rPr>
          <w:rFonts w:hint="eastAsia" w:ascii="仿宋_GB2312" w:eastAsia="仿宋_GB2312"/>
          <w:sz w:val="28"/>
          <w:szCs w:val="28"/>
          <w:lang w:val="en-US" w:eastAsia="zh-CN"/>
        </w:rPr>
        <w:t>0</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年度公务接待费主要用于……（主要接待事项）。公务接待</w:t>
      </w:r>
      <w:r>
        <w:rPr>
          <w:rFonts w:hint="eastAsia" w:ascii="仿宋_GB2312" w:eastAsia="仿宋_GB2312"/>
          <w:sz w:val="28"/>
          <w:szCs w:val="28"/>
          <w:lang w:val="en-US" w:eastAsia="zh-CN"/>
        </w:rPr>
        <w:t>0</w:t>
      </w:r>
      <w:r>
        <w:rPr>
          <w:rFonts w:hint="eastAsia" w:ascii="仿宋_GB2312" w:eastAsia="仿宋_GB2312"/>
          <w:sz w:val="28"/>
          <w:szCs w:val="28"/>
        </w:rPr>
        <w:t>批次，公务接待</w:t>
      </w:r>
      <w:r>
        <w:rPr>
          <w:rFonts w:hint="eastAsia" w:ascii="仿宋_GB2312" w:eastAsia="仿宋_GB2312"/>
          <w:sz w:val="28"/>
          <w:szCs w:val="28"/>
          <w:lang w:val="en-US" w:eastAsia="zh-CN"/>
        </w:rPr>
        <w:t>0</w:t>
      </w:r>
      <w:r>
        <w:rPr>
          <w:rFonts w:hint="eastAsia" w:ascii="仿宋_GB2312" w:eastAsia="仿宋_GB2312"/>
          <w:sz w:val="28"/>
          <w:szCs w:val="28"/>
        </w:rPr>
        <w:t>人次。</w:t>
      </w:r>
    </w:p>
    <w:p>
      <w:pPr>
        <w:spacing w:line="560" w:lineRule="exact"/>
        <w:ind w:firstLine="560" w:firstLineChars="200"/>
        <w:rPr>
          <w:rFonts w:hint="eastAsia" w:ascii="仿宋_GB2312" w:eastAsia="仿宋_GB2312"/>
          <w:sz w:val="28"/>
          <w:szCs w:val="28"/>
        </w:rPr>
      </w:pPr>
      <w:r>
        <w:rPr>
          <w:rFonts w:hint="eastAsia" w:ascii="仿宋_GB2312" w:eastAsia="仿宋_GB2312"/>
          <w:sz w:val="28"/>
          <w:szCs w:val="28"/>
        </w:rPr>
        <w:t>3.公务用车购置及运行维护费。202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ascii="仿宋_GB2312" w:eastAsia="仿宋_GB2312"/>
          <w:sz w:val="28"/>
          <w:szCs w:val="28"/>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年度年初预算数</w:t>
      </w:r>
      <w:r>
        <w:rPr>
          <w:rFonts w:ascii="仿宋_GB2312" w:eastAsia="仿宋_GB2312"/>
          <w:sz w:val="28"/>
          <w:szCs w:val="28"/>
        </w:rPr>
        <w:t>0</w:t>
      </w:r>
      <w:r>
        <w:rPr>
          <w:rFonts w:hint="eastAsia" w:ascii="仿宋_GB2312" w:eastAsia="仿宋_GB2312"/>
          <w:sz w:val="28"/>
          <w:szCs w:val="28"/>
        </w:rPr>
        <w:t>万元增加（减少）</w:t>
      </w:r>
      <w:r>
        <w:rPr>
          <w:rFonts w:ascii="仿宋_GB2312" w:eastAsia="仿宋_GB2312"/>
          <w:sz w:val="28"/>
          <w:szCs w:val="28"/>
        </w:rPr>
        <w:t>0</w:t>
      </w:r>
      <w:r>
        <w:rPr>
          <w:rFonts w:hint="eastAsia" w:ascii="仿宋_GB2312" w:eastAsia="仿宋_GB2312"/>
          <w:sz w:val="28"/>
          <w:szCs w:val="28"/>
        </w:rPr>
        <w:t>万元。</w:t>
      </w:r>
    </w:p>
    <w:p>
      <w:pPr>
        <w:spacing w:line="560" w:lineRule="exact"/>
        <w:ind w:firstLine="560" w:firstLineChars="200"/>
        <w:rPr>
          <w:rFonts w:hint="eastAsia" w:ascii="仿宋_GB2312" w:eastAsia="仿宋_GB2312"/>
          <w:sz w:val="28"/>
          <w:szCs w:val="28"/>
        </w:rPr>
      </w:pPr>
      <w:r>
        <w:rPr>
          <w:rFonts w:hint="eastAsia" w:ascii="仿宋_GB2312" w:eastAsia="仿宋_GB2312"/>
          <w:sz w:val="28"/>
          <w:szCs w:val="28"/>
        </w:rPr>
        <w:t>其中，公务用车购置费202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ascii="仿宋_GB2312" w:eastAsia="仿宋_GB2312"/>
          <w:sz w:val="28"/>
          <w:szCs w:val="28"/>
        </w:rPr>
        <w:t>0</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年度年初预算数</w:t>
      </w:r>
      <w:r>
        <w:rPr>
          <w:rFonts w:ascii="仿宋_GB2312" w:eastAsia="仿宋_GB2312"/>
          <w:sz w:val="28"/>
          <w:szCs w:val="28"/>
        </w:rPr>
        <w:t>0</w:t>
      </w:r>
      <w:r>
        <w:rPr>
          <w:rFonts w:hint="eastAsia" w:ascii="仿宋_GB2312" w:eastAsia="仿宋_GB2312"/>
          <w:sz w:val="28"/>
          <w:szCs w:val="28"/>
        </w:rPr>
        <w:t>万元增加（减少）</w:t>
      </w:r>
      <w:r>
        <w:rPr>
          <w:rFonts w:ascii="仿宋_GB2312" w:eastAsia="仿宋_GB2312"/>
          <w:sz w:val="28"/>
          <w:szCs w:val="28"/>
        </w:rPr>
        <w:t>0</w:t>
      </w:r>
      <w:r>
        <w:rPr>
          <w:rFonts w:hint="eastAsia" w:ascii="仿宋_GB2312" w:eastAsia="仿宋_GB2312"/>
          <w:sz w:val="28"/>
          <w:szCs w:val="28"/>
        </w:rPr>
        <w:t>万元。主要原因：……，202</w:t>
      </w:r>
      <w:r>
        <w:rPr>
          <w:rFonts w:hint="eastAsia" w:ascii="仿宋_GB2312" w:eastAsia="仿宋_GB2312"/>
          <w:sz w:val="28"/>
          <w:szCs w:val="28"/>
          <w:lang w:val="en-US" w:eastAsia="zh-CN"/>
        </w:rPr>
        <w:t>3</w:t>
      </w:r>
      <w:r>
        <w:rPr>
          <w:rFonts w:hint="eastAsia" w:ascii="仿宋_GB2312" w:eastAsia="仿宋_GB2312"/>
          <w:sz w:val="28"/>
          <w:szCs w:val="28"/>
        </w:rPr>
        <w:t>年度购置（更新）</w:t>
      </w:r>
      <w:r>
        <w:rPr>
          <w:rFonts w:hint="eastAsia" w:ascii="仿宋_GB2312" w:eastAsia="仿宋_GB2312"/>
          <w:sz w:val="28"/>
          <w:szCs w:val="28"/>
          <w:lang w:val="en-US" w:eastAsia="zh-CN"/>
        </w:rPr>
        <w:t>0</w:t>
      </w:r>
      <w:r>
        <w:rPr>
          <w:rFonts w:hint="eastAsia" w:ascii="仿宋_GB2312" w:eastAsia="仿宋_GB2312"/>
          <w:sz w:val="28"/>
          <w:szCs w:val="28"/>
        </w:rPr>
        <w:t>辆，车均购置费</w:t>
      </w:r>
      <w:r>
        <w:rPr>
          <w:rFonts w:hint="eastAsia" w:ascii="仿宋_GB2312" w:eastAsia="仿宋_GB2312"/>
          <w:sz w:val="28"/>
          <w:szCs w:val="28"/>
          <w:lang w:val="en-US" w:eastAsia="zh-CN"/>
        </w:rPr>
        <w:t>0</w:t>
      </w:r>
      <w:r>
        <w:rPr>
          <w:rFonts w:hint="eastAsia" w:ascii="仿宋_GB2312" w:eastAsia="仿宋_GB2312"/>
          <w:sz w:val="28"/>
          <w:szCs w:val="28"/>
        </w:rPr>
        <w:t>万元。公务用车运行维护费202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ascii="仿宋_GB2312" w:eastAsia="仿宋_GB2312"/>
          <w:sz w:val="28"/>
          <w:szCs w:val="28"/>
          <w:highlight w:val="none"/>
        </w:rPr>
        <w:t>63.69</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年度年初预算数</w:t>
      </w:r>
      <w:r>
        <w:rPr>
          <w:rFonts w:ascii="仿宋_GB2312" w:eastAsia="仿宋_GB2312"/>
          <w:sz w:val="28"/>
          <w:szCs w:val="28"/>
          <w:highlight w:val="none"/>
        </w:rPr>
        <w:t>59.92</w:t>
      </w:r>
      <w:r>
        <w:rPr>
          <w:rFonts w:hint="eastAsia" w:ascii="仿宋_GB2312" w:eastAsia="仿宋_GB2312"/>
          <w:sz w:val="28"/>
          <w:szCs w:val="28"/>
        </w:rPr>
        <w:t>万元增加</w:t>
      </w:r>
      <w:r>
        <w:rPr>
          <w:rFonts w:hint="eastAsia" w:ascii="仿宋_GB2312" w:eastAsia="仿宋_GB2312"/>
          <w:sz w:val="28"/>
          <w:szCs w:val="28"/>
          <w:lang w:val="en-US" w:eastAsia="zh-CN"/>
        </w:rPr>
        <w:t>3.77</w:t>
      </w:r>
      <w:r>
        <w:rPr>
          <w:rFonts w:hint="eastAsia" w:ascii="仿宋_GB2312" w:eastAsia="仿宋_GB2312"/>
          <w:sz w:val="28"/>
          <w:szCs w:val="28"/>
        </w:rPr>
        <w:t>万元，主要原因：</w:t>
      </w:r>
      <w:r>
        <w:rPr>
          <w:rFonts w:hint="eastAsia" w:ascii="仿宋_GB2312" w:eastAsia="仿宋_GB2312"/>
          <w:sz w:val="28"/>
          <w:szCs w:val="28"/>
          <w:lang w:eastAsia="zh-CN"/>
        </w:rPr>
        <w:t>车辆折旧费用增加</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年度公务用车运行维护费中，公务用车加油</w:t>
      </w:r>
      <w:r>
        <w:rPr>
          <w:rFonts w:ascii="仿宋_GB2312" w:eastAsia="仿宋_GB2312"/>
          <w:sz w:val="28"/>
          <w:szCs w:val="28"/>
          <w:highlight w:val="none"/>
        </w:rPr>
        <w:t>20.41</w:t>
      </w:r>
      <w:r>
        <w:rPr>
          <w:rFonts w:hint="eastAsia" w:ascii="仿宋_GB2312" w:eastAsia="仿宋_GB2312"/>
          <w:sz w:val="28"/>
          <w:szCs w:val="28"/>
        </w:rPr>
        <w:t>万元，公务用车维修</w:t>
      </w:r>
      <w:r>
        <w:rPr>
          <w:rFonts w:ascii="仿宋_GB2312" w:eastAsia="仿宋_GB2312"/>
          <w:sz w:val="28"/>
          <w:szCs w:val="28"/>
          <w:highlight w:val="none"/>
        </w:rPr>
        <w:t>12.94</w:t>
      </w:r>
      <w:r>
        <w:rPr>
          <w:rFonts w:hint="eastAsia" w:ascii="仿宋_GB2312" w:eastAsia="仿宋_GB2312"/>
          <w:sz w:val="28"/>
          <w:szCs w:val="28"/>
        </w:rPr>
        <w:t>万元，公务用车保险</w:t>
      </w:r>
      <w:r>
        <w:rPr>
          <w:rFonts w:ascii="仿宋_GB2312" w:eastAsia="仿宋_GB2312"/>
          <w:sz w:val="28"/>
          <w:szCs w:val="28"/>
          <w:highlight w:val="none"/>
        </w:rPr>
        <w:t>8</w:t>
      </w:r>
      <w:r>
        <w:rPr>
          <w:rFonts w:hint="eastAsia" w:ascii="仿宋_GB2312" w:eastAsia="仿宋_GB2312"/>
          <w:sz w:val="28"/>
          <w:szCs w:val="28"/>
        </w:rPr>
        <w:t>万元，公务用车其他支出</w:t>
      </w:r>
      <w:r>
        <w:rPr>
          <w:rFonts w:ascii="仿宋_GB2312" w:eastAsia="仿宋_GB2312"/>
          <w:sz w:val="28"/>
          <w:szCs w:val="28"/>
          <w:highlight w:val="none"/>
        </w:rPr>
        <w:t>22.34</w:t>
      </w:r>
      <w:r>
        <w:rPr>
          <w:rFonts w:hint="eastAsia" w:ascii="仿宋_GB2312" w:eastAsia="仿宋_GB2312"/>
          <w:sz w:val="28"/>
          <w:szCs w:val="28"/>
        </w:rPr>
        <w:t>万元。202</w:t>
      </w:r>
      <w:r>
        <w:rPr>
          <w:rFonts w:hint="eastAsia" w:ascii="仿宋_GB2312" w:eastAsia="仿宋_GB2312"/>
          <w:sz w:val="28"/>
          <w:szCs w:val="28"/>
          <w:lang w:val="en-US" w:eastAsia="zh-CN"/>
        </w:rPr>
        <w:t>3</w:t>
      </w:r>
      <w:r>
        <w:rPr>
          <w:rFonts w:hint="eastAsia" w:ascii="仿宋_GB2312" w:eastAsia="仿宋_GB2312"/>
          <w:sz w:val="28"/>
          <w:szCs w:val="28"/>
        </w:rPr>
        <w:t>年度公务用车保有量</w:t>
      </w:r>
      <w:r>
        <w:rPr>
          <w:rFonts w:hint="eastAsia" w:ascii="仿宋_GB2312" w:eastAsia="仿宋_GB2312"/>
          <w:sz w:val="28"/>
          <w:szCs w:val="28"/>
          <w:lang w:val="en-US" w:eastAsia="zh-CN"/>
        </w:rPr>
        <w:t>228</w:t>
      </w:r>
      <w:r>
        <w:rPr>
          <w:rFonts w:hint="eastAsia" w:ascii="仿宋_GB2312" w:eastAsia="仿宋_GB2312"/>
          <w:sz w:val="28"/>
          <w:szCs w:val="28"/>
        </w:rPr>
        <w:t>辆，车均运行维护费</w:t>
      </w:r>
      <w:r>
        <w:rPr>
          <w:rFonts w:hint="eastAsia" w:ascii="仿宋_GB2312" w:eastAsia="仿宋_GB2312"/>
          <w:sz w:val="28"/>
          <w:szCs w:val="28"/>
          <w:lang w:val="en-US" w:eastAsia="zh-CN"/>
        </w:rPr>
        <w:t>0.28</w:t>
      </w:r>
      <w:r>
        <w:rPr>
          <w:rFonts w:hint="eastAsia" w:ascii="仿宋_GB2312" w:eastAsia="仿宋_GB2312"/>
          <w:sz w:val="28"/>
          <w:szCs w:val="28"/>
        </w:rPr>
        <w:t>万元。</w:t>
      </w:r>
    </w:p>
    <w:p>
      <w:pPr>
        <w:tabs>
          <w:tab w:val="center" w:pos="6979"/>
        </w:tabs>
        <w:ind w:firstLine="554" w:firstLineChars="198"/>
        <w:rPr>
          <w:rFonts w:hint="eastAsia" w:ascii="黑体" w:eastAsia="黑体"/>
          <w:sz w:val="28"/>
          <w:szCs w:val="28"/>
        </w:rPr>
      </w:pPr>
      <w:r>
        <w:rPr>
          <w:rFonts w:hint="eastAsia" w:ascii="黑体" w:eastAsia="黑体"/>
          <w:sz w:val="28"/>
          <w:szCs w:val="28"/>
        </w:rPr>
        <w:t>二、机关运行经费支出情况</w:t>
      </w:r>
    </w:p>
    <w:p>
      <w:pPr>
        <w:spacing w:line="560" w:lineRule="exact"/>
        <w:ind w:firstLine="560" w:firstLineChars="200"/>
        <w:rPr>
          <w:rFonts w:hint="eastAsia" w:ascii="仿宋_GB2312" w:hAnsi="Times New Roman" w:eastAsia="仿宋_GB2312" w:cs="Times New Roman"/>
          <w:sz w:val="28"/>
          <w:szCs w:val="28"/>
        </w:rPr>
      </w:pPr>
      <w:r>
        <w:rPr>
          <w:rFonts w:hint="eastAsia" w:ascii="仿宋_GB2312" w:hAnsi="Times New Roman" w:eastAsia="仿宋_GB2312" w:cs="Times New Roman"/>
          <w:sz w:val="28"/>
          <w:szCs w:val="28"/>
        </w:rPr>
        <w:t>202</w:t>
      </w:r>
      <w:r>
        <w:rPr>
          <w:rFonts w:hint="eastAsia" w:ascii="仿宋_GB2312" w:hAnsi="Times New Roman" w:eastAsia="仿宋_GB2312" w:cs="Times New Roman"/>
          <w:sz w:val="28"/>
          <w:szCs w:val="28"/>
          <w:lang w:val="en-US" w:eastAsia="zh-CN"/>
        </w:rPr>
        <w:t>3</w:t>
      </w:r>
      <w:r>
        <w:rPr>
          <w:rFonts w:hint="eastAsia" w:ascii="仿宋_GB2312" w:hAnsi="Times New Roman" w:eastAsia="仿宋_GB2312" w:cs="Times New Roman"/>
          <w:sz w:val="28"/>
          <w:szCs w:val="28"/>
        </w:rPr>
        <w:t>年度使用财政拨款安排的基本支出中的日常公用经费支出，合计</w:t>
      </w:r>
      <w:r>
        <w:rPr>
          <w:rFonts w:hint="eastAsia" w:ascii="仿宋_GB2312" w:hAnsi="Times New Roman" w:eastAsia="仿宋_GB2312" w:cs="Times New Roman"/>
          <w:sz w:val="28"/>
          <w:szCs w:val="28"/>
          <w:lang w:val="en-US" w:eastAsia="zh-CN"/>
        </w:rPr>
        <w:t>116.54</w:t>
      </w:r>
      <w:r>
        <w:rPr>
          <w:rFonts w:hint="eastAsia" w:ascii="仿宋_GB2312" w:hAnsi="Times New Roman" w:eastAsia="仿宋_GB2312" w:cs="Times New Roman"/>
          <w:sz w:val="28"/>
          <w:szCs w:val="28"/>
        </w:rPr>
        <w:t>万元，比上年减少</w:t>
      </w:r>
      <w:r>
        <w:rPr>
          <w:rFonts w:hint="eastAsia" w:ascii="仿宋_GB2312" w:hAnsi="Times New Roman" w:eastAsia="仿宋_GB2312" w:cs="Times New Roman"/>
          <w:sz w:val="28"/>
          <w:szCs w:val="28"/>
          <w:lang w:val="en-US" w:eastAsia="zh-CN"/>
        </w:rPr>
        <w:t>15.43</w:t>
      </w:r>
      <w:r>
        <w:rPr>
          <w:rFonts w:hint="eastAsia" w:ascii="仿宋_GB2312" w:hAnsi="Times New Roman" w:eastAsia="仿宋_GB2312" w:cs="Times New Roman"/>
          <w:sz w:val="28"/>
          <w:szCs w:val="28"/>
        </w:rPr>
        <w:t>万元，减</w:t>
      </w:r>
      <w:r>
        <w:rPr>
          <w:rFonts w:hint="eastAsia" w:ascii="仿宋_GB2312" w:hAnsi="Times New Roman" w:eastAsia="仿宋_GB2312" w:cs="Times New Roman"/>
          <w:sz w:val="28"/>
          <w:szCs w:val="28"/>
          <w:lang w:eastAsia="zh-CN"/>
        </w:rPr>
        <w:t>少</w:t>
      </w:r>
      <w:r>
        <w:rPr>
          <w:rFonts w:hint="eastAsia" w:ascii="仿宋_GB2312" w:hAnsi="Times New Roman" w:eastAsia="仿宋_GB2312" w:cs="Times New Roman"/>
          <w:sz w:val="28"/>
          <w:szCs w:val="28"/>
        </w:rPr>
        <w:t>原因：</w:t>
      </w:r>
      <w:r>
        <w:rPr>
          <w:rFonts w:hint="eastAsia" w:ascii="仿宋_GB2312" w:hAnsi="Times New Roman" w:eastAsia="仿宋_GB2312" w:cs="Times New Roman"/>
          <w:sz w:val="28"/>
          <w:szCs w:val="28"/>
          <w:lang w:eastAsia="zh-CN"/>
        </w:rPr>
        <w:t>节约开支</w:t>
      </w:r>
      <w:r>
        <w:rPr>
          <w:rFonts w:hint="eastAsia" w:ascii="仿宋_GB2312" w:hAnsi="Times New Roman" w:eastAsia="仿宋_GB2312" w:cs="Times New Roman"/>
          <w:sz w:val="28"/>
          <w:szCs w:val="28"/>
        </w:rPr>
        <w:t>。</w:t>
      </w:r>
    </w:p>
    <w:p>
      <w:pPr>
        <w:ind w:left="540"/>
        <w:rPr>
          <w:rFonts w:hint="eastAsia" w:ascii="黑体" w:eastAsia="黑体"/>
          <w:sz w:val="28"/>
          <w:szCs w:val="28"/>
        </w:rPr>
      </w:pPr>
      <w:r>
        <w:rPr>
          <w:rFonts w:hint="eastAsia" w:ascii="黑体" w:eastAsia="黑体"/>
          <w:sz w:val="28"/>
          <w:szCs w:val="28"/>
        </w:rPr>
        <w:t>三、政府采购支出情况</w:t>
      </w:r>
    </w:p>
    <w:p>
      <w:pPr>
        <w:ind w:firstLine="537" w:firstLineChars="192"/>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年度政府采购支出总额</w:t>
      </w:r>
      <w:r>
        <w:rPr>
          <w:rFonts w:ascii="仿宋_GB2312" w:eastAsia="仿宋_GB2312"/>
          <w:sz w:val="28"/>
          <w:szCs w:val="28"/>
        </w:rPr>
        <w:t>528.57</w:t>
      </w:r>
      <w:r>
        <w:rPr>
          <w:rFonts w:hint="eastAsia" w:ascii="仿宋_GB2312" w:eastAsia="仿宋_GB2312"/>
          <w:sz w:val="28"/>
          <w:szCs w:val="28"/>
        </w:rPr>
        <w:t>万元，其中：政府采购货物支出</w:t>
      </w:r>
      <w:r>
        <w:rPr>
          <w:rFonts w:ascii="仿宋_GB2312" w:eastAsia="仿宋_GB2312"/>
          <w:sz w:val="28"/>
          <w:szCs w:val="28"/>
        </w:rPr>
        <w:t>0</w:t>
      </w:r>
      <w:r>
        <w:rPr>
          <w:rFonts w:hint="eastAsia" w:ascii="仿宋_GB2312" w:eastAsia="仿宋_GB2312"/>
          <w:sz w:val="28"/>
          <w:szCs w:val="28"/>
        </w:rPr>
        <w:t>万元，政府采购工程支出</w:t>
      </w:r>
      <w:r>
        <w:rPr>
          <w:rFonts w:ascii="仿宋_GB2312" w:eastAsia="仿宋_GB2312"/>
          <w:sz w:val="28"/>
          <w:szCs w:val="28"/>
        </w:rPr>
        <w:t>520.21</w:t>
      </w:r>
      <w:r>
        <w:rPr>
          <w:rFonts w:hint="eastAsia" w:ascii="仿宋_GB2312" w:eastAsia="仿宋_GB2312"/>
          <w:sz w:val="28"/>
          <w:szCs w:val="28"/>
        </w:rPr>
        <w:t>万元，政府采购服务支出</w:t>
      </w:r>
      <w:r>
        <w:rPr>
          <w:rFonts w:ascii="仿宋_GB2312" w:eastAsia="仿宋_GB2312"/>
          <w:sz w:val="28"/>
          <w:szCs w:val="28"/>
        </w:rPr>
        <w:t>8.36</w:t>
      </w:r>
      <w:r>
        <w:rPr>
          <w:rFonts w:hint="eastAsia" w:ascii="仿宋_GB2312" w:eastAsia="仿宋_GB2312"/>
          <w:sz w:val="28"/>
          <w:szCs w:val="28"/>
        </w:rPr>
        <w:t>万元。授予中小企业合同金额</w:t>
      </w:r>
      <w:r>
        <w:rPr>
          <w:rFonts w:ascii="仿宋_GB2312" w:eastAsia="仿宋_GB2312"/>
          <w:sz w:val="28"/>
          <w:szCs w:val="28"/>
          <w:highlight w:val="none"/>
        </w:rPr>
        <w:t>0</w:t>
      </w:r>
      <w:r>
        <w:rPr>
          <w:rFonts w:hint="eastAsia" w:ascii="仿宋_GB2312" w:eastAsia="仿宋_GB2312"/>
          <w:sz w:val="28"/>
          <w:szCs w:val="28"/>
        </w:rPr>
        <w:t>万元，占政府采购支出总额的</w:t>
      </w:r>
      <w:r>
        <w:rPr>
          <w:rFonts w:ascii="仿宋_GB2312" w:eastAsia="仿宋_GB2312"/>
          <w:sz w:val="28"/>
          <w:szCs w:val="28"/>
          <w:highlight w:val="none"/>
        </w:rPr>
        <w:t>0</w:t>
      </w:r>
      <w:r>
        <w:rPr>
          <w:rFonts w:hint="eastAsia" w:ascii="仿宋_GB2312" w:eastAsia="仿宋_GB2312"/>
          <w:sz w:val="28"/>
          <w:szCs w:val="28"/>
        </w:rPr>
        <w:t>%，其中：授予小微企业合同金额</w:t>
      </w:r>
      <w:r>
        <w:rPr>
          <w:rFonts w:ascii="仿宋_GB2312" w:eastAsia="仿宋_GB2312"/>
          <w:sz w:val="28"/>
          <w:szCs w:val="28"/>
          <w:highlight w:val="none"/>
        </w:rPr>
        <w:t>0</w:t>
      </w:r>
      <w:r>
        <w:rPr>
          <w:rFonts w:hint="eastAsia" w:ascii="仿宋_GB2312" w:eastAsia="仿宋_GB2312"/>
          <w:sz w:val="28"/>
          <w:szCs w:val="28"/>
        </w:rPr>
        <w:t>万元，占政府采购支出总额的</w:t>
      </w:r>
      <w:r>
        <w:rPr>
          <w:rFonts w:ascii="仿宋_GB2312" w:eastAsia="仿宋_GB2312"/>
          <w:sz w:val="28"/>
          <w:szCs w:val="28"/>
          <w:highlight w:val="none"/>
        </w:rPr>
        <w:t>0</w:t>
      </w:r>
      <w:r>
        <w:rPr>
          <w:rFonts w:hint="eastAsia" w:ascii="仿宋_GB2312" w:eastAsia="仿宋_GB2312"/>
          <w:sz w:val="28"/>
          <w:szCs w:val="28"/>
          <w:highlight w:val="none"/>
        </w:rPr>
        <w:t>%</w:t>
      </w:r>
      <w:r>
        <w:rPr>
          <w:rFonts w:hint="eastAsia" w:ascii="仿宋_GB2312" w:eastAsia="仿宋_GB2312"/>
          <w:sz w:val="28"/>
          <w:szCs w:val="28"/>
        </w:rPr>
        <w:t>。</w:t>
      </w:r>
    </w:p>
    <w:p>
      <w:pPr>
        <w:ind w:firstLine="560" w:firstLineChars="200"/>
        <w:rPr>
          <w:rFonts w:hint="eastAsia" w:ascii="黑体" w:eastAsia="黑体"/>
          <w:sz w:val="28"/>
          <w:szCs w:val="28"/>
          <w:highlight w:val="yellow"/>
        </w:rPr>
      </w:pPr>
      <w:r>
        <w:rPr>
          <w:rFonts w:hint="eastAsia" w:ascii="黑体" w:eastAsia="黑体"/>
          <w:sz w:val="28"/>
          <w:szCs w:val="28"/>
          <w:highlight w:val="none"/>
        </w:rPr>
        <w:t>四、国有资产占用情况</w:t>
      </w:r>
    </w:p>
    <w:p>
      <w:pPr>
        <w:ind w:firstLine="560" w:firstLineChars="200"/>
        <w:rPr>
          <w:rFonts w:ascii="仿宋_GB2312" w:eastAsia="仿宋_GB2312"/>
          <w:sz w:val="32"/>
          <w:szCs w:val="32"/>
        </w:rPr>
      </w:pPr>
      <w:r>
        <w:rPr>
          <w:rFonts w:hint="eastAsia" w:ascii="仿宋_GB2312" w:eastAsia="仿宋_GB2312"/>
          <w:sz w:val="28"/>
          <w:szCs w:val="28"/>
          <w:lang w:val="en-US" w:eastAsia="zh-CN"/>
        </w:rPr>
        <w:t>2023年度新购置车辆0</w:t>
      </w:r>
      <w:r>
        <w:rPr>
          <w:rFonts w:hint="eastAsia" w:ascii="仿宋_GB2312" w:eastAsia="仿宋_GB2312"/>
          <w:sz w:val="28"/>
          <w:szCs w:val="28"/>
        </w:rPr>
        <w:t>台，</w:t>
      </w:r>
      <w:r>
        <w:rPr>
          <w:rFonts w:hint="eastAsia" w:ascii="仿宋_GB2312" w:eastAsia="仿宋_GB2312"/>
          <w:sz w:val="28"/>
          <w:szCs w:val="28"/>
          <w:lang w:eastAsia="zh-CN"/>
        </w:rPr>
        <w:t>共计</w:t>
      </w:r>
      <w:r>
        <w:rPr>
          <w:rFonts w:hint="eastAsia" w:ascii="仿宋_GB2312" w:eastAsia="仿宋_GB2312"/>
          <w:sz w:val="28"/>
          <w:szCs w:val="28"/>
          <w:lang w:val="en-US" w:eastAsia="zh-CN"/>
        </w:rPr>
        <w:t>0</w:t>
      </w:r>
      <w:r>
        <w:rPr>
          <w:rFonts w:hint="eastAsia" w:ascii="仿宋_GB2312" w:eastAsia="仿宋_GB2312"/>
          <w:sz w:val="28"/>
          <w:szCs w:val="28"/>
        </w:rPr>
        <w:t>万元</w:t>
      </w:r>
      <w:r>
        <w:rPr>
          <w:rFonts w:hint="eastAsia" w:ascii="仿宋_GB2312" w:eastAsia="仿宋_GB2312"/>
          <w:sz w:val="28"/>
          <w:szCs w:val="28"/>
          <w:lang w:eastAsia="zh-CN"/>
        </w:rPr>
        <w:t>；新购置</w:t>
      </w:r>
      <w:r>
        <w:rPr>
          <w:rFonts w:hint="eastAsia" w:ascii="仿宋_GB2312" w:eastAsia="仿宋_GB2312"/>
          <w:sz w:val="28"/>
          <w:szCs w:val="28"/>
        </w:rPr>
        <w:t>单位价值100万元</w:t>
      </w:r>
      <w:r>
        <w:rPr>
          <w:rFonts w:hint="eastAsia" w:ascii="仿宋_GB2312" w:eastAsia="仿宋_GB2312"/>
          <w:sz w:val="28"/>
          <w:szCs w:val="28"/>
          <w:lang w:eastAsia="zh-CN"/>
        </w:rPr>
        <w:t>（含）</w:t>
      </w:r>
      <w:r>
        <w:rPr>
          <w:rFonts w:hint="eastAsia" w:ascii="仿宋_GB2312" w:eastAsia="仿宋_GB2312"/>
          <w:sz w:val="28"/>
          <w:szCs w:val="28"/>
        </w:rPr>
        <w:t>以上的设备</w:t>
      </w:r>
      <w:r>
        <w:rPr>
          <w:rFonts w:hint="eastAsia" w:ascii="仿宋_GB2312" w:eastAsia="仿宋_GB2312"/>
          <w:sz w:val="28"/>
          <w:szCs w:val="28"/>
          <w:lang w:val="en-US" w:eastAsia="zh-CN"/>
        </w:rPr>
        <w:t>0</w:t>
      </w:r>
      <w:r>
        <w:rPr>
          <w:rFonts w:hint="eastAsia" w:ascii="仿宋_GB2312" w:eastAsia="仿宋_GB2312"/>
          <w:sz w:val="28"/>
          <w:szCs w:val="28"/>
        </w:rPr>
        <w:t>台（套）</w:t>
      </w:r>
      <w:r>
        <w:rPr>
          <w:rFonts w:hint="eastAsia" w:ascii="仿宋_GB2312" w:eastAsia="仿宋_GB2312"/>
          <w:sz w:val="28"/>
          <w:szCs w:val="28"/>
          <w:lang w:eastAsia="zh-CN"/>
        </w:rPr>
        <w:t>，共计</w:t>
      </w:r>
      <w:r>
        <w:rPr>
          <w:rFonts w:hint="eastAsia" w:ascii="仿宋_GB2312" w:eastAsia="仿宋_GB2312"/>
          <w:sz w:val="28"/>
          <w:szCs w:val="28"/>
          <w:lang w:val="en-US" w:eastAsia="zh-CN"/>
        </w:rPr>
        <w:t>0</w:t>
      </w:r>
      <w:r>
        <w:rPr>
          <w:rFonts w:hint="eastAsia" w:ascii="仿宋_GB2312" w:eastAsia="仿宋_GB2312"/>
          <w:sz w:val="28"/>
          <w:szCs w:val="28"/>
        </w:rPr>
        <w:t>万元。</w:t>
      </w:r>
      <w:r>
        <w:rPr>
          <w:rFonts w:hint="eastAsia" w:ascii="仿宋_GB2312" w:eastAsia="仿宋_GB2312"/>
          <w:sz w:val="28"/>
          <w:szCs w:val="28"/>
          <w:lang w:eastAsia="zh-CN"/>
        </w:rPr>
        <w:t>截至</w:t>
      </w:r>
      <w:r>
        <w:rPr>
          <w:rFonts w:hint="eastAsia" w:ascii="仿宋_GB2312" w:eastAsia="仿宋_GB2312"/>
          <w:sz w:val="28"/>
          <w:szCs w:val="28"/>
          <w:lang w:val="en-US" w:eastAsia="zh-CN"/>
        </w:rPr>
        <w:t>12月31日，</w:t>
      </w:r>
      <w:r>
        <w:rPr>
          <w:rFonts w:hint="eastAsia" w:ascii="仿宋_GB2312" w:eastAsia="仿宋_GB2312"/>
          <w:sz w:val="28"/>
          <w:szCs w:val="28"/>
          <w:lang w:eastAsia="zh-CN"/>
        </w:rPr>
        <w:t>我部门共有</w:t>
      </w:r>
      <w:r>
        <w:rPr>
          <w:rFonts w:hint="eastAsia" w:ascii="仿宋_GB2312" w:eastAsia="仿宋_GB2312"/>
          <w:sz w:val="28"/>
          <w:szCs w:val="28"/>
        </w:rPr>
        <w:t>车辆</w:t>
      </w:r>
      <w:r>
        <w:rPr>
          <w:rFonts w:hint="eastAsia" w:ascii="仿宋_GB2312" w:eastAsia="仿宋_GB2312"/>
          <w:sz w:val="28"/>
          <w:szCs w:val="28"/>
          <w:lang w:val="en-US" w:eastAsia="zh-CN"/>
        </w:rPr>
        <w:t>228</w:t>
      </w:r>
      <w:r>
        <w:rPr>
          <w:rFonts w:hint="eastAsia" w:ascii="仿宋_GB2312" w:eastAsia="仿宋_GB2312"/>
          <w:sz w:val="28"/>
          <w:szCs w:val="28"/>
        </w:rPr>
        <w:t>台，</w:t>
      </w:r>
      <w:r>
        <w:rPr>
          <w:rFonts w:hint="eastAsia" w:ascii="仿宋_GB2312" w:eastAsia="仿宋_GB2312"/>
          <w:sz w:val="28"/>
          <w:szCs w:val="28"/>
          <w:lang w:eastAsia="zh-CN"/>
        </w:rPr>
        <w:t>共计</w:t>
      </w:r>
      <w:r>
        <w:rPr>
          <w:rFonts w:hint="eastAsia" w:ascii="仿宋_GB2312" w:eastAsia="仿宋_GB2312"/>
          <w:sz w:val="28"/>
          <w:szCs w:val="28"/>
          <w:lang w:val="en-US" w:eastAsia="zh-CN"/>
        </w:rPr>
        <w:t>12035.07</w:t>
      </w:r>
      <w:r>
        <w:rPr>
          <w:rFonts w:hint="eastAsia" w:ascii="仿宋_GB2312" w:eastAsia="仿宋_GB2312"/>
          <w:sz w:val="28"/>
          <w:szCs w:val="28"/>
        </w:rPr>
        <w:t>万元；单位价值100万元</w:t>
      </w:r>
      <w:r>
        <w:rPr>
          <w:rFonts w:hint="eastAsia" w:ascii="仿宋_GB2312" w:eastAsia="仿宋_GB2312"/>
          <w:sz w:val="28"/>
          <w:szCs w:val="28"/>
          <w:lang w:eastAsia="zh-CN"/>
        </w:rPr>
        <w:t>（含）</w:t>
      </w:r>
      <w:r>
        <w:rPr>
          <w:rFonts w:hint="eastAsia" w:ascii="仿宋_GB2312" w:eastAsia="仿宋_GB2312"/>
          <w:sz w:val="28"/>
          <w:szCs w:val="28"/>
        </w:rPr>
        <w:t>以上的设备</w:t>
      </w:r>
      <w:r>
        <w:rPr>
          <w:rFonts w:hint="eastAsia" w:ascii="仿宋_GB2312" w:eastAsia="仿宋_GB2312"/>
          <w:sz w:val="28"/>
          <w:szCs w:val="28"/>
          <w:lang w:val="en-US" w:eastAsia="zh-CN"/>
        </w:rPr>
        <w:t>0</w:t>
      </w:r>
      <w:r>
        <w:rPr>
          <w:rFonts w:hint="eastAsia" w:ascii="仿宋_GB2312" w:eastAsia="仿宋_GB2312"/>
          <w:sz w:val="28"/>
          <w:szCs w:val="28"/>
        </w:rPr>
        <w:t>台（套）</w:t>
      </w:r>
      <w:r>
        <w:rPr>
          <w:rFonts w:hint="eastAsia" w:ascii="仿宋_GB2312" w:eastAsia="仿宋_GB2312"/>
          <w:sz w:val="28"/>
          <w:szCs w:val="28"/>
          <w:lang w:eastAsia="zh-CN"/>
        </w:rPr>
        <w:t>，共计</w:t>
      </w:r>
      <w:r>
        <w:rPr>
          <w:rFonts w:hint="eastAsia" w:ascii="仿宋_GB2312" w:eastAsia="仿宋_GB2312"/>
          <w:sz w:val="28"/>
          <w:szCs w:val="28"/>
          <w:lang w:val="en-US" w:eastAsia="zh-CN"/>
        </w:rPr>
        <w:t>0</w:t>
      </w:r>
      <w:r>
        <w:rPr>
          <w:rFonts w:hint="eastAsia" w:ascii="仿宋_GB2312" w:eastAsia="仿宋_GB2312"/>
          <w:sz w:val="28"/>
          <w:szCs w:val="28"/>
        </w:rPr>
        <w:t>万元。</w:t>
      </w:r>
    </w:p>
    <w:p>
      <w:pPr>
        <w:ind w:firstLine="537" w:firstLineChars="192"/>
        <w:rPr>
          <w:rFonts w:ascii="黑体" w:eastAsia="黑体"/>
          <w:sz w:val="28"/>
          <w:szCs w:val="28"/>
        </w:rPr>
      </w:pPr>
      <w:r>
        <w:rPr>
          <w:rFonts w:hint="eastAsia" w:ascii="黑体" w:eastAsia="黑体"/>
          <w:sz w:val="28"/>
          <w:szCs w:val="28"/>
        </w:rPr>
        <w:t>五</w:t>
      </w:r>
      <w:r>
        <w:rPr>
          <w:rFonts w:ascii="黑体" w:eastAsia="黑体"/>
          <w:sz w:val="28"/>
          <w:szCs w:val="28"/>
        </w:rPr>
        <w:t>、政府购买服务</w:t>
      </w:r>
      <w:r>
        <w:rPr>
          <w:rFonts w:hint="eastAsia" w:ascii="黑体" w:eastAsia="黑体"/>
          <w:sz w:val="28"/>
          <w:szCs w:val="28"/>
        </w:rPr>
        <w:t>支出</w:t>
      </w:r>
      <w:r>
        <w:rPr>
          <w:rFonts w:ascii="黑体" w:eastAsia="黑体"/>
          <w:sz w:val="28"/>
          <w:szCs w:val="28"/>
        </w:rPr>
        <w:t>说明</w:t>
      </w:r>
    </w:p>
    <w:p>
      <w:pPr>
        <w:ind w:firstLine="537" w:firstLineChars="192"/>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w:t>
      </w:r>
      <w:r>
        <w:rPr>
          <w:rFonts w:ascii="仿宋_GB2312" w:eastAsia="仿宋_GB2312"/>
          <w:sz w:val="28"/>
          <w:szCs w:val="28"/>
        </w:rPr>
        <w:t>政府购买服务决算</w:t>
      </w:r>
      <w:r>
        <w:rPr>
          <w:rFonts w:ascii="仿宋_GB2312" w:eastAsia="仿宋_GB2312"/>
          <w:sz w:val="28"/>
          <w:szCs w:val="28"/>
          <w:highlight w:val="none"/>
        </w:rPr>
        <w:t>0</w:t>
      </w:r>
      <w:r>
        <w:rPr>
          <w:rFonts w:hint="eastAsia" w:ascii="仿宋_GB2312" w:eastAsia="仿宋_GB2312"/>
          <w:sz w:val="28"/>
          <w:szCs w:val="28"/>
        </w:rPr>
        <w:t>万元。</w:t>
      </w:r>
    </w:p>
    <w:p>
      <w:pPr>
        <w:ind w:firstLine="560" w:firstLineChars="200"/>
        <w:jc w:val="left"/>
        <w:rPr>
          <w:rFonts w:hint="eastAsia" w:ascii="仿宋_GB2312" w:eastAsia="仿宋_GB2312"/>
          <w:color w:val="000000"/>
          <w:sz w:val="32"/>
          <w:szCs w:val="32"/>
        </w:rPr>
      </w:pPr>
      <w:r>
        <w:rPr>
          <w:rFonts w:hint="eastAsia" w:ascii="黑体" w:eastAsia="黑体"/>
          <w:sz w:val="28"/>
          <w:szCs w:val="28"/>
        </w:rPr>
        <w:t>六、</w:t>
      </w:r>
      <w:r>
        <w:rPr>
          <w:rFonts w:ascii="黑体" w:eastAsia="黑体"/>
          <w:sz w:val="28"/>
          <w:szCs w:val="28"/>
        </w:rPr>
        <w:t>专业名词解释</w:t>
      </w:r>
    </w:p>
    <w:p>
      <w:pPr>
        <w:ind w:firstLine="560" w:firstLineChars="200"/>
        <w:rPr>
          <w:rFonts w:hint="eastAsia" w:ascii="仿宋_GB2312" w:eastAsia="仿宋_GB2312"/>
          <w:sz w:val="28"/>
          <w:szCs w:val="28"/>
        </w:rPr>
      </w:pPr>
      <w:r>
        <w:rPr>
          <w:rFonts w:hint="eastAsia" w:ascii="仿宋_GB2312" w:eastAsia="仿宋_GB2312"/>
          <w:sz w:val="28"/>
          <w:szCs w:val="28"/>
        </w:rPr>
        <w:t>1.基本支出：指为保障机构正常运转、完成日常工作任务而发生的人员支出和公用支出。</w:t>
      </w:r>
    </w:p>
    <w:p>
      <w:pPr>
        <w:ind w:firstLine="560" w:firstLineChars="200"/>
        <w:rPr>
          <w:rFonts w:hint="eastAsia" w:ascii="仿宋_GB2312" w:eastAsia="仿宋_GB2312"/>
          <w:sz w:val="28"/>
          <w:szCs w:val="28"/>
        </w:rPr>
      </w:pPr>
      <w:r>
        <w:rPr>
          <w:rFonts w:hint="eastAsia" w:ascii="仿宋_GB2312" w:eastAsia="仿宋_GB2312"/>
          <w:sz w:val="28"/>
          <w:szCs w:val="28"/>
        </w:rPr>
        <w:t>2.项目支出：指在基本支出之外为完成特定行政任务或事业发展目标所发生的支出。</w:t>
      </w:r>
    </w:p>
    <w:p>
      <w:pPr>
        <w:ind w:firstLine="560" w:firstLineChars="200"/>
        <w:rPr>
          <w:rFonts w:hint="eastAsia" w:ascii="仿宋_GB2312" w:hAnsi="宋体" w:eastAsia="仿宋_GB2312"/>
          <w:sz w:val="28"/>
          <w:szCs w:val="28"/>
        </w:rPr>
      </w:pPr>
      <w:r>
        <w:rPr>
          <w:rFonts w:hint="eastAsia" w:ascii="仿宋_GB2312" w:eastAsia="仿宋_GB2312"/>
          <w:sz w:val="28"/>
          <w:szCs w:val="28"/>
        </w:rPr>
        <w:t>3.“三公”经费：</w:t>
      </w:r>
      <w:r>
        <w:rPr>
          <w:rFonts w:hint="eastAsia" w:ascii="仿宋_GB2312" w:hAnsi="宋体" w:eastAsia="仿宋_GB2312"/>
          <w:sz w:val="28"/>
          <w:szCs w:val="28"/>
        </w:rPr>
        <w:t>是指单位通过财政拨款资金安排的因公出国（境）费、公务用车购置及运行费和公务接待费。其中，因公出国（境）费指单位公务出国（境）的国际旅费、国外城市间交通费、住宿费、伙食费、培训费、公杂费等支出；公务用车购置及运行费指单位公务用车购置支出（含车辆购置税、牌照费）及单位按规定保留的公务用车燃料费、维修费、过路过桥费、保险费、安全奖励费等支出；公务接待费指单位按规定开支的各类公务接待（含外宾接待）支出。</w:t>
      </w:r>
    </w:p>
    <w:p>
      <w:pPr>
        <w:ind w:firstLine="560" w:firstLineChars="200"/>
        <w:rPr>
          <w:rFonts w:hint="eastAsia" w:ascii="仿宋_GB2312" w:hAnsi="宋体" w:eastAsia="仿宋_GB2312"/>
          <w:sz w:val="28"/>
          <w:szCs w:val="28"/>
        </w:rPr>
      </w:pPr>
      <w:r>
        <w:rPr>
          <w:rFonts w:hint="eastAsia" w:ascii="仿宋_GB2312" w:eastAsia="仿宋_GB2312"/>
          <w:sz w:val="28"/>
          <w:szCs w:val="28"/>
        </w:rPr>
        <w:t>4</w:t>
      </w:r>
      <w:r>
        <w:rPr>
          <w:rFonts w:ascii="仿宋_GB2312" w:eastAsia="仿宋_GB2312"/>
          <w:sz w:val="28"/>
          <w:szCs w:val="28"/>
        </w:rPr>
        <w:t>.</w:t>
      </w:r>
      <w:r>
        <w:rPr>
          <w:rFonts w:hint="eastAsia" w:ascii="仿宋_GB2312" w:eastAsia="仿宋_GB2312"/>
          <w:sz w:val="28"/>
          <w:szCs w:val="28"/>
        </w:rPr>
        <w:t>机关运行经费：</w:t>
      </w:r>
      <w:r>
        <w:rPr>
          <w:rFonts w:hint="eastAsia" w:ascii="仿宋_GB2312" w:hAnsi="宋体" w:eastAsia="仿宋_GB2312"/>
          <w:sz w:val="28"/>
          <w:szCs w:val="28"/>
        </w:rPr>
        <w:t>指为</w:t>
      </w:r>
      <w:r>
        <w:rPr>
          <w:rFonts w:ascii="仿宋_GB2312" w:hAnsi="宋体" w:eastAsia="仿宋_GB2312"/>
          <w:sz w:val="28"/>
          <w:szCs w:val="28"/>
        </w:rPr>
        <w:t>保障</w:t>
      </w:r>
      <w:r>
        <w:rPr>
          <w:rFonts w:hint="eastAsia" w:ascii="仿宋_GB2312" w:hAnsi="宋体" w:eastAsia="仿宋_GB2312"/>
          <w:sz w:val="28"/>
          <w:szCs w:val="28"/>
        </w:rPr>
        <w:t>行政单位（含参照公务员法管理事业单位）运行用于</w:t>
      </w:r>
      <w:r>
        <w:rPr>
          <w:rFonts w:ascii="仿宋_GB2312" w:hAnsi="宋体" w:eastAsia="仿宋_GB2312"/>
          <w:sz w:val="28"/>
          <w:szCs w:val="28"/>
        </w:rPr>
        <w:t>购买货物和服务的各项资金</w:t>
      </w:r>
      <w:r>
        <w:rPr>
          <w:rFonts w:hint="eastAsia" w:ascii="仿宋_GB2312" w:hAnsi="宋体" w:eastAsia="仿宋_GB2312"/>
          <w:sz w:val="28"/>
          <w:szCs w:val="28"/>
        </w:rPr>
        <w:t>，包括办公及印刷费、邮电费、差旅费、会议费、福利费、日常维修费、专用材料及一般设备购置费、办公用房水电费、办公用房取暖费、办公用房物业管理费、公务用车运行维护费以及其他费用。</w:t>
      </w:r>
    </w:p>
    <w:p>
      <w:pPr>
        <w:ind w:firstLine="420" w:firstLineChars="150"/>
        <w:rPr>
          <w:rFonts w:hint="eastAsia" w:ascii="仿宋_GB2312" w:eastAsia="仿宋_GB2312"/>
          <w:sz w:val="28"/>
          <w:szCs w:val="28"/>
        </w:rPr>
      </w:pPr>
      <w:r>
        <w:rPr>
          <w:rFonts w:hint="eastAsia" w:ascii="仿宋_GB2312" w:eastAsia="仿宋_GB2312"/>
          <w:sz w:val="28"/>
          <w:szCs w:val="28"/>
        </w:rPr>
        <w:t>5</w:t>
      </w:r>
      <w:r>
        <w:rPr>
          <w:rFonts w:ascii="仿宋_GB2312" w:eastAsia="仿宋_GB2312"/>
          <w:sz w:val="28"/>
          <w:szCs w:val="28"/>
        </w:rPr>
        <w:t>.</w:t>
      </w:r>
      <w:r>
        <w:rPr>
          <w:rFonts w:hint="eastAsia" w:ascii="仿宋_GB2312" w:eastAsia="仿宋_GB2312"/>
          <w:sz w:val="28"/>
          <w:szCs w:val="28"/>
        </w:rPr>
        <w:t>政府采购</w:t>
      </w:r>
      <w:r>
        <w:rPr>
          <w:rFonts w:ascii="仿宋_GB2312" w:eastAsia="仿宋_GB2312"/>
          <w:sz w:val="28"/>
          <w:szCs w:val="28"/>
        </w:rPr>
        <w:t>：</w:t>
      </w:r>
      <w:r>
        <w:rPr>
          <w:rFonts w:hint="eastAsia" w:ascii="仿宋_GB2312" w:eastAsia="仿宋_GB2312"/>
          <w:sz w:val="28"/>
          <w:szCs w:val="28"/>
        </w:rPr>
        <w:t>指</w:t>
      </w:r>
      <w:r>
        <w:rPr>
          <w:rFonts w:ascii="仿宋_GB2312" w:eastAsia="仿宋_GB2312"/>
          <w:sz w:val="28"/>
          <w:szCs w:val="28"/>
        </w:rPr>
        <w:t>各级国家机关、事业单位和团体组织，使用</w:t>
      </w:r>
      <w:r>
        <w:rPr>
          <w:rFonts w:hint="eastAsia" w:ascii="仿宋_GB2312" w:eastAsia="仿宋_GB2312"/>
          <w:sz w:val="28"/>
          <w:szCs w:val="28"/>
        </w:rPr>
        <w:t>财政性</w:t>
      </w:r>
      <w:r>
        <w:rPr>
          <w:rFonts w:ascii="仿宋_GB2312" w:eastAsia="仿宋_GB2312"/>
          <w:sz w:val="28"/>
          <w:szCs w:val="28"/>
        </w:rPr>
        <w:t>资金采购依法制定的集中目录以内的或者采购限额标准以上的货物、工程和服务的行为</w:t>
      </w:r>
      <w:r>
        <w:rPr>
          <w:rFonts w:hint="eastAsia" w:ascii="仿宋_GB2312" w:eastAsia="仿宋_GB2312"/>
          <w:sz w:val="28"/>
          <w:szCs w:val="28"/>
        </w:rPr>
        <w:t>，</w:t>
      </w:r>
      <w:r>
        <w:rPr>
          <w:rFonts w:ascii="仿宋_GB2312" w:eastAsia="仿宋_GB2312"/>
          <w:sz w:val="28"/>
          <w:szCs w:val="28"/>
        </w:rPr>
        <w:t>是规范财政支出管理和强化预算约束的有效措施。</w:t>
      </w:r>
    </w:p>
    <w:p>
      <w:pPr>
        <w:ind w:firstLine="420" w:firstLineChars="150"/>
        <w:rPr>
          <w:rFonts w:hint="eastAsia" w:ascii="仿宋_GB2312" w:eastAsia="仿宋_GB2312"/>
          <w:sz w:val="28"/>
          <w:szCs w:val="28"/>
        </w:rPr>
      </w:pPr>
      <w:r>
        <w:rPr>
          <w:rFonts w:hint="eastAsia" w:ascii="仿宋_GB2312" w:eastAsia="仿宋_GB2312"/>
          <w:sz w:val="28"/>
          <w:szCs w:val="28"/>
        </w:rPr>
        <w:t>6</w:t>
      </w:r>
      <w:r>
        <w:rPr>
          <w:rFonts w:ascii="仿宋_GB2312" w:eastAsia="仿宋_GB2312"/>
          <w:sz w:val="28"/>
          <w:szCs w:val="28"/>
        </w:rPr>
        <w:t>.政府购买服务：</w:t>
      </w:r>
      <w:r>
        <w:rPr>
          <w:rFonts w:hint="eastAsia" w:ascii="仿宋_GB2312" w:eastAsia="仿宋_GB2312"/>
          <w:sz w:val="28"/>
          <w:szCs w:val="28"/>
        </w:rPr>
        <w:t>是指各级国家机关将属于自身职责范围且适合通过市场化方式提供的服务事项，按照政府采购方式和程序，交由符合条件的服务供应商承担，并根据服务数量和质量等因素向其支付费用的行为。</w:t>
      </w:r>
    </w:p>
    <w:p>
      <w:pPr>
        <w:ind w:firstLine="420" w:firstLineChars="150"/>
        <w:rPr>
          <w:rFonts w:hint="eastAsia" w:ascii="仿宋_GB2312" w:eastAsia="仿宋_GB2312"/>
          <w:sz w:val="28"/>
          <w:szCs w:val="28"/>
          <w:lang w:eastAsia="zh-CN"/>
        </w:rPr>
      </w:pPr>
      <w:r>
        <w:rPr>
          <w:rFonts w:hint="eastAsia" w:ascii="仿宋_GB2312" w:eastAsia="仿宋_GB2312"/>
          <w:sz w:val="28"/>
          <w:szCs w:val="28"/>
          <w:lang w:val="en-US" w:eastAsia="zh-CN"/>
        </w:rPr>
        <w:t>7.</w:t>
      </w:r>
      <w:r>
        <w:rPr>
          <w:rFonts w:hint="eastAsia" w:ascii="仿宋_GB2312" w:eastAsia="仿宋_GB2312"/>
          <w:sz w:val="28"/>
          <w:szCs w:val="28"/>
        </w:rPr>
        <w:t>各</w:t>
      </w:r>
      <w:r>
        <w:rPr>
          <w:rFonts w:hint="eastAsia" w:ascii="仿宋_GB2312" w:eastAsia="仿宋_GB2312"/>
          <w:sz w:val="28"/>
          <w:szCs w:val="28"/>
          <w:lang w:eastAsia="zh-CN"/>
        </w:rPr>
        <w:t>单位</w:t>
      </w:r>
      <w:r>
        <w:rPr>
          <w:rFonts w:hint="eastAsia" w:ascii="仿宋_GB2312" w:eastAsia="仿宋_GB2312"/>
          <w:sz w:val="28"/>
          <w:szCs w:val="28"/>
        </w:rPr>
        <w:t>需根据自身业务职能，</w:t>
      </w:r>
      <w:r>
        <w:rPr>
          <w:rFonts w:hint="eastAsia" w:ascii="仿宋_GB2312" w:eastAsia="仿宋_GB2312"/>
          <w:sz w:val="28"/>
          <w:szCs w:val="28"/>
          <w:lang w:eastAsia="zh-CN"/>
        </w:rPr>
        <w:t>补充当年</w:t>
      </w:r>
      <w:r>
        <w:rPr>
          <w:rFonts w:hint="eastAsia" w:ascii="仿宋_GB2312" w:eastAsia="仿宋_GB2312"/>
          <w:sz w:val="28"/>
          <w:szCs w:val="28"/>
          <w:lang w:val="en-US" w:eastAsia="zh-CN"/>
        </w:rPr>
        <w:t>使用的所有</w:t>
      </w:r>
      <w:r>
        <w:rPr>
          <w:rFonts w:hint="eastAsia" w:ascii="仿宋_GB2312" w:eastAsia="仿宋_GB2312"/>
          <w:sz w:val="28"/>
          <w:szCs w:val="28"/>
          <w:lang w:eastAsia="zh-CN"/>
        </w:rPr>
        <w:t>支出功能分类项级科目名词解释，例如：</w:t>
      </w:r>
    </w:p>
    <w:p>
      <w:pPr>
        <w:ind w:firstLine="420" w:firstLineChars="150"/>
        <w:rPr>
          <w:rFonts w:hint="eastAsia" w:ascii="仿宋_GB2312" w:eastAsia="仿宋_GB2312"/>
          <w:sz w:val="28"/>
          <w:szCs w:val="28"/>
          <w:lang w:val="en-US" w:eastAsia="zh-CN"/>
        </w:rPr>
      </w:pPr>
      <w:r>
        <w:rPr>
          <w:rFonts w:hint="eastAsia" w:ascii="仿宋_GB2312" w:eastAsia="仿宋_GB2312"/>
          <w:sz w:val="28"/>
          <w:szCs w:val="28"/>
          <w:lang w:val="en-US" w:eastAsia="zh-CN"/>
        </w:rPr>
        <w:t>一般公共服务支出（类）人大事务（款）行政运行（项）：反映行政单位（包括实行公务员管理的事业单位）的基本支出。</w:t>
      </w:r>
    </w:p>
    <w:p>
      <w:pPr>
        <w:pStyle w:val="2"/>
        <w:ind w:left="0" w:leftChars="0" w:firstLine="0" w:firstLineChars="0"/>
        <w:rPr>
          <w:rFonts w:ascii="黑体" w:eastAsia="黑体"/>
          <w:sz w:val="32"/>
          <w:szCs w:val="32"/>
        </w:rPr>
      </w:pPr>
    </w:p>
    <w:p>
      <w:pPr>
        <w:pStyle w:val="2"/>
        <w:rPr>
          <w:rFonts w:ascii="黑体" w:eastAsia="黑体"/>
          <w:sz w:val="32"/>
          <w:szCs w:val="32"/>
        </w:rPr>
      </w:pPr>
    </w:p>
    <w:p>
      <w:pPr>
        <w:pStyle w:val="2"/>
        <w:rPr>
          <w:rFonts w:ascii="黑体" w:eastAsia="黑体"/>
          <w:sz w:val="32"/>
          <w:szCs w:val="32"/>
        </w:rPr>
      </w:pPr>
    </w:p>
    <w:p>
      <w:pPr>
        <w:ind w:firstLine="640" w:firstLineChars="200"/>
        <w:jc w:val="center"/>
        <w:rPr>
          <w:rFonts w:hint="eastAsia" w:asciiTheme="majorEastAsia" w:hAnsiTheme="majorEastAsia" w:eastAsiaTheme="majorEastAsia" w:cstheme="majorEastAsia"/>
          <w:b/>
          <w:bCs/>
          <w:sz w:val="32"/>
          <w:szCs w:val="32"/>
        </w:rPr>
      </w:pPr>
      <w:r>
        <w:rPr>
          <w:rFonts w:hint="eastAsia" w:asciiTheme="majorEastAsia" w:hAnsiTheme="majorEastAsia" w:eastAsiaTheme="majorEastAsia" w:cstheme="majorEastAsia"/>
          <w:b/>
          <w:bCs/>
          <w:sz w:val="32"/>
          <w:szCs w:val="32"/>
        </w:rPr>
        <w:t>第四部分  202</w:t>
      </w:r>
      <w:r>
        <w:rPr>
          <w:rFonts w:hint="eastAsia" w:asciiTheme="majorEastAsia" w:hAnsiTheme="majorEastAsia" w:eastAsiaTheme="majorEastAsia" w:cstheme="majorEastAsia"/>
          <w:b/>
          <w:bCs/>
          <w:sz w:val="32"/>
          <w:szCs w:val="32"/>
          <w:lang w:val="en-US" w:eastAsia="zh-CN"/>
        </w:rPr>
        <w:t>3</w:t>
      </w:r>
      <w:r>
        <w:rPr>
          <w:rFonts w:hint="eastAsia" w:asciiTheme="majorEastAsia" w:hAnsiTheme="majorEastAsia" w:eastAsiaTheme="majorEastAsia" w:cstheme="majorEastAsia"/>
          <w:b/>
          <w:bCs/>
          <w:sz w:val="32"/>
          <w:szCs w:val="32"/>
        </w:rPr>
        <w:t>年度部门绩效评价情况</w:t>
      </w:r>
    </w:p>
    <w:p>
      <w:pPr>
        <w:ind w:firstLine="560" w:firstLineChars="200"/>
        <w:rPr>
          <w:rFonts w:hint="eastAsia" w:ascii="黑体" w:eastAsia="黑体"/>
          <w:sz w:val="28"/>
          <w:szCs w:val="28"/>
          <w:highlight w:val="yellow"/>
        </w:rPr>
      </w:pPr>
    </w:p>
    <w:p>
      <w:pPr>
        <w:numPr>
          <w:ilvl w:val="0"/>
          <w:numId w:val="1"/>
        </w:numPr>
        <w:ind w:firstLine="560" w:firstLineChars="200"/>
        <w:rPr>
          <w:rFonts w:hint="eastAsia" w:ascii="黑体" w:eastAsia="黑体"/>
          <w:sz w:val="28"/>
          <w:szCs w:val="28"/>
          <w:lang w:eastAsia="zh-CN"/>
        </w:rPr>
      </w:pPr>
      <w:r>
        <w:rPr>
          <w:rFonts w:hint="eastAsia" w:ascii="黑体" w:eastAsia="黑体"/>
          <w:sz w:val="28"/>
          <w:szCs w:val="28"/>
        </w:rPr>
        <w:t>部门整体绩效评价报告</w:t>
      </w:r>
      <w:r>
        <w:rPr>
          <w:rFonts w:hint="eastAsia" w:ascii="黑体" w:eastAsia="黑体"/>
          <w:sz w:val="28"/>
          <w:szCs w:val="28"/>
          <w:lang w:eastAsia="zh-CN"/>
        </w:rPr>
        <w:t>（详见附件）</w:t>
      </w:r>
    </w:p>
    <w:p>
      <w:pPr>
        <w:pStyle w:val="4"/>
        <w:rPr>
          <w:rFonts w:hint="default"/>
          <w:lang w:val="en-US" w:eastAsia="zh-CN"/>
        </w:rPr>
      </w:pPr>
      <w:r>
        <w:rPr>
          <w:rFonts w:hint="eastAsia" w:ascii="黑体" w:eastAsia="黑体"/>
          <w:sz w:val="28"/>
          <w:szCs w:val="28"/>
          <w:lang w:val="en-US" w:eastAsia="zh-CN"/>
        </w:rPr>
        <w:t xml:space="preserve">   （一）</w:t>
      </w:r>
      <w:r>
        <w:rPr>
          <w:rFonts w:hint="eastAsia" w:ascii="仿宋" w:hAnsi="仿宋" w:eastAsia="仿宋" w:cs="仿宋"/>
          <w:color w:val="000000"/>
          <w:kern w:val="0"/>
          <w:sz w:val="28"/>
          <w:szCs w:val="28"/>
          <w:lang w:val="en-US" w:eastAsia="zh-CN" w:bidi="ar-SA"/>
        </w:rPr>
        <w:t>基本情况</w:t>
      </w:r>
    </w:p>
    <w:p>
      <w:pPr>
        <w:ind w:firstLine="420" w:firstLineChars="200"/>
        <w:rPr>
          <w:rFonts w:hint="eastAsia" w:ascii="仿宋_GB2312" w:hAnsi="宋体" w:eastAsia="仿宋_GB2312"/>
          <w:sz w:val="28"/>
          <w:szCs w:val="28"/>
          <w:lang w:val="zh-TW" w:eastAsia="zh-CN"/>
        </w:rPr>
      </w:pPr>
      <w:r>
        <w:rPr>
          <w:rFonts w:hint="eastAsia"/>
          <w:lang w:val="en-US" w:eastAsia="zh-CN"/>
        </w:rPr>
        <w:t xml:space="preserve"> </w:t>
      </w:r>
      <w:r>
        <w:rPr>
          <w:rFonts w:hint="eastAsia" w:ascii="仿宋_GB2312" w:hAnsi="宋体" w:eastAsia="仿宋_GB2312"/>
          <w:sz w:val="28"/>
          <w:szCs w:val="28"/>
          <w:lang w:val="en-US" w:eastAsia="zh-CN"/>
        </w:rPr>
        <w:t>1.</w:t>
      </w:r>
      <w:r>
        <w:rPr>
          <w:rFonts w:hint="eastAsia" w:ascii="仿宋_GB2312" w:hAnsi="宋体" w:eastAsia="仿宋_GB2312"/>
          <w:sz w:val="28"/>
          <w:szCs w:val="28"/>
          <w:lang w:val="zh-TW" w:eastAsia="zh-CN"/>
        </w:rPr>
        <w:t>强化公共照明效果，保障功能性照明和景观照明安全稳定运行，满足群众出行。</w:t>
      </w:r>
    </w:p>
    <w:p>
      <w:pPr>
        <w:ind w:firstLine="560" w:firstLineChars="200"/>
        <w:rPr>
          <w:rFonts w:hint="eastAsia" w:ascii="仿宋_GB2312" w:hAnsi="宋体" w:eastAsia="仿宋_GB2312"/>
          <w:sz w:val="28"/>
          <w:szCs w:val="28"/>
        </w:rPr>
      </w:pPr>
      <w:r>
        <w:rPr>
          <w:rFonts w:hint="eastAsia" w:ascii="仿宋_GB2312" w:hAnsi="宋体" w:eastAsia="仿宋_GB2312"/>
          <w:sz w:val="28"/>
          <w:szCs w:val="28"/>
          <w:lang w:val="en-US" w:eastAsia="zh-CN"/>
        </w:rPr>
        <w:t>2.</w:t>
      </w:r>
      <w:r>
        <w:rPr>
          <w:rFonts w:hint="eastAsia" w:ascii="仿宋_GB2312" w:hAnsi="宋体" w:eastAsia="仿宋_GB2312"/>
          <w:sz w:val="28"/>
          <w:szCs w:val="28"/>
        </w:rPr>
        <w:t>通过发放供热</w:t>
      </w:r>
      <w:r>
        <w:rPr>
          <w:rFonts w:hint="eastAsia" w:ascii="仿宋_GB2312" w:hAnsi="宋体" w:eastAsia="仿宋_GB2312"/>
          <w:sz w:val="28"/>
          <w:szCs w:val="28"/>
          <w:lang w:eastAsia="zh-CN"/>
        </w:rPr>
        <w:t>燃料</w:t>
      </w:r>
      <w:r>
        <w:rPr>
          <w:rFonts w:hint="eastAsia" w:ascii="仿宋_GB2312" w:hAnsi="宋体" w:eastAsia="仿宋_GB2312"/>
          <w:sz w:val="28"/>
          <w:szCs w:val="28"/>
        </w:rPr>
        <w:t>补贴，解决燃料价格上涨给供热企业（单位）带来的运行困难，确保</w:t>
      </w:r>
      <w:r>
        <w:rPr>
          <w:rFonts w:hint="eastAsia" w:ascii="仿宋_GB2312" w:hAnsi="宋体" w:eastAsia="仿宋_GB2312"/>
          <w:sz w:val="28"/>
          <w:szCs w:val="28"/>
          <w:lang w:eastAsia="zh-CN"/>
        </w:rPr>
        <w:t>为我区居民提供优质、安全、稳定的供暖服务。</w:t>
      </w:r>
    </w:p>
    <w:p>
      <w:pPr>
        <w:ind w:firstLine="560" w:firstLineChars="200"/>
        <w:rPr>
          <w:rFonts w:hint="eastAsia" w:ascii="仿宋_GB2312" w:hAnsi="宋体" w:eastAsia="仿宋_GB2312"/>
          <w:sz w:val="28"/>
          <w:szCs w:val="28"/>
          <w:lang w:val="en-US" w:eastAsia="zh-CN"/>
        </w:rPr>
      </w:pPr>
      <w:r>
        <w:rPr>
          <w:rFonts w:hint="eastAsia" w:ascii="仿宋_GB2312" w:hAnsi="宋体" w:eastAsia="仿宋_GB2312"/>
          <w:sz w:val="28"/>
          <w:szCs w:val="28"/>
          <w:lang w:val="en-US" w:eastAsia="zh-CN"/>
        </w:rPr>
        <w:t>3.结合市、区两级财政补贴办法，落实“减煤换煤，送气下乡”的工作部署，降低百姓用气成本，实现密云区农村地区炊事气化的目标。</w:t>
      </w:r>
    </w:p>
    <w:p>
      <w:pPr>
        <w:ind w:firstLine="560" w:firstLineChars="200"/>
        <w:rPr>
          <w:rFonts w:hint="default" w:ascii="仿宋" w:hAnsi="仿宋" w:eastAsia="仿宋" w:cs="仿宋"/>
          <w:b w:val="0"/>
          <w:i w:val="0"/>
          <w:caps w:val="0"/>
          <w:spacing w:val="0"/>
          <w:w w:val="100"/>
          <w:sz w:val="28"/>
          <w:szCs w:val="28"/>
          <w:lang w:val="en-US" w:eastAsia="zh-CN"/>
        </w:rPr>
      </w:pPr>
      <w:r>
        <w:rPr>
          <w:rFonts w:hint="eastAsia" w:ascii="仿宋_GB2312" w:hAnsi="宋体" w:eastAsia="仿宋_GB2312"/>
          <w:sz w:val="28"/>
          <w:szCs w:val="28"/>
          <w:lang w:val="en-US" w:eastAsia="zh-CN"/>
        </w:rPr>
        <w:t>4.根据市级工作部署，指导、组织各镇街开展创建工作,同时开展区级自评、自查工作，督促各镇街对检查中发现的问题及时进行整改，确保我区各镇街示范片区创建验收顺利通过，并长期保持</w:t>
      </w:r>
      <w:r>
        <w:rPr>
          <w:rFonts w:hint="eastAsia" w:ascii="仿宋" w:hAnsi="仿宋" w:eastAsia="仿宋" w:cs="仿宋"/>
          <w:b w:val="0"/>
          <w:i w:val="0"/>
          <w:caps w:val="0"/>
          <w:spacing w:val="0"/>
          <w:w w:val="100"/>
          <w:sz w:val="28"/>
          <w:szCs w:val="28"/>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560" w:firstLineChars="200"/>
        <w:textAlignment w:val="auto"/>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rPr>
        <w:t>（二）当年预算执行情况</w:t>
      </w:r>
    </w:p>
    <w:p>
      <w:pPr>
        <w:ind w:firstLine="560" w:firstLineChars="200"/>
        <w:rPr>
          <w:rFonts w:hint="default"/>
          <w:lang w:val="en-US" w:eastAsia="zh-CN"/>
        </w:rPr>
      </w:pPr>
      <w:r>
        <w:rPr>
          <w:rFonts w:hint="eastAsia" w:ascii="仿宋_GB2312" w:hAnsi="宋体" w:eastAsia="仿宋_GB2312"/>
          <w:sz w:val="28"/>
          <w:szCs w:val="28"/>
          <w:lang w:val="en-US" w:eastAsia="zh-CN"/>
        </w:rPr>
        <w:t>2023年全年预算数77315.03万元。资金总体支出115792.44万元，其中，基本支出6705.89万元，项目支出109086.55万元，预算执行率为100%。</w:t>
      </w:r>
    </w:p>
    <w:p>
      <w:pPr>
        <w:ind w:firstLine="560" w:firstLineChars="200"/>
        <w:rPr>
          <w:rFonts w:hint="eastAsia" w:ascii="黑体" w:eastAsia="黑体"/>
          <w:sz w:val="28"/>
          <w:szCs w:val="28"/>
          <w:lang w:eastAsia="zh-CN"/>
        </w:rPr>
      </w:pPr>
      <w:r>
        <w:rPr>
          <w:rFonts w:hint="eastAsia" w:ascii="黑体" w:eastAsia="黑体"/>
          <w:sz w:val="28"/>
          <w:szCs w:val="28"/>
        </w:rPr>
        <w:t>二、项目支出绩效评价报告</w:t>
      </w:r>
      <w:r>
        <w:rPr>
          <w:rFonts w:hint="eastAsia" w:ascii="黑体" w:eastAsia="黑体"/>
          <w:sz w:val="28"/>
          <w:szCs w:val="28"/>
          <w:lang w:eastAsia="zh-CN"/>
        </w:rPr>
        <w:t>（详见附件）</w:t>
      </w:r>
    </w:p>
    <w:p>
      <w:pPr>
        <w:pStyle w:val="2"/>
        <w:rPr>
          <w:rFonts w:hint="eastAsia" w:ascii="楷体" w:hAnsi="楷体" w:eastAsia="楷体" w:cs="楷体"/>
          <w:b/>
          <w:bCs/>
          <w:kern w:val="2"/>
          <w:sz w:val="32"/>
          <w:szCs w:val="32"/>
          <w:lang w:val="en-US" w:eastAsia="zh-CN" w:bidi="ar-SA"/>
        </w:rPr>
      </w:pPr>
      <w:r>
        <w:rPr>
          <w:rFonts w:hint="eastAsia" w:ascii="楷体" w:hAnsi="楷体" w:eastAsia="楷体" w:cs="楷体"/>
          <w:b/>
          <w:bCs/>
          <w:kern w:val="2"/>
          <w:sz w:val="32"/>
          <w:szCs w:val="32"/>
          <w:lang w:val="en-US" w:eastAsia="zh-CN" w:bidi="ar-SA"/>
        </w:rPr>
        <w:t>供热事务中心2023年项目支出绩效目标评价报告</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jc w:val="both"/>
        <w:textAlignment w:val="auto"/>
        <w:outlineLvl w:val="9"/>
        <w:rPr>
          <w:rFonts w:hint="eastAsia" w:ascii="黑体" w:eastAsia="黑体"/>
          <w:sz w:val="28"/>
          <w:szCs w:val="28"/>
          <w:lang w:val="en-US" w:eastAsia="zh-CN"/>
        </w:rPr>
      </w:pPr>
      <w:r>
        <w:rPr>
          <w:rFonts w:hint="eastAsia" w:ascii="楷体" w:hAnsi="楷体" w:eastAsia="楷体" w:cs="楷体"/>
          <w:sz w:val="32"/>
          <w:szCs w:val="32"/>
          <w:lang w:val="en-US" w:eastAsia="zh-CN"/>
        </w:rPr>
        <w:t xml:space="preserve">   </w:t>
      </w:r>
      <w:r>
        <w:rPr>
          <w:rFonts w:hint="eastAsia" w:ascii="黑体" w:eastAsia="黑体"/>
          <w:sz w:val="28"/>
          <w:szCs w:val="28"/>
          <w:lang w:val="en-US" w:eastAsia="zh-CN"/>
        </w:rPr>
        <w:t>一、基本情况</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280" w:firstLineChars="100"/>
        <w:jc w:val="both"/>
        <w:textAlignment w:val="auto"/>
        <w:outlineLvl w:val="9"/>
        <w:rPr>
          <w:rFonts w:hint="eastAsia" w:ascii="楷体" w:hAnsi="楷体" w:eastAsia="楷体" w:cs="楷体"/>
          <w:sz w:val="28"/>
          <w:szCs w:val="28"/>
          <w:lang w:val="en-US" w:eastAsia="zh-CN"/>
        </w:rPr>
      </w:pPr>
      <w:r>
        <w:rPr>
          <w:rFonts w:hint="eastAsia" w:ascii="楷体" w:hAnsi="楷体" w:eastAsia="楷体" w:cs="楷体"/>
          <w:sz w:val="28"/>
          <w:szCs w:val="28"/>
          <w:lang w:val="en-US" w:eastAsia="zh-CN"/>
        </w:rPr>
        <w:t>（一）项目概况</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hAnsi="仿宋_GB2312" w:eastAsia="仿宋_GB2312" w:cs="仿宋_GB2312"/>
          <w:sz w:val="32"/>
          <w:szCs w:val="32"/>
          <w:lang w:val="en-US" w:eastAsia="zh-CN"/>
        </w:rPr>
      </w:pPr>
      <w:r>
        <w:rPr>
          <w:rFonts w:hint="eastAsia" w:ascii="仿宋_GB2312" w:eastAsia="仿宋_GB2312"/>
          <w:sz w:val="28"/>
          <w:szCs w:val="28"/>
          <w:lang w:val="en-US" w:eastAsia="zh-CN"/>
        </w:rPr>
        <w:t>按照市政府批准的《北京市财政局关于2015年公用事业补贴改革进展情况及2016年工作思路的报告》(京财公用[2016]11号)精神，自2017年起区域锅炉房供热燃料补贴(以下简称“锅炉供热补贴”)市级资金由专项转移支付改为一般性转移支付方式。锅炉供热补贴按照市区两级财政共同分担的原则，对燃煤、燃气、燃油（液化天然气）、电锅炉供热单位所负担的居民供热按照供热面积进行补贴。</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280" w:firstLineChars="100"/>
        <w:jc w:val="both"/>
        <w:textAlignment w:val="auto"/>
        <w:outlineLvl w:val="9"/>
        <w:rPr>
          <w:rFonts w:hint="eastAsia" w:ascii="楷体" w:hAnsi="楷体" w:eastAsia="楷体" w:cs="楷体"/>
          <w:sz w:val="28"/>
          <w:szCs w:val="28"/>
          <w:lang w:val="en-US" w:eastAsia="zh-CN"/>
        </w:rPr>
      </w:pPr>
      <w:r>
        <w:rPr>
          <w:rFonts w:hint="eastAsia" w:ascii="楷体" w:hAnsi="楷体" w:eastAsia="楷体" w:cs="楷体"/>
          <w:sz w:val="28"/>
          <w:szCs w:val="28"/>
          <w:lang w:val="en-US" w:eastAsia="zh-CN"/>
        </w:rPr>
        <w:t>（二）组织机构</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组  长：区城管委主管主任</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副组长：区城管委供热办主任、区财政局企业科科长</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成  员：区城管委供热办工作人员、区财政局企业科工作人员、居民供暖企业负责人</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280" w:firstLineChars="100"/>
        <w:jc w:val="both"/>
        <w:textAlignment w:val="auto"/>
        <w:outlineLvl w:val="9"/>
        <w:rPr>
          <w:rFonts w:hint="eastAsia" w:ascii="楷体" w:hAnsi="楷体" w:eastAsia="楷体" w:cs="楷体"/>
          <w:sz w:val="28"/>
          <w:szCs w:val="28"/>
          <w:lang w:val="en-US" w:eastAsia="zh-CN"/>
        </w:rPr>
      </w:pPr>
      <w:r>
        <w:rPr>
          <w:rFonts w:hint="eastAsia" w:ascii="楷体" w:hAnsi="楷体" w:eastAsia="楷体" w:cs="楷体"/>
          <w:sz w:val="28"/>
          <w:szCs w:val="28"/>
          <w:lang w:val="en-US" w:eastAsia="zh-CN"/>
        </w:rPr>
        <w:t>（三）职责分工</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区城管委主管主任负责市区供热燃料补贴工作的全面审核把关，确保供暖企业居民住宅供热补贴面积真实准确，市区供热燃料补贴资金拨付及时到位，保证居民住宅安全稳定供热。</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区城管委供热办主任负责协调区财政局共同研究确定新增居民住宅供热面积审核过程中出现的特殊问题，保证居民住宅供热补贴面积真实准确。区财政局企业科科长负责市、区供热燃料补贴资金的审核拨付工作，保证补贴资金拨付及时到位。</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区城管委供热事务中心工作人员会同区财政局企业科工作人员，以第三方出具审核报告中居民供热面积共计为准，根据相关文件标准及要求进行居民供热燃料补贴的测算和发放。</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jc w:val="both"/>
        <w:textAlignment w:val="auto"/>
        <w:outlineLvl w:val="9"/>
        <w:rPr>
          <w:rFonts w:hint="eastAsia" w:ascii="楷体" w:hAnsi="楷体" w:eastAsia="楷体" w:cs="楷体"/>
          <w:sz w:val="32"/>
          <w:szCs w:val="32"/>
          <w:lang w:val="en-US" w:eastAsia="zh-CN"/>
        </w:rPr>
      </w:pPr>
      <w:r>
        <w:rPr>
          <w:rFonts w:hint="eastAsia" w:ascii="楷体" w:hAnsi="楷体" w:eastAsia="楷体" w:cs="楷体"/>
          <w:sz w:val="32"/>
          <w:szCs w:val="32"/>
          <w:lang w:val="en-US" w:eastAsia="zh-CN"/>
        </w:rPr>
        <w:t xml:space="preserve">   </w:t>
      </w:r>
      <w:r>
        <w:rPr>
          <w:rFonts w:hint="eastAsia" w:ascii="楷体" w:hAnsi="楷体" w:eastAsia="楷体" w:cs="楷体"/>
          <w:sz w:val="28"/>
          <w:szCs w:val="28"/>
          <w:lang w:val="en-US" w:eastAsia="zh-CN"/>
        </w:rPr>
        <w:t>（四）项目实施过程</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1.提交材料</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我中心于每年7月前组织各供热企业填报供热信息统计报表，要求各供热企业必须保证上报材料真实准确，不得弄虚作假，一经发现严肃处理。提交材料包括：一是新增住宅项目规划许可证；二是居民住宅小区供热入网协议；三是办理房产证的房屋竣工验收测绘面积报告；四是开发商与供热单位签订的《北京市民用建筑工程供热计量装置专项合同》；五是住户明细表及电子版；六是住户与供热单位签订的热计量计费版《北京市居民供热采暖合同》；七是采暖用户缴费票据复印件等。</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2.审核面积</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我中心聘请第三方专业机构对密云区居民供热面积进行审核，并出具面积审核报告。</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3.资金拨付</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560" w:firstLineChars="200"/>
        <w:jc w:val="both"/>
        <w:textAlignment w:val="auto"/>
        <w:outlineLvl w:val="9"/>
        <w:rPr>
          <w:rFonts w:hint="eastAsia" w:ascii="仿宋_GB2312" w:eastAsia="仿宋_GB2312"/>
          <w:sz w:val="28"/>
          <w:szCs w:val="28"/>
          <w:lang w:val="en-US" w:eastAsia="zh-CN"/>
        </w:rPr>
      </w:pPr>
      <w:r>
        <w:rPr>
          <w:rFonts w:hint="eastAsia" w:ascii="仿宋_GB2312" w:eastAsia="仿宋_GB2312"/>
          <w:sz w:val="28"/>
          <w:szCs w:val="28"/>
          <w:lang w:val="en-US" w:eastAsia="zh-CN"/>
        </w:rPr>
        <w:t>我中心按照市城管委关于拨付补贴资金的通知文件要求，向区财政部门提交拨付市、区级补贴资金的函，补贴标准按北京市城市管理委员会、北京市财政局关于印发《2021-2023年区域锅炉房居民供热燃料补贴标准及有关要求》的通知（京管办发〔2022〕46号）执行。其中，燃气6.6元/平方米；液化天然气21.68元/平方米；电锅炉22.66元/平方米。待区财政部门核对金额无误同意拨付后，将项目资金拨付给供热企业。</w:t>
      </w:r>
    </w:p>
    <w:p>
      <w:pPr>
        <w:numPr>
          <w:ilvl w:val="0"/>
          <w:numId w:val="2"/>
        </w:numPr>
        <w:ind w:left="-10" w:leftChars="0" w:firstLine="640" w:firstLineChars="0"/>
        <w:rPr>
          <w:rFonts w:hint="eastAsia" w:ascii="黑体" w:hAnsi="黑体" w:eastAsia="黑体" w:cs="黑体"/>
          <w:color w:val="000000"/>
          <w:sz w:val="32"/>
          <w:lang w:val="en-US" w:eastAsia="zh-CN"/>
        </w:rPr>
      </w:pPr>
      <w:r>
        <w:rPr>
          <w:rFonts w:hint="eastAsia" w:ascii="黑体" w:eastAsia="黑体"/>
          <w:sz w:val="28"/>
          <w:szCs w:val="28"/>
          <w:lang w:val="en-US" w:eastAsia="zh-CN"/>
        </w:rPr>
        <w:t>年度预算执行情况</w:t>
      </w:r>
    </w:p>
    <w:p>
      <w:pPr>
        <w:numPr>
          <w:ilvl w:val="0"/>
          <w:numId w:val="0"/>
        </w:numPr>
        <w:rPr>
          <w:rFonts w:hint="default" w:ascii="仿宋_GB2312" w:eastAsia="仿宋_GB2312"/>
          <w:sz w:val="28"/>
          <w:szCs w:val="28"/>
          <w:lang w:val="en-US" w:eastAsia="zh-CN"/>
        </w:rPr>
      </w:pPr>
      <w:r>
        <w:rPr>
          <w:rFonts w:hint="eastAsia" w:ascii="黑体" w:hAnsi="黑体" w:eastAsia="黑体" w:cs="黑体"/>
          <w:color w:val="000000"/>
          <w:sz w:val="32"/>
          <w:lang w:val="en-US" w:eastAsia="zh-CN"/>
        </w:rPr>
        <w:t xml:space="preserve">    </w:t>
      </w:r>
      <w:r>
        <w:rPr>
          <w:rFonts w:hint="eastAsia" w:ascii="仿宋_GB2312" w:eastAsia="仿宋_GB2312"/>
          <w:sz w:val="28"/>
          <w:szCs w:val="28"/>
          <w:lang w:val="en-US" w:eastAsia="zh-CN"/>
        </w:rPr>
        <w:t>市级财政以一般转移支付的方式拨付2024年居民供热燃料补贴项目资金5804.3834万元，2024年市级财政资金已支出4626.8894万元，预计剩余资金于2024年底全部支出，不会结余。</w:t>
      </w:r>
    </w:p>
    <w:p>
      <w:pPr>
        <w:numPr>
          <w:ilvl w:val="0"/>
          <w:numId w:val="2"/>
        </w:numPr>
        <w:ind w:left="-10" w:leftChars="0" w:firstLine="640" w:firstLineChars="0"/>
        <w:rPr>
          <w:rFonts w:hint="eastAsia" w:ascii="黑体" w:eastAsia="黑体"/>
          <w:sz w:val="28"/>
          <w:szCs w:val="28"/>
          <w:lang w:val="en-US" w:eastAsia="zh-CN"/>
        </w:rPr>
      </w:pPr>
      <w:r>
        <w:rPr>
          <w:rFonts w:hint="eastAsia" w:ascii="黑体" w:eastAsia="黑体"/>
          <w:sz w:val="28"/>
          <w:szCs w:val="28"/>
          <w:lang w:val="en-US" w:eastAsia="zh-CN"/>
        </w:rPr>
        <w:t>绩效目标情况及分析</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firstLine="280" w:firstLineChars="100"/>
        <w:jc w:val="both"/>
        <w:textAlignment w:val="auto"/>
        <w:outlineLvl w:val="9"/>
        <w:rPr>
          <w:rFonts w:hint="eastAsia" w:ascii="楷体" w:hAnsi="楷体" w:eastAsia="楷体" w:cs="楷体"/>
          <w:sz w:val="28"/>
          <w:szCs w:val="28"/>
          <w:lang w:val="en-US" w:eastAsia="zh-CN"/>
        </w:rPr>
      </w:pPr>
      <w:r>
        <w:rPr>
          <w:rFonts w:hint="eastAsia" w:ascii="楷体" w:hAnsi="楷体" w:eastAsia="楷体" w:cs="楷体"/>
          <w:sz w:val="28"/>
          <w:szCs w:val="28"/>
          <w:lang w:val="en-US" w:eastAsia="zh-CN"/>
        </w:rPr>
        <w:t>（一）项目绩效目标完成情况</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1.项目完成情况与项目绩效目标的对比</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在市政府、市城管委、市财政局、区政府等上级部门的领导下，本项目完成情况与项目绩效目标一致，完成了预期的质量目标。</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2.项目的经济性</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为缓解供热单位成本压力，市政府决定本采暖季继续对供热给予补贴，补贴款用于企业购气及设备维修维护。各供热企业对供暖系统及设备进行全面彻底检修，一方面加强外管网阀门的维护保养，确保其严密性和可调节性，一方面加大居民室内采暖设备的干、分、立、支管阀门的巡检、维修力度，确保其严密性，消除各类设备缺陷，提高动力设备运行的安全性和可靠性。大幅度减少供暖期内跑冒滴漏等事故损失及冬季抢修投入，降低了运营成本。</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3.项目的效率性</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在市政府、市城管委、市财政局以及区政府等上级部门的领导下，在密云区城市管理委员会及密云区财政局各位同志的努力工作下，市级财政资金及时拨付至供热企业。</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4.项目的效益性</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各供热单位高度重视节能减排工作，配备专（兼）职统计人员，建立能耗利用统计台账，对能耗使用情况进行真实、准确统计；建立并严格执行节能管理制度，每季度分析本单位节能形势。本采暖季达到节能减排任务目标，提高了燃料利用率，为能源的可持续发展做出一定贡献。</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5.项目的可持续性</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通过发放锅炉房居民供热补贴，解决燃料价格上涨给供热企业（单位）带来的运行困难，确保了居民冬季正常采暖，供热服务质量更高、安全技能更强，为维护社会稳定，促进供热行业可持续发展发挥了重要作用。</w:t>
      </w:r>
    </w:p>
    <w:p>
      <w:pPr>
        <w:pStyle w:val="2"/>
        <w:rPr>
          <w:rFonts w:hint="eastAsia"/>
        </w:rPr>
      </w:pPr>
    </w:p>
    <w:p>
      <w:pPr>
        <w:pStyle w:val="2"/>
        <w:rPr>
          <w:rFonts w:hint="eastAsia" w:ascii="黑体" w:hAnsi="黑体" w:eastAsia="黑体" w:cs="黑体"/>
          <w:color w:val="000000"/>
          <w:sz w:val="32"/>
          <w:szCs w:val="32"/>
        </w:rPr>
      </w:pPr>
      <w:r>
        <w:rPr>
          <w:rFonts w:hint="eastAsia" w:ascii="楷体" w:hAnsi="楷体" w:eastAsia="楷体" w:cs="楷体"/>
          <w:b/>
          <w:bCs/>
          <w:kern w:val="2"/>
          <w:sz w:val="32"/>
          <w:szCs w:val="32"/>
          <w:lang w:val="en-US" w:eastAsia="zh-CN" w:bidi="ar-SA"/>
        </w:rPr>
        <w:t>能源事务中心（燃气） 年项目支出绩效目标评价报告</w:t>
      </w:r>
      <w:bookmarkStart w:id="0" w:name="bookmark35"/>
    </w:p>
    <w:p>
      <w:pPr>
        <w:pStyle w:val="21"/>
        <w:tabs>
          <w:tab w:val="left" w:pos="1276"/>
        </w:tabs>
        <w:spacing w:line="560" w:lineRule="exact"/>
        <w:ind w:firstLine="560" w:firstLineChars="200"/>
        <w:rPr>
          <w:rFonts w:ascii="黑体" w:hAnsi="黑体" w:eastAsia="黑体" w:cs="黑体"/>
          <w:sz w:val="32"/>
          <w:szCs w:val="32"/>
        </w:rPr>
      </w:pPr>
      <w:r>
        <w:rPr>
          <w:rFonts w:hint="eastAsia" w:ascii="黑体" w:hAnsi="黑体" w:eastAsia="黑体" w:cs="黑体"/>
          <w:color w:val="000000"/>
          <w:sz w:val="28"/>
          <w:szCs w:val="28"/>
        </w:rPr>
        <w:t>一</w:t>
      </w:r>
      <w:bookmarkEnd w:id="0"/>
      <w:r>
        <w:rPr>
          <w:rFonts w:hint="eastAsia" w:ascii="黑体" w:hAnsi="黑体" w:eastAsia="黑体" w:cs="黑体"/>
          <w:color w:val="000000"/>
          <w:sz w:val="32"/>
          <w:szCs w:val="32"/>
        </w:rPr>
        <w:t>、</w:t>
      </w:r>
      <w:r>
        <w:rPr>
          <w:rFonts w:hint="eastAsia" w:ascii="黑体" w:hAnsi="Times New Roman" w:eastAsia="黑体" w:cs="Times New Roman"/>
          <w:kern w:val="2"/>
          <w:sz w:val="28"/>
          <w:szCs w:val="28"/>
          <w:lang w:val="en-US" w:eastAsia="zh-CN" w:bidi="ar-SA"/>
        </w:rPr>
        <w:t>绩效跟踪工作组织实施情况</w:t>
      </w:r>
    </w:p>
    <w:p>
      <w:pPr>
        <w:spacing w:beforeLines="0" w:afterLines="0"/>
        <w:ind w:firstLine="560" w:firstLineChars="200"/>
        <w:rPr>
          <w:rFonts w:hint="eastAsia" w:ascii="楷体" w:hAnsi="楷体" w:eastAsia="楷体" w:cs="楷体"/>
          <w:sz w:val="28"/>
          <w:szCs w:val="28"/>
          <w:lang w:eastAsia="zh-CN"/>
        </w:rPr>
      </w:pPr>
      <w:r>
        <w:rPr>
          <w:rFonts w:hint="eastAsia" w:ascii="楷体" w:hAnsi="楷体" w:eastAsia="楷体" w:cs="楷体"/>
          <w:sz w:val="28"/>
          <w:szCs w:val="28"/>
          <w:lang w:eastAsia="zh-CN"/>
        </w:rPr>
        <w:t>（一）项目组织机构</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为了确保项目的顺利实施，成立了项目领导小组，确定了领导小组成员及其职责分工，并且责任落实到人，项目组织机构完善有效。</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组  长：区城管委主管主任</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副组长：区城管委燃气办主任、区财政局企业科科长</w:t>
      </w:r>
    </w:p>
    <w:p>
      <w:pPr>
        <w:numPr>
          <w:ilvl w:val="0"/>
          <w:numId w:val="0"/>
        </w:numPr>
        <w:ind w:firstLine="560" w:firstLineChars="200"/>
        <w:rPr>
          <w:rFonts w:hint="eastAsia" w:ascii="仿宋_GB2312" w:eastAsia="仿宋_GB2312"/>
          <w:sz w:val="32"/>
          <w:szCs w:val="24"/>
        </w:rPr>
      </w:pPr>
      <w:r>
        <w:rPr>
          <w:rFonts w:hint="eastAsia" w:ascii="仿宋_GB2312" w:eastAsia="仿宋_GB2312"/>
          <w:sz w:val="28"/>
          <w:szCs w:val="28"/>
          <w:lang w:val="en-US" w:eastAsia="zh-CN"/>
        </w:rPr>
        <w:t>成  员：区城管委燃气办工作人员、区财政局企业科工作人员、密云区液化气下乡供应企业负责人</w:t>
      </w:r>
    </w:p>
    <w:p>
      <w:pPr>
        <w:spacing w:beforeLines="0" w:afterLines="0"/>
        <w:ind w:firstLine="560" w:firstLineChars="200"/>
        <w:rPr>
          <w:rFonts w:hint="eastAsia" w:ascii="楷体" w:hAnsi="楷体" w:eastAsia="楷体" w:cs="楷体"/>
          <w:sz w:val="28"/>
          <w:szCs w:val="28"/>
        </w:rPr>
      </w:pPr>
      <w:r>
        <w:rPr>
          <w:rFonts w:hint="eastAsia" w:ascii="楷体" w:hAnsi="楷体" w:eastAsia="楷体" w:cs="楷体"/>
          <w:sz w:val="28"/>
          <w:szCs w:val="28"/>
          <w:lang w:eastAsia="zh-CN"/>
        </w:rPr>
        <w:t>（二）</w:t>
      </w:r>
      <w:r>
        <w:rPr>
          <w:rFonts w:hint="eastAsia" w:ascii="楷体" w:hAnsi="楷体" w:eastAsia="楷体" w:cs="楷体"/>
          <w:sz w:val="28"/>
          <w:szCs w:val="28"/>
        </w:rPr>
        <w:t>职责分工</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区城管委主管主任负责市区民用液化石油气补贴工作的全面审核把关，确保液化气供应瓶数真实准确，市区液化气下乡补贴资金拨付及时到位，保障农村地区民用液化石油气安全稳定供应。</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区城管委燃气办主任负责根据市级相关要求协调区财政局共同完成补贴工作，保证液化气供应瓶数真实准确。区财政局企业科科长负责市、区液化气下乡补贴资金的审核拨付工作，保证补贴资金拨付及时到位。</w:t>
      </w:r>
    </w:p>
    <w:p>
      <w:pPr>
        <w:numPr>
          <w:ilvl w:val="0"/>
          <w:numId w:val="0"/>
        </w:numPr>
        <w:ind w:firstLine="560" w:firstLineChars="200"/>
        <w:rPr>
          <w:rFonts w:hint="eastAsia" w:ascii="仿宋_GB2312" w:hAnsi="仿宋_GB2312" w:eastAsia="仿宋_GB2312" w:cs="仿宋_GB2312"/>
          <w:sz w:val="32"/>
          <w:szCs w:val="32"/>
          <w:lang w:val="en-US" w:eastAsia="zh-CN"/>
        </w:rPr>
      </w:pPr>
      <w:r>
        <w:rPr>
          <w:rFonts w:hint="eastAsia" w:ascii="仿宋_GB2312" w:eastAsia="仿宋_GB2312"/>
          <w:sz w:val="28"/>
          <w:szCs w:val="28"/>
          <w:lang w:val="en-US" w:eastAsia="zh-CN"/>
        </w:rPr>
        <w:t>区城管委燃气办工作人员会同区财政局企业科工作人员，以北京市液化石油气有限公司提供的系统换瓶数为依据，根据相关文件标准及要求进行民用液化石油气补贴的测算和发放。</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right="0" w:rightChars="0"/>
        <w:jc w:val="both"/>
        <w:textAlignment w:val="auto"/>
        <w:outlineLvl w:val="9"/>
        <w:rPr>
          <w:rFonts w:hint="eastAsia" w:ascii="楷体" w:hAnsi="楷体" w:eastAsia="楷体" w:cs="楷体"/>
          <w:sz w:val="32"/>
          <w:szCs w:val="32"/>
          <w:lang w:val="en-US" w:eastAsia="zh-CN"/>
        </w:rPr>
      </w:pPr>
      <w:r>
        <w:rPr>
          <w:rFonts w:hint="eastAsia" w:ascii="楷体" w:hAnsi="楷体" w:eastAsia="楷体" w:cs="楷体"/>
          <w:sz w:val="32"/>
          <w:szCs w:val="32"/>
          <w:lang w:val="en-US" w:eastAsia="zh-CN"/>
        </w:rPr>
        <w:t xml:space="preserve">  </w:t>
      </w:r>
      <w:r>
        <w:rPr>
          <w:rFonts w:hint="eastAsia" w:ascii="楷体" w:hAnsi="楷体" w:eastAsia="楷体" w:cs="楷体"/>
          <w:sz w:val="28"/>
          <w:szCs w:val="28"/>
          <w:lang w:val="en-US" w:eastAsia="zh-CN"/>
        </w:rPr>
        <w:t xml:space="preserve"> （三）项目实施过程</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1.提交材料</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自北京市液化石油气有限公司实现“一瓶一码”钢瓶管理以来，民用液化石油气用户在换气过程中，均使用PDA手持机进行扫卡扫瓶记录，并通过管理系统统一导出、同步上传，严禁任何人为补录操作，确保换气数据真实、准确。北京市液化石油气有限公司根据实际换瓶情况，向密云区城管委报送民用液化石油气补贴申请及数据明细。</w:t>
      </w:r>
    </w:p>
    <w:p>
      <w:pPr>
        <w:numPr>
          <w:ilvl w:val="0"/>
          <w:numId w:val="0"/>
        </w:numPr>
        <w:ind w:firstLine="560" w:firstLineChars="200"/>
        <w:rPr>
          <w:rFonts w:hint="default" w:ascii="仿宋_GB2312" w:eastAsia="仿宋_GB2312"/>
          <w:sz w:val="28"/>
          <w:szCs w:val="28"/>
          <w:lang w:val="en-US" w:eastAsia="zh-CN"/>
        </w:rPr>
      </w:pPr>
      <w:r>
        <w:rPr>
          <w:rFonts w:hint="eastAsia" w:ascii="仿宋_GB2312" w:eastAsia="仿宋_GB2312"/>
          <w:sz w:val="28"/>
          <w:szCs w:val="28"/>
          <w:lang w:val="en-US" w:eastAsia="zh-CN"/>
        </w:rPr>
        <w:t>2.数据审核</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根据市财政局、市城市管理委《关于完善我市民用液化石油气补贴政策的请示》（京财公用〔2018〕155号）以及市政府批示精神，结合《密云区调整民用液化石油气补贴政策实施方案的通知》，燃气办审核申请金额与提供数据无误、申请主任办公会审议。</w:t>
      </w:r>
    </w:p>
    <w:p>
      <w:pPr>
        <w:numPr>
          <w:ilvl w:val="0"/>
          <w:numId w:val="0"/>
        </w:numPr>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3.资金拨付</w:t>
      </w:r>
    </w:p>
    <w:p>
      <w:pPr>
        <w:numPr>
          <w:ilvl w:val="0"/>
          <w:numId w:val="0"/>
        </w:numPr>
        <w:ind w:firstLine="560" w:firstLineChars="200"/>
        <w:rPr>
          <w:rFonts w:ascii="仿宋_GB2312" w:hAnsi="仿宋_GB2312" w:eastAsia="仿宋_GB2312" w:cs="仿宋_GB2312"/>
          <w:sz w:val="32"/>
          <w:szCs w:val="32"/>
        </w:rPr>
      </w:pPr>
      <w:r>
        <w:rPr>
          <w:rFonts w:hint="eastAsia" w:ascii="仿宋_GB2312" w:eastAsia="仿宋_GB2312"/>
          <w:sz w:val="28"/>
          <w:szCs w:val="28"/>
          <w:lang w:val="en-US" w:eastAsia="zh-CN"/>
        </w:rPr>
        <w:t>经主任办公会一致通过后，提交至密云区财政局拨付补贴资金至北京市液化石油气有限公司。</w:t>
      </w:r>
    </w:p>
    <w:p>
      <w:pPr>
        <w:pStyle w:val="21"/>
        <w:tabs>
          <w:tab w:val="left" w:pos="1276"/>
        </w:tabs>
        <w:spacing w:line="560" w:lineRule="exact"/>
        <w:ind w:firstLine="560" w:firstLineChars="200"/>
        <w:rPr>
          <w:rFonts w:ascii="黑体" w:hAnsi="黑体" w:eastAsia="黑体" w:cs="黑体"/>
          <w:color w:val="000000"/>
          <w:sz w:val="32"/>
          <w:szCs w:val="32"/>
        </w:rPr>
      </w:pPr>
      <w:bookmarkStart w:id="1" w:name="bookmark36"/>
      <w:r>
        <w:rPr>
          <w:rFonts w:hint="eastAsia" w:ascii="黑体" w:hAnsi="黑体" w:eastAsia="黑体" w:cs="黑体"/>
          <w:color w:val="000000"/>
          <w:sz w:val="28"/>
          <w:szCs w:val="28"/>
        </w:rPr>
        <w:t>二</w:t>
      </w:r>
      <w:bookmarkEnd w:id="1"/>
      <w:r>
        <w:rPr>
          <w:rFonts w:hint="eastAsia" w:ascii="黑体" w:hAnsi="黑体" w:eastAsia="黑体" w:cs="黑体"/>
          <w:color w:val="000000"/>
          <w:sz w:val="32"/>
          <w:szCs w:val="32"/>
        </w:rPr>
        <w:t>、</w:t>
      </w:r>
      <w:r>
        <w:rPr>
          <w:rFonts w:hint="eastAsia" w:ascii="黑体" w:hAnsi="Times New Roman" w:eastAsia="黑体" w:cs="Times New Roman"/>
          <w:kern w:val="2"/>
          <w:sz w:val="28"/>
          <w:szCs w:val="28"/>
          <w:lang w:val="en-US" w:eastAsia="zh-CN" w:bidi="ar-SA"/>
        </w:rPr>
        <w:t>年度预算执行情况</w:t>
      </w:r>
    </w:p>
    <w:p>
      <w:pPr>
        <w:pStyle w:val="21"/>
        <w:tabs>
          <w:tab w:val="left" w:pos="1276"/>
        </w:tabs>
        <w:spacing w:line="560" w:lineRule="exact"/>
        <w:ind w:firstLine="560" w:firstLineChars="200"/>
        <w:rPr>
          <w:rFonts w:hint="eastAsia" w:ascii="仿宋_GB2312" w:hAnsi="仿宋_GB2312" w:eastAsia="仿宋_GB2312" w:cs="仿宋_GB2312"/>
          <w:color w:val="auto"/>
          <w:sz w:val="32"/>
          <w:lang w:val="en-US" w:eastAsia="zh-CN"/>
        </w:rPr>
      </w:pPr>
      <w:bookmarkStart w:id="2" w:name="bookmark37"/>
      <w:r>
        <w:rPr>
          <w:rFonts w:hint="eastAsia" w:ascii="仿宋_GB2312" w:hAnsi="Times New Roman" w:eastAsia="仿宋_GB2312" w:cs="Times New Roman"/>
          <w:kern w:val="2"/>
          <w:sz w:val="28"/>
          <w:szCs w:val="28"/>
          <w:lang w:val="en-US" w:eastAsia="zh-CN" w:bidi="ar-SA"/>
        </w:rPr>
        <w:t>市级财政以一般转移支付的方式拨付202</w:t>
      </w:r>
      <w:r>
        <w:rPr>
          <w:rFonts w:hint="default" w:ascii="仿宋_GB2312" w:hAnsi="Times New Roman" w:eastAsia="仿宋_GB2312" w:cs="Times New Roman"/>
          <w:kern w:val="2"/>
          <w:sz w:val="28"/>
          <w:szCs w:val="28"/>
          <w:lang w:val="en" w:eastAsia="zh-CN" w:bidi="ar-SA"/>
        </w:rPr>
        <w:t>4</w:t>
      </w:r>
      <w:r>
        <w:rPr>
          <w:rFonts w:hint="eastAsia" w:ascii="仿宋_GB2312" w:hAnsi="Times New Roman" w:eastAsia="仿宋_GB2312" w:cs="Times New Roman"/>
          <w:kern w:val="2"/>
          <w:sz w:val="28"/>
          <w:szCs w:val="28"/>
          <w:lang w:val="en-US" w:eastAsia="zh-CN" w:bidi="ar-SA"/>
        </w:rPr>
        <w:t>年密云区民用液化石油气补贴项目资金1343万元，202</w:t>
      </w:r>
      <w:r>
        <w:rPr>
          <w:rFonts w:hint="default" w:ascii="仿宋_GB2312" w:hAnsi="Times New Roman" w:eastAsia="仿宋_GB2312" w:cs="Times New Roman"/>
          <w:kern w:val="2"/>
          <w:sz w:val="28"/>
          <w:szCs w:val="28"/>
          <w:lang w:val="en" w:eastAsia="zh-CN" w:bidi="ar-SA"/>
        </w:rPr>
        <w:t>4</w:t>
      </w:r>
      <w:r>
        <w:rPr>
          <w:rFonts w:hint="eastAsia" w:ascii="仿宋_GB2312" w:hAnsi="Times New Roman" w:eastAsia="仿宋_GB2312" w:cs="Times New Roman"/>
          <w:kern w:val="2"/>
          <w:sz w:val="28"/>
          <w:szCs w:val="28"/>
          <w:lang w:val="en-US" w:eastAsia="zh-CN" w:bidi="ar-SA"/>
        </w:rPr>
        <w:t>年市级财政资金已支出</w:t>
      </w:r>
      <w:r>
        <w:rPr>
          <w:rFonts w:hint="default" w:ascii="仿宋_GB2312" w:hAnsi="Times New Roman" w:eastAsia="仿宋_GB2312" w:cs="Times New Roman"/>
          <w:kern w:val="2"/>
          <w:sz w:val="28"/>
          <w:szCs w:val="28"/>
          <w:lang w:val="en" w:eastAsia="zh-CN" w:bidi="ar-SA"/>
        </w:rPr>
        <w:t>1343</w:t>
      </w:r>
      <w:r>
        <w:rPr>
          <w:rFonts w:hint="eastAsia" w:ascii="仿宋_GB2312" w:hAnsi="Times New Roman" w:eastAsia="仿宋_GB2312" w:cs="Times New Roman"/>
          <w:kern w:val="2"/>
          <w:sz w:val="28"/>
          <w:szCs w:val="28"/>
          <w:lang w:val="en-US" w:eastAsia="zh-CN" w:bidi="ar-SA"/>
        </w:rPr>
        <w:t>万元。</w:t>
      </w:r>
    </w:p>
    <w:p>
      <w:pPr>
        <w:pStyle w:val="21"/>
        <w:tabs>
          <w:tab w:val="left" w:pos="1276"/>
        </w:tabs>
        <w:spacing w:line="560" w:lineRule="exact"/>
        <w:ind w:firstLine="560" w:firstLineChars="200"/>
        <w:rPr>
          <w:rFonts w:ascii="黑体" w:hAnsi="黑体" w:eastAsia="黑体" w:cs="黑体"/>
          <w:color w:val="000000"/>
          <w:sz w:val="32"/>
          <w:szCs w:val="32"/>
        </w:rPr>
      </w:pPr>
      <w:r>
        <w:rPr>
          <w:rFonts w:hint="eastAsia" w:ascii="黑体" w:hAnsi="黑体" w:eastAsia="黑体" w:cs="黑体"/>
          <w:color w:val="000000"/>
          <w:sz w:val="28"/>
          <w:szCs w:val="28"/>
        </w:rPr>
        <w:t>三</w:t>
      </w:r>
      <w:bookmarkEnd w:id="2"/>
      <w:r>
        <w:rPr>
          <w:rFonts w:hint="eastAsia" w:ascii="黑体" w:hAnsi="黑体" w:eastAsia="黑体" w:cs="黑体"/>
          <w:color w:val="000000"/>
          <w:sz w:val="32"/>
          <w:szCs w:val="32"/>
        </w:rPr>
        <w:t>、</w:t>
      </w:r>
      <w:r>
        <w:rPr>
          <w:rFonts w:hint="eastAsia" w:ascii="黑体" w:hAnsi="Times New Roman" w:eastAsia="黑体" w:cs="Times New Roman"/>
          <w:kern w:val="2"/>
          <w:sz w:val="28"/>
          <w:szCs w:val="28"/>
          <w:lang w:val="en-US" w:eastAsia="zh-CN" w:bidi="ar-SA"/>
        </w:rPr>
        <w:t>绩效目标情况及分析</w:t>
      </w:r>
    </w:p>
    <w:p>
      <w:pPr>
        <w:pStyle w:val="21"/>
        <w:tabs>
          <w:tab w:val="left" w:pos="1618"/>
        </w:tabs>
        <w:spacing w:line="560" w:lineRule="exact"/>
        <w:ind w:firstLine="560" w:firstLineChars="200"/>
        <w:rPr>
          <w:rFonts w:ascii="楷体_GB2312" w:hAnsi="楷体_GB2312" w:eastAsia="楷体_GB2312" w:cs="楷体_GB2312"/>
          <w:sz w:val="28"/>
          <w:szCs w:val="28"/>
        </w:rPr>
      </w:pPr>
      <w:r>
        <w:rPr>
          <w:rFonts w:hint="eastAsia" w:ascii="楷体_GB2312" w:hAnsi="楷体_GB2312" w:eastAsia="楷体_GB2312" w:cs="楷体_GB2312"/>
          <w:color w:val="000000"/>
          <w:sz w:val="28"/>
          <w:szCs w:val="28"/>
        </w:rPr>
        <w:t>（一）绩效目标完成情况</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1.项目产出情况：按照预算标准，对每季度产生金额，按照实际发生量，进行补贴。保障了农村炊事用气的清洁、稳定，做到了液化石油气下乡的惠民、利民和便民。</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right="0" w:rightChars="0" w:firstLine="560" w:firstLineChars="200"/>
        <w:jc w:val="both"/>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2.项目效果：为广大农村用户提供了质优价廉的液化石油气，从源头杜绝了农村普遍存在的二甲醚现象，保障了用户权益，进一步实现密云区农村地区炊事气化的目标；同时，满足了本区内瓶装液化石油气居民用户的用气需求，达到两年全覆盖的巡检要求，减少家庭炊事产生的污染，保证偏远山区地区的液化石油气持续供应。</w:t>
      </w:r>
    </w:p>
    <w:p>
      <w:pPr>
        <w:pStyle w:val="21"/>
        <w:spacing w:line="560" w:lineRule="exact"/>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3.服务对象满意度：降低了农村用户的用气成本，实现门站24小时换气服务和工作日全天候开户服务，提升了用户的满意度。</w:t>
      </w:r>
    </w:p>
    <w:p>
      <w:pPr>
        <w:pStyle w:val="21"/>
        <w:tabs>
          <w:tab w:val="left" w:pos="1618"/>
        </w:tabs>
        <w:spacing w:line="560" w:lineRule="exact"/>
        <w:ind w:firstLine="560" w:firstLineChars="200"/>
        <w:rPr>
          <w:rFonts w:hint="eastAsia" w:ascii="仿宋_GB2312" w:hAnsi="Times New Roman" w:eastAsia="仿宋_GB2312" w:cs="Times New Roman"/>
          <w:kern w:val="2"/>
          <w:sz w:val="28"/>
          <w:szCs w:val="28"/>
          <w:lang w:val="en-US" w:eastAsia="zh-CN" w:bidi="ar-SA"/>
        </w:rPr>
      </w:pPr>
      <w:bookmarkStart w:id="3" w:name="bookmark39"/>
      <w:r>
        <w:rPr>
          <w:rFonts w:hint="eastAsia" w:ascii="仿宋_GB2312" w:hAnsi="Times New Roman" w:eastAsia="仿宋_GB2312" w:cs="Times New Roman"/>
          <w:kern w:val="2"/>
          <w:sz w:val="28"/>
          <w:szCs w:val="28"/>
          <w:lang w:val="en-US" w:eastAsia="zh-CN" w:bidi="ar-SA"/>
        </w:rPr>
        <w:t>（</w:t>
      </w:r>
      <w:bookmarkEnd w:id="3"/>
      <w:r>
        <w:rPr>
          <w:rFonts w:hint="eastAsia" w:ascii="仿宋_GB2312" w:hAnsi="Times New Roman" w:eastAsia="仿宋_GB2312" w:cs="Times New Roman"/>
          <w:kern w:val="2"/>
          <w:sz w:val="28"/>
          <w:szCs w:val="28"/>
          <w:lang w:val="en-US" w:eastAsia="zh-CN" w:bidi="ar-SA"/>
        </w:rPr>
        <w:t>二）原因分析</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jc w:val="both"/>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目前，区级财政资金补充不足，造成部分液化石油气补贴资金工作滞后。</w:t>
      </w:r>
    </w:p>
    <w:p>
      <w:pPr>
        <w:pStyle w:val="21"/>
        <w:tabs>
          <w:tab w:val="left" w:pos="1276"/>
        </w:tabs>
        <w:spacing w:line="560" w:lineRule="exact"/>
        <w:ind w:firstLine="560" w:firstLineChars="200"/>
        <w:rPr>
          <w:rFonts w:ascii="黑体" w:hAnsi="黑体" w:eastAsia="黑体" w:cs="黑体"/>
          <w:color w:val="000000"/>
          <w:sz w:val="32"/>
          <w:szCs w:val="32"/>
        </w:rPr>
      </w:pPr>
      <w:bookmarkStart w:id="4" w:name="bookmark40"/>
      <w:r>
        <w:rPr>
          <w:rFonts w:hint="eastAsia" w:ascii="黑体" w:hAnsi="黑体" w:eastAsia="黑体" w:cs="黑体"/>
          <w:color w:val="000000"/>
          <w:sz w:val="28"/>
          <w:szCs w:val="28"/>
        </w:rPr>
        <w:t>四</w:t>
      </w:r>
      <w:bookmarkEnd w:id="4"/>
      <w:r>
        <w:rPr>
          <w:rFonts w:hint="eastAsia" w:ascii="黑体" w:hAnsi="黑体" w:eastAsia="黑体" w:cs="黑体"/>
          <w:color w:val="000000"/>
          <w:sz w:val="32"/>
          <w:szCs w:val="32"/>
          <w:lang w:eastAsia="zh-CN"/>
        </w:rPr>
        <w:t>、</w:t>
      </w:r>
      <w:r>
        <w:rPr>
          <w:rFonts w:hint="eastAsia" w:ascii="黑体" w:hAnsi="Times New Roman" w:eastAsia="黑体" w:cs="Times New Roman"/>
          <w:kern w:val="2"/>
          <w:sz w:val="28"/>
          <w:szCs w:val="28"/>
          <w:lang w:val="en-US" w:eastAsia="zh-CN" w:bidi="ar-SA"/>
        </w:rPr>
        <w:t>意见和建议</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1.根据现有政策，综合考虑外来人口租房、分家未分户等实际情况，细化开户、分户的标准，加强各部门之间的沟通合作，全方位、多角度的完善民用液化石油气补贴政策。</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default"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2.由市级管理部门聘请专业技术人员对北京市液化石油气有限公司数据管理系统实施数据监管，并将各区数据反馈至各区城市管理委员会，保证民用液化石油气补贴基础数据的真实、准确，减轻地方政府财政压力。</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3.建议区政府每季度对液化石油气进行补贴，提高液化石油气补贴效率，缓解企业承担的供应压力，保障居民用气稳定供应。</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p>
    <w:p>
      <w:pPr>
        <w:pStyle w:val="2"/>
        <w:rPr>
          <w:rFonts w:hint="eastAsia" w:ascii="仿宋_GB2312" w:hAnsi="仿宋_GB2312" w:eastAsia="仿宋_GB2312" w:cs="仿宋_GB2312"/>
          <w:sz w:val="32"/>
          <w:szCs w:val="32"/>
        </w:rPr>
      </w:pPr>
      <w:r>
        <w:rPr>
          <w:rFonts w:hint="eastAsia" w:ascii="楷体" w:hAnsi="楷体" w:eastAsia="楷体" w:cs="楷体"/>
          <w:b/>
          <w:bCs/>
          <w:kern w:val="2"/>
          <w:sz w:val="32"/>
          <w:szCs w:val="32"/>
          <w:lang w:val="en-US" w:eastAsia="zh-CN" w:bidi="ar-SA"/>
        </w:rPr>
        <w:t>密云区电动自行车集中充电设施建设项目支出绩效目标评价报告</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黑体" w:hAnsi="黑体" w:eastAsia="黑体" w:cs="仿宋_GB2312"/>
          <w:color w:val="auto"/>
          <w:sz w:val="32"/>
          <w:szCs w:val="32"/>
        </w:rPr>
      </w:pPr>
      <w:r>
        <w:rPr>
          <w:rFonts w:hint="eastAsia" w:ascii="黑体" w:hAnsi="黑体" w:eastAsia="黑体" w:cs="仿宋_GB2312"/>
          <w:color w:val="auto"/>
          <w:sz w:val="28"/>
          <w:szCs w:val="28"/>
        </w:rPr>
        <w:t>一</w:t>
      </w:r>
      <w:r>
        <w:rPr>
          <w:rFonts w:hint="eastAsia" w:ascii="黑体" w:hAnsi="黑体" w:eastAsia="黑体" w:cs="仿宋_GB2312"/>
          <w:color w:val="auto"/>
          <w:sz w:val="32"/>
          <w:szCs w:val="32"/>
        </w:rPr>
        <w:t>、</w:t>
      </w:r>
      <w:r>
        <w:rPr>
          <w:rFonts w:hint="eastAsia" w:ascii="黑体" w:hAnsi="Times New Roman" w:eastAsia="黑体" w:cs="Times New Roman"/>
          <w:kern w:val="2"/>
          <w:sz w:val="28"/>
          <w:szCs w:val="28"/>
          <w:lang w:val="en-US" w:eastAsia="zh-CN" w:bidi="ar-SA"/>
        </w:rPr>
        <w:t>基本情况</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（一）项目概况</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市财政下达我区的密云区电动自行车集中充电设施建设项目转移支付预算62.3514万元，我区需于2022年度完成13000个充电接口的建设，经统计各建设企业累计建设充电设施接口18355个，已将62.3514万元资金全部用于充电设施建设运营。</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（二）项目绩效目标</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firstLine="560" w:firstLineChars="200"/>
        <w:textAlignment w:val="auto"/>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2022年完成年度13000个充电接口的建设。</w:t>
      </w:r>
    </w:p>
    <w:p>
      <w:pPr>
        <w:spacing w:line="560" w:lineRule="exact"/>
        <w:ind w:firstLine="560" w:firstLineChars="200"/>
        <w:rPr>
          <w:rFonts w:hint="eastAsia" w:ascii="仿宋_GB2312" w:hAnsi="仿宋_GB2312" w:eastAsia="仿宋_GB2312" w:cs="仿宋_GB2312"/>
          <w:sz w:val="32"/>
          <w:szCs w:val="32"/>
        </w:rPr>
      </w:pPr>
      <w:r>
        <w:rPr>
          <w:rFonts w:hint="eastAsia" w:ascii="黑体" w:hAnsi="黑体" w:eastAsia="黑体" w:cs="黑体"/>
          <w:sz w:val="28"/>
          <w:szCs w:val="28"/>
        </w:rPr>
        <w:t>二</w:t>
      </w:r>
      <w:r>
        <w:rPr>
          <w:rFonts w:hint="eastAsia" w:ascii="黑体" w:hAnsi="黑体" w:eastAsia="黑体" w:cs="黑体"/>
          <w:sz w:val="32"/>
          <w:szCs w:val="32"/>
        </w:rPr>
        <w:t>、</w:t>
      </w:r>
      <w:r>
        <w:rPr>
          <w:rFonts w:hint="eastAsia" w:ascii="黑体" w:hAnsi="Times New Roman" w:eastAsia="黑体" w:cs="Times New Roman"/>
          <w:kern w:val="2"/>
          <w:sz w:val="28"/>
          <w:szCs w:val="28"/>
          <w:lang w:val="en-US" w:eastAsia="zh-CN" w:bidi="ar-SA"/>
        </w:rPr>
        <w:t>绩效评价工作开展情况</w:t>
      </w:r>
    </w:p>
    <w:p>
      <w:pPr>
        <w:spacing w:line="560" w:lineRule="exact"/>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（一）绩效评价目的、对象和范围</w:t>
      </w:r>
    </w:p>
    <w:p>
      <w:pPr>
        <w:pStyle w:val="4"/>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针对密云区电动自行车集中充电设施建设项目2022年建设13000个充电接口的年度目标，对其决策指标、产出指标、效益指标、满意度指标进行评价。</w:t>
      </w:r>
    </w:p>
    <w:p>
      <w:pPr>
        <w:spacing w:line="560" w:lineRule="exact"/>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（二）绩效评价原则、评价指标体系（附件3）、评价方法、评价标准</w:t>
      </w:r>
    </w:p>
    <w:p>
      <w:pPr>
        <w:spacing w:line="560" w:lineRule="exact"/>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根据《北京市城市管理委员会 北京市财政局关于印发北京市居住区电动自行车充电设施建设项目以奖代补管理办法的通知》（京管办发〔2022〕281号）文件要求,对密云区电动自行车集中充电设施建设项目2022年建设13000个充电接口的年度目标开展评价。其中，产出指标包括数量指标：项目建设成果≥13000个充电接口；质量指标：项目完成质量符合《北京市居住区电动自行车充电设施建设项目以奖代补管理办法实施细则》要求；成果质量达标率≥100%，时效指标：完成建设目标≥13000个充电接口；成本指标：预算成本控制62.3514万元。效益包括社会效益指标：增加室外充电设施数量持续提高；可持续影响指标：提升市民室外安全充电意识持续提高。满意度指标：包括服务对象满意度指标：受益对象满意度≥95%、社会认可度≥95%。</w:t>
      </w:r>
    </w:p>
    <w:p>
      <w:pPr>
        <w:spacing w:line="560" w:lineRule="exact"/>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（三）绩效评价工作过程</w:t>
      </w:r>
    </w:p>
    <w:p>
      <w:pPr>
        <w:pStyle w:val="4"/>
        <w:rPr>
          <w:rFonts w:hint="default"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 xml:space="preserve">    根据各项绩效指标的年度指标值，结合实际完成情况开展评价工作。因各项指标任务均达标，最终评分为100分。</w:t>
      </w:r>
    </w:p>
    <w:p>
      <w:pPr>
        <w:spacing w:line="560" w:lineRule="exact"/>
        <w:ind w:firstLine="560" w:firstLineChars="200"/>
        <w:rPr>
          <w:rFonts w:hint="eastAsia" w:ascii="黑体" w:hAnsi="黑体" w:eastAsia="黑体" w:cs="黑体"/>
          <w:color w:val="000000"/>
          <w:kern w:val="2"/>
          <w:sz w:val="32"/>
          <w:szCs w:val="32"/>
          <w:lang w:val="en-US" w:eastAsia="zh-CN" w:bidi="zh-TW"/>
        </w:rPr>
      </w:pPr>
      <w:r>
        <w:rPr>
          <w:rFonts w:hint="eastAsia" w:ascii="黑体" w:hAnsi="黑体" w:eastAsia="黑体" w:cs="黑体"/>
          <w:color w:val="000000"/>
          <w:kern w:val="2"/>
          <w:sz w:val="28"/>
          <w:szCs w:val="28"/>
          <w:lang w:val="en-US" w:eastAsia="zh-CN" w:bidi="zh-TW"/>
        </w:rPr>
        <w:t>三</w:t>
      </w:r>
      <w:r>
        <w:rPr>
          <w:rFonts w:hint="eastAsia" w:ascii="黑体" w:hAnsi="黑体" w:eastAsia="黑体" w:cs="黑体"/>
          <w:color w:val="000000"/>
          <w:kern w:val="2"/>
          <w:sz w:val="32"/>
          <w:szCs w:val="32"/>
          <w:lang w:val="en-US" w:eastAsia="zh-CN" w:bidi="zh-TW"/>
        </w:rPr>
        <w:t>、</w:t>
      </w:r>
      <w:r>
        <w:rPr>
          <w:rFonts w:hint="eastAsia" w:ascii="黑体" w:hAnsi="Times New Roman" w:eastAsia="黑体" w:cs="Times New Roman"/>
          <w:kern w:val="2"/>
          <w:sz w:val="28"/>
          <w:szCs w:val="28"/>
          <w:lang w:val="en-US" w:eastAsia="zh-CN" w:bidi="ar-SA"/>
        </w:rPr>
        <w:t>综合评价情况及评价结论（附件6）</w:t>
      </w:r>
    </w:p>
    <w:p>
      <w:pPr>
        <w:pStyle w:val="4"/>
        <w:ind w:firstLine="560" w:firstLineChars="200"/>
        <w:rPr>
          <w:rFonts w:hint="default"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经本部门评价，密云区电动自行车集中充电设施建设项目2023年度绩效自评得分为100分，等级为优。</w:t>
      </w:r>
    </w:p>
    <w:p>
      <w:pPr>
        <w:spacing w:line="560" w:lineRule="exact"/>
        <w:ind w:firstLine="560" w:firstLineChars="200"/>
        <w:rPr>
          <w:rFonts w:hint="eastAsia" w:ascii="黑体" w:hAnsi="Times New Roman" w:eastAsia="黑体" w:cs="Times New Roman"/>
          <w:kern w:val="2"/>
          <w:sz w:val="28"/>
          <w:szCs w:val="28"/>
          <w:lang w:val="en-US" w:eastAsia="zh-CN" w:bidi="ar-SA"/>
        </w:rPr>
      </w:pPr>
      <w:r>
        <w:rPr>
          <w:rFonts w:hint="eastAsia" w:ascii="黑体" w:hAnsi="黑体" w:eastAsia="黑体" w:cs="黑体"/>
          <w:color w:val="000000"/>
          <w:kern w:val="2"/>
          <w:sz w:val="28"/>
          <w:szCs w:val="28"/>
          <w:lang w:val="en-US" w:eastAsia="zh-CN" w:bidi="zh-TW"/>
        </w:rPr>
        <w:t>四</w:t>
      </w:r>
      <w:r>
        <w:rPr>
          <w:rFonts w:hint="eastAsia" w:ascii="黑体" w:hAnsi="黑体" w:eastAsia="黑体" w:cs="黑体"/>
          <w:color w:val="000000"/>
          <w:kern w:val="2"/>
          <w:sz w:val="32"/>
          <w:szCs w:val="32"/>
          <w:lang w:val="en-US" w:eastAsia="zh-CN" w:bidi="zh-TW"/>
        </w:rPr>
        <w:t>、</w:t>
      </w:r>
      <w:r>
        <w:rPr>
          <w:rFonts w:hint="eastAsia" w:ascii="黑体" w:hAnsi="Times New Roman" w:eastAsia="黑体" w:cs="Times New Roman"/>
          <w:kern w:val="2"/>
          <w:sz w:val="28"/>
          <w:szCs w:val="28"/>
          <w:lang w:val="en-US" w:eastAsia="zh-CN" w:bidi="ar-SA"/>
        </w:rPr>
        <w:t>绩效评价指标分析</w:t>
      </w:r>
    </w:p>
    <w:p>
      <w:pPr>
        <w:spacing w:line="560" w:lineRule="exact"/>
        <w:ind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（一）项目决策情况</w:t>
      </w:r>
    </w:p>
    <w:p>
      <w:pPr>
        <w:pStyle w:val="4"/>
        <w:ind w:firstLine="560" w:firstLineChars="20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2023年年度资金总额年初预算数为62.3514万元，全年预算数为62.3514万元，全年执行数为62.3514万元，预算执行率100%，得分为10分。其中，当年财政拨款年初预算数为62.3514万元，全年预算数为62.3514万元，全年执行数为62.3514万元，预算执行率100%。</w:t>
      </w:r>
    </w:p>
    <w:p>
      <w:pPr>
        <w:spacing w:line="560" w:lineRule="exact"/>
        <w:ind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（二）项目产出情况</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default"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项目建设成果：指标值为建设≥13000个充电接口，全年实际完成值为建设18355个充电接口，分值10分，得分10分。</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项目完成质量：指标值为符合《密云区电动自行车集中充电设施建设项目以奖代补管理办法实施细则》要求，全年实际完成值为符合《密云区电动自行车集中充电设施建设项目以奖代补管理办法实施细则》要求，分值10分，得分10分。</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成果质量达标率：指标值为质量达标率≥100%，全年实际完成值为质量达标率141%，分值10分，得分10分。</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完成建设目标：指标值为完成≥13000个充电接口建设，全年实际完成值为完成建设18355个充电接口，分值10分，得分10分。</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预算成本控制：指标值为62.351414万元，全年实际完成值为62.351414万元，分值10分，得分10分。</w:t>
      </w:r>
    </w:p>
    <w:p>
      <w:pPr>
        <w:spacing w:line="560" w:lineRule="exact"/>
        <w:ind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（三）项目效益情况</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增加室外充电设施数量：指标值为持续提高，全年实际完成值为持续提高，分值10分，得分10分。</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提升市民室外安全充电意识：指标值为持续提高，全年实际完成值为持续提高，分值10分，得分10分。</w:t>
      </w:r>
    </w:p>
    <w:p>
      <w:pPr>
        <w:pStyle w:val="4"/>
        <w:ind w:left="0" w:leftChars="0" w:firstLine="0" w:firstLineChars="0"/>
        <w:rPr>
          <w:rFonts w:hint="default"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 xml:space="preserve">    （四）项目满意度情况</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受益对象满意度：指标值为居民满意度≥95%，全年实际完成值为居民满意度≥95%，分值10分，得分10分。</w:t>
      </w:r>
    </w:p>
    <w:p>
      <w:pPr>
        <w:keepNext w:val="0"/>
        <w:keepLines w:val="0"/>
        <w:pageBreakBefore w:val="0"/>
        <w:suppressAutoHyphens/>
        <w:kinsoku/>
        <w:wordWrap/>
        <w:overflowPunct/>
        <w:topLinePunct w:val="0"/>
        <w:autoSpaceDE/>
        <w:autoSpaceDN/>
        <w:bidi w:val="0"/>
        <w:adjustRightInd/>
        <w:spacing w:line="560" w:lineRule="exact"/>
        <w:ind w:left="0" w:leftChars="0" w:firstLine="560" w:firstLineChars="200"/>
        <w:outlineLvl w:val="0"/>
        <w:rPr>
          <w:rFonts w:hint="eastAsia" w:ascii="仿宋_GB2312" w:hAnsi="Times New Roman" w:eastAsia="仿宋_GB2312" w:cs="Times New Roman"/>
          <w:kern w:val="2"/>
          <w:sz w:val="28"/>
          <w:szCs w:val="28"/>
          <w:lang w:val="en-US" w:eastAsia="zh-CN" w:bidi="ar-SA"/>
        </w:rPr>
      </w:pPr>
      <w:r>
        <w:rPr>
          <w:rFonts w:hint="eastAsia" w:ascii="仿宋_GB2312" w:hAnsi="Times New Roman" w:eastAsia="仿宋_GB2312" w:cs="Times New Roman"/>
          <w:kern w:val="2"/>
          <w:sz w:val="28"/>
          <w:szCs w:val="28"/>
          <w:lang w:val="en-US" w:eastAsia="zh-CN" w:bidi="ar-SA"/>
        </w:rPr>
        <w:t>社会认可度：指标值为社会认可度≥95%，全年实际完成值为社会认可度≥95%，分值10分，得分10分。</w:t>
      </w:r>
    </w:p>
    <w:p>
      <w:pPr>
        <w:pStyle w:val="2"/>
        <w:rPr>
          <w:rFonts w:hint="eastAsia"/>
        </w:rPr>
      </w:pPr>
    </w:p>
    <w:p>
      <w:pPr>
        <w:numPr>
          <w:ilvl w:val="0"/>
          <w:numId w:val="2"/>
        </w:numPr>
        <w:ind w:left="-10" w:leftChars="0" w:firstLine="640" w:firstLineChars="0"/>
        <w:rPr>
          <w:rFonts w:hint="eastAsia" w:ascii="黑体" w:eastAsia="黑体"/>
          <w:sz w:val="28"/>
          <w:szCs w:val="28"/>
          <w:lang w:eastAsia="zh-CN"/>
        </w:rPr>
      </w:pPr>
      <w:r>
        <w:rPr>
          <w:rFonts w:hint="eastAsia" w:ascii="黑体" w:eastAsia="黑体"/>
          <w:sz w:val="28"/>
          <w:szCs w:val="28"/>
        </w:rPr>
        <w:t>项目</w:t>
      </w:r>
      <w:r>
        <w:rPr>
          <w:rFonts w:ascii="黑体" w:eastAsia="黑体"/>
          <w:sz w:val="28"/>
          <w:szCs w:val="28"/>
        </w:rPr>
        <w:t>支出绩效自评表</w:t>
      </w:r>
      <w:r>
        <w:rPr>
          <w:rFonts w:hint="eastAsia" w:ascii="黑体" w:eastAsia="黑体"/>
          <w:sz w:val="28"/>
          <w:szCs w:val="28"/>
          <w:lang w:eastAsia="zh-CN"/>
        </w:rPr>
        <w:t>（详见附件）</w:t>
      </w:r>
    </w:p>
    <w:tbl>
      <w:tblPr>
        <w:tblStyle w:val="11"/>
        <w:tblW w:w="1312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080"/>
        <w:gridCol w:w="750"/>
        <w:gridCol w:w="1080"/>
        <w:gridCol w:w="1350"/>
        <w:gridCol w:w="1405"/>
        <w:gridCol w:w="570"/>
        <w:gridCol w:w="1114"/>
        <w:gridCol w:w="1260"/>
        <w:gridCol w:w="480"/>
        <w:gridCol w:w="1080"/>
        <w:gridCol w:w="495"/>
        <w:gridCol w:w="1080"/>
        <w:gridCol w:w="315"/>
        <w:gridCol w:w="10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140" w:hRule="atLeast"/>
        </w:trPr>
        <w:tc>
          <w:tcPr>
            <w:tcW w:w="13139" w:type="dxa"/>
            <w:gridSpan w:val="14"/>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ascii="方正小标宋简体" w:hAnsi="方正小标宋简体" w:eastAsia="方正小标宋简体" w:cs="方正小标宋简体"/>
                <w:b/>
                <w:i w:val="0"/>
                <w:color w:val="000000"/>
                <w:sz w:val="36"/>
                <w:szCs w:val="36"/>
                <w:u w:val="none"/>
              </w:rPr>
            </w:pPr>
            <w:r>
              <w:rPr>
                <w:rFonts w:hint="eastAsia" w:ascii="方正小标宋简体" w:hAnsi="方正小标宋简体" w:eastAsia="方正小标宋简体" w:cs="方正小标宋简体"/>
                <w:b/>
                <w:i w:val="0"/>
                <w:color w:val="000000"/>
                <w:kern w:val="0"/>
                <w:sz w:val="36"/>
                <w:szCs w:val="36"/>
                <w:u w:val="none"/>
                <w:lang w:val="en-US" w:eastAsia="zh-CN" w:bidi="ar"/>
              </w:rPr>
              <w:t xml:space="preserve">        </w:t>
            </w:r>
            <w:r>
              <w:rPr>
                <w:rFonts w:hint="eastAsia" w:ascii="楷体" w:hAnsi="楷体" w:eastAsia="楷体" w:cs="楷体"/>
                <w:b/>
                <w:bCs/>
                <w:kern w:val="2"/>
                <w:sz w:val="32"/>
                <w:szCs w:val="32"/>
                <w:lang w:val="en-US" w:eastAsia="zh-CN" w:bidi="ar-SA"/>
              </w:rPr>
              <w:t xml:space="preserve"> 区域锅炉房居民供热补贴项目支出绩效自评表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0" w:type="auto"/>
            <w:gridSpan w:val="14"/>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ascii="仿宋_GB2312" w:hAnsi="宋体" w:eastAsia="仿宋_GB2312" w:cs="仿宋_GB2312"/>
                <w:i w:val="0"/>
                <w:color w:val="000000"/>
                <w:sz w:val="28"/>
                <w:szCs w:val="28"/>
                <w:u w:val="none"/>
              </w:rPr>
            </w:pPr>
            <w:r>
              <w:rPr>
                <w:rFonts w:hint="eastAsia" w:ascii="仿宋_GB2312" w:hAnsi="宋体" w:eastAsia="仿宋_GB2312" w:cs="仿宋_GB2312"/>
                <w:i w:val="0"/>
                <w:color w:val="000000"/>
                <w:kern w:val="0"/>
                <w:sz w:val="28"/>
                <w:szCs w:val="28"/>
                <w:u w:val="none"/>
                <w:lang w:val="en-US" w:eastAsia="zh-CN" w:bidi="ar"/>
              </w:rPr>
              <w:t xml:space="preserve">                         （ 2023   年度）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项目名称</w:t>
            </w:r>
          </w:p>
        </w:tc>
        <w:tc>
          <w:tcPr>
            <w:tcW w:w="11309" w:type="dxa"/>
            <w:gridSpan w:val="1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区域锅炉房居民供热补贴（含提前供热补贴）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主管部门</w:t>
            </w:r>
          </w:p>
        </w:tc>
        <w:tc>
          <w:tcPr>
            <w:tcW w:w="5519"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密云区城市管理委员会</w:t>
            </w: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实施单位</w:t>
            </w:r>
          </w:p>
        </w:tc>
        <w:tc>
          <w:tcPr>
            <w:tcW w:w="4050"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密云区供热事务中心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项目负责人</w:t>
            </w:r>
          </w:p>
        </w:tc>
        <w:tc>
          <w:tcPr>
            <w:tcW w:w="5519"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周楠</w:t>
            </w: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联系电话</w:t>
            </w:r>
          </w:p>
        </w:tc>
        <w:tc>
          <w:tcPr>
            <w:tcW w:w="4050"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69065524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项目资金</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（万元）</w:t>
            </w: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年初预算数</w:t>
            </w:r>
          </w:p>
        </w:tc>
        <w:tc>
          <w:tcPr>
            <w:tcW w:w="168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全年预算数</w:t>
            </w: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全年执行数</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分值</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执行率</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得分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8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both"/>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年度资金总额</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5804.3834</w:t>
            </w:r>
          </w:p>
        </w:tc>
        <w:tc>
          <w:tcPr>
            <w:tcW w:w="168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6834.9663</w:t>
            </w: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6834.9663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4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其中：当年财政拨款</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5804.3834</w:t>
            </w:r>
          </w:p>
        </w:tc>
        <w:tc>
          <w:tcPr>
            <w:tcW w:w="168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6834.9663</w:t>
            </w: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6834.9663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      上年结转资金</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68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  其他资金</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68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74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年度总体目标</w:t>
            </w:r>
          </w:p>
        </w:tc>
        <w:tc>
          <w:tcPr>
            <w:tcW w:w="6269"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预期目标</w:t>
            </w:r>
          </w:p>
        </w:tc>
        <w:tc>
          <w:tcPr>
            <w:tcW w:w="5790"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实际完成情况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40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6269"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目标1：缓解供热单位运行压力，促进供热单位进一步节能降耗，降低供热运行成本。</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目标2：对供热单位从安全、服务、节能等方面进行考核。</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目标3: 将考核与补贴挂钩。</w:t>
            </w:r>
          </w:p>
        </w:tc>
        <w:tc>
          <w:tcPr>
            <w:tcW w:w="5790"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供热补贴的及时发放有效缓解了供热单位运行检修资金压力，促进供热单位进一步节能降耗，降低供热运行成本；密云区城管委依据市城管委相关文件拟制订密云区供热考核实施方案，计划将考核与供热补贴挂钩。本着“奖优罚劣”原则，对供热单位整体情况进行规范化、系统化、数据化、透明化考核。引导供热行业管理机制改革和创新，确保供热行业安全稳定运行，促进供热节能降耗，切实提高供热质量和服务管理水平，使密云区广大用户切实增加满意度和幸福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540" w:hRule="atLeast"/>
        </w:trPr>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绩效指标</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一级指标</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二级指标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三级指标</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年度指标值</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实际完成值</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分值</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得分</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偏差原因分析及改进措施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产出指标</w:t>
            </w: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数量指标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指标1：区域锅炉房数量</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22</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22 </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指标2：区域锅炉房居民供热面积</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1216万平米</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1216万平米</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质量指标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指标1：采暖季居民室内温度达标率</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符合现行国家住宅设计规范要求</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符合</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指标2：对供热单位服务质量进行考核</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全部达标</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全部达标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指标3：采暖季时间</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当年11月15日至次年3月15日，市政府可根据气象等情况调整时间</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2023年11月6日至2024年3月15日</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6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时效指标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指标1：2022-2023年采暖季补贴清算资金拨付时间</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第3季度拨付</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9月完成清算</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4</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4</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指标2:2023-2024年采暖季补贴预拨资金拨付时间</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第4季度拨付</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9月完成预拨</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4</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4</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4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成本指标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指标1：2022-2023年采暖季补贴清算金额</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不高于预算30%</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指标2：2023-2024年采暖季补贴预拨金额</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不低于预算40%</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效益指标</w:t>
            </w:r>
          </w:p>
        </w:tc>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经济效益</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0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社会效益</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指标1：供热服务质量</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保障居民按时达标供热</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基本达标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供热单位服务质量还有进一步提升的空间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生态效益</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指标1：掌握供热单位能源消耗数据</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详细了解企业能源消耗量</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达到目标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可持续影响指标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指标1：供热企业运营</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通过发放补贴，缓解由燃料价格、人员成本等不断上涨造成的供热单位运营压力，有利于企业可持续发展</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达到目标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6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满意度指标</w:t>
            </w: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服务对象满意度标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指标1：供热单位满意度</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ascii="Arial" w:hAnsi="Arial" w:eastAsia="宋体" w:cs="Arial"/>
                <w:i w:val="0"/>
                <w:color w:val="000000"/>
                <w:sz w:val="24"/>
                <w:szCs w:val="24"/>
                <w:u w:val="none"/>
              </w:rPr>
            </w:pPr>
            <w:r>
              <w:rPr>
                <w:rFonts w:hint="default" w:ascii="Arial" w:hAnsi="Arial" w:eastAsia="宋体" w:cs="Arial"/>
                <w:i w:val="0"/>
                <w:color w:val="000000"/>
                <w:kern w:val="0"/>
                <w:sz w:val="24"/>
                <w:szCs w:val="24"/>
                <w:u w:val="none"/>
                <w:lang w:val="en-US" w:eastAsia="zh-CN" w:bidi="ar"/>
              </w:rPr>
              <w:t>≥90%</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指标2：居民满意度</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default" w:ascii="Arial" w:hAnsi="Arial" w:eastAsia="宋体" w:cs="Arial"/>
                <w:i w:val="0"/>
                <w:color w:val="000000"/>
                <w:sz w:val="24"/>
                <w:szCs w:val="24"/>
                <w:u w:val="none"/>
              </w:rPr>
            </w:pPr>
            <w:r>
              <w:rPr>
                <w:rFonts w:hint="default" w:ascii="Arial" w:hAnsi="Arial" w:eastAsia="宋体" w:cs="Arial"/>
                <w:i w:val="0"/>
                <w:color w:val="000000"/>
                <w:kern w:val="0"/>
                <w:sz w:val="24"/>
                <w:szCs w:val="24"/>
                <w:u w:val="none"/>
                <w:lang w:val="en-US" w:eastAsia="zh-CN" w:bidi="ar"/>
              </w:rPr>
              <w:t>≥85%</w:t>
            </w: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3</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11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00" w:hRule="atLeast"/>
        </w:trPr>
        <w:tc>
          <w:tcPr>
            <w:tcW w:w="8609" w:type="dxa"/>
            <w:gridSpan w:val="8"/>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总分</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98</w:t>
            </w:r>
          </w:p>
        </w:tc>
        <w:tc>
          <w:tcPr>
            <w:tcW w:w="0" w:type="auto"/>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bl>
    <w:p>
      <w:pPr>
        <w:pStyle w:val="2"/>
        <w:numPr>
          <w:ilvl w:val="0"/>
          <w:numId w:val="0"/>
        </w:numPr>
        <w:ind w:left="630" w:leftChars="0"/>
      </w:pPr>
    </w:p>
    <w:tbl>
      <w:tblPr>
        <w:tblStyle w:val="11"/>
        <w:tblW w:w="1408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080"/>
        <w:gridCol w:w="750"/>
        <w:gridCol w:w="1080"/>
        <w:gridCol w:w="1350"/>
        <w:gridCol w:w="1405"/>
        <w:gridCol w:w="214"/>
        <w:gridCol w:w="1778"/>
        <w:gridCol w:w="1907"/>
        <w:gridCol w:w="480"/>
        <w:gridCol w:w="1080"/>
        <w:gridCol w:w="495"/>
        <w:gridCol w:w="1080"/>
        <w:gridCol w:w="315"/>
        <w:gridCol w:w="10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140" w:hRule="atLeast"/>
        </w:trPr>
        <w:tc>
          <w:tcPr>
            <w:tcW w:w="14094" w:type="dxa"/>
            <w:gridSpan w:val="14"/>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ascii="方正小标宋简体" w:hAnsi="方正小标宋简体" w:eastAsia="方正小标宋简体" w:cs="方正小标宋简体"/>
                <w:b/>
                <w:i w:val="0"/>
                <w:color w:val="000000"/>
                <w:sz w:val="36"/>
                <w:szCs w:val="36"/>
                <w:u w:val="none"/>
              </w:rPr>
            </w:pPr>
            <w:r>
              <w:rPr>
                <w:rFonts w:hint="eastAsia" w:ascii="方正小标宋简体" w:hAnsi="方正小标宋简体" w:eastAsia="方正小标宋简体" w:cs="方正小标宋简体"/>
                <w:b/>
                <w:i w:val="0"/>
                <w:color w:val="000000"/>
                <w:kern w:val="0"/>
                <w:sz w:val="36"/>
                <w:szCs w:val="36"/>
                <w:u w:val="none"/>
                <w:lang w:val="en-US" w:eastAsia="zh-CN" w:bidi="ar"/>
              </w:rPr>
              <w:t xml:space="preserve">        </w:t>
            </w:r>
            <w:r>
              <w:rPr>
                <w:rFonts w:hint="eastAsia" w:ascii="楷体" w:hAnsi="楷体" w:eastAsia="楷体" w:cs="楷体"/>
                <w:b/>
                <w:bCs/>
                <w:kern w:val="2"/>
                <w:sz w:val="32"/>
                <w:szCs w:val="32"/>
                <w:lang w:val="en-US" w:eastAsia="zh-CN" w:bidi="ar-SA"/>
              </w:rPr>
              <w:t xml:space="preserve"> 液化气下乡项目支出绩效自评表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0" w:type="auto"/>
            <w:gridSpan w:val="14"/>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ascii="仿宋_GB2312" w:hAnsi="宋体" w:eastAsia="仿宋_GB2312" w:cs="仿宋_GB2312"/>
                <w:i w:val="0"/>
                <w:color w:val="000000"/>
                <w:sz w:val="28"/>
                <w:szCs w:val="28"/>
                <w:u w:val="none"/>
              </w:rPr>
            </w:pPr>
            <w:r>
              <w:rPr>
                <w:rFonts w:hint="eastAsia" w:ascii="仿宋_GB2312" w:hAnsi="宋体" w:eastAsia="仿宋_GB2312" w:cs="仿宋_GB2312"/>
                <w:i w:val="0"/>
                <w:color w:val="000000"/>
                <w:kern w:val="0"/>
                <w:sz w:val="28"/>
                <w:szCs w:val="28"/>
                <w:u w:val="none"/>
                <w:lang w:val="en-US" w:eastAsia="zh-CN" w:bidi="ar"/>
              </w:rPr>
              <w:t xml:space="preserve">  （2023年度）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项目名称</w:t>
            </w:r>
          </w:p>
        </w:tc>
        <w:tc>
          <w:tcPr>
            <w:tcW w:w="12264" w:type="dxa"/>
            <w:gridSpan w:val="1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液化气下乡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主管部门</w:t>
            </w:r>
          </w:p>
        </w:tc>
        <w:tc>
          <w:tcPr>
            <w:tcW w:w="5827"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能源事务中心（燃气）</w:t>
            </w: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实施单位</w:t>
            </w:r>
          </w:p>
        </w:tc>
        <w:tc>
          <w:tcPr>
            <w:tcW w:w="4050"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北京市液化石油气有限公司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项目负责人</w:t>
            </w:r>
          </w:p>
        </w:tc>
        <w:tc>
          <w:tcPr>
            <w:tcW w:w="5827"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蒋月昌</w:t>
            </w: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联系电话</w:t>
            </w:r>
          </w:p>
        </w:tc>
        <w:tc>
          <w:tcPr>
            <w:tcW w:w="4050"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69044966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项目资金</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（万元）</w:t>
            </w: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年初预算数</w:t>
            </w:r>
          </w:p>
        </w:tc>
        <w:tc>
          <w:tcPr>
            <w:tcW w:w="199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全年预算数</w:t>
            </w: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全年执行数</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分值</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执行率</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得分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8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both"/>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年度资金总额</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1343</w:t>
            </w:r>
          </w:p>
        </w:tc>
        <w:tc>
          <w:tcPr>
            <w:tcW w:w="199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1343</w:t>
            </w: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1343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4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其中：当年财政拨款</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1343</w:t>
            </w:r>
          </w:p>
        </w:tc>
        <w:tc>
          <w:tcPr>
            <w:tcW w:w="199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1343</w:t>
            </w: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1343</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      上年结转资金</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99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  其他资金</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99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387"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年度总体目标</w:t>
            </w:r>
          </w:p>
        </w:tc>
        <w:tc>
          <w:tcPr>
            <w:tcW w:w="6577"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预期目标</w:t>
            </w:r>
          </w:p>
        </w:tc>
        <w:tc>
          <w:tcPr>
            <w:tcW w:w="6437"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实际完成情况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40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6577"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按照《关于完善我市民用液化石油气补贴政策的请示》的补贴标准，结合2023年实际用气情况，及时完成民用液化石油气市级补贴资金拨付工作。</w:t>
            </w:r>
          </w:p>
        </w:tc>
        <w:tc>
          <w:tcPr>
            <w:tcW w:w="6437"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2023年年内共销售398284瓶液化石油气，按照预算标准，对每季度产生金额，按照实际发生量，进行补贴。2023年财政补贴资金为1343万元，已按要求全部拨付完成。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540" w:hRule="atLeast"/>
        </w:trPr>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绩效指标</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一级指标</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二级指标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三级指标</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年度指标值</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实际完成值</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分值</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得分</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偏差原因分析及改进措施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24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产出指标（50）</w:t>
            </w: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数量指标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市级补助（每瓶）</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平价气、送气下乡用户每瓶补助每瓶35元，城区平房区用户不补</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平价气、送气下乡用户每瓶补助每瓶35元，城区平房区用户不补</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20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区级补助（每瓶）</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平价气每瓶补助30元;送气下乡气用户每瓶补助15元、城区平房区用户每瓶补助50元</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平价气每瓶补助30元;送气下乡气用户每瓶补助15元、城区平房区用户每瓶补助50元</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90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补助瓶数</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按照2口人</w:t>
            </w:r>
            <w:r>
              <w:rPr>
                <w:rStyle w:val="26"/>
                <w:lang w:val="en-US" w:eastAsia="zh-CN" w:bidi="ar"/>
              </w:rPr>
              <w:t>∕</w:t>
            </w:r>
            <w:r>
              <w:rPr>
                <w:rStyle w:val="27"/>
                <w:rFonts w:hAnsi="宋体"/>
                <w:lang w:val="en-US" w:eastAsia="zh-CN" w:bidi="ar"/>
              </w:rPr>
              <w:t>户以下，每年供气量最高为6瓶；3口人</w:t>
            </w:r>
            <w:r>
              <w:rPr>
                <w:rStyle w:val="26"/>
                <w:lang w:val="en-US" w:eastAsia="zh-CN" w:bidi="ar"/>
              </w:rPr>
              <w:t>∕</w:t>
            </w:r>
            <w:r>
              <w:rPr>
                <w:rStyle w:val="27"/>
                <w:rFonts w:hAnsi="宋体"/>
                <w:lang w:val="en-US" w:eastAsia="zh-CN" w:bidi="ar"/>
              </w:rPr>
              <w:t>户以上，每年供气量最高为8瓶进行补贴</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按照补贴指标完成补贴</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94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质量指标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液化气气质</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符合国家和本市气质相关标准规范要求</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达到国家和本市相关标准规范要求</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74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场站安全运行况</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符合国家和本市场站运行相关标准规范要求，不合格情况已整改合格</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达到国家和本市相关标准规范要求</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8</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9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时效指标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补贴资金发放时间</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按照《密云区调整民用液化石油气补贴政策实施方案》要求，市区补贴资金应该年底前拨付至供应企业</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市级补贴资金已在12月前拨付完成</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6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成本指标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预算控制</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不超过预算批复金额</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按照市级资金预算，已全部拨付。</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06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效益指标（30）</w:t>
            </w: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经济效益</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满足本区内瓶装液化石油气居民用户的用气需求</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5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社会效益</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居民用气</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降低居民用气负担，保障本区平价气、平房区和送气下乡用户平稳用气</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达成年度目标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生态效益</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运营设备环保达标率100%</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环保达标100%</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5</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02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可持续影响指标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节能减排</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促进空气质量改善，未发现平价气和送气下乡用户弃用液化石油气且恢复使用燃煤情况</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达成年度目标</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22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满意度指标（10）</w:t>
            </w:r>
          </w:p>
        </w:tc>
        <w:tc>
          <w:tcPr>
            <w:tcW w:w="1080"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服务对象满意度标</w:t>
            </w:r>
          </w:p>
        </w:tc>
        <w:tc>
          <w:tcPr>
            <w:tcW w:w="2969"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补贴用户满意度</w:t>
            </w:r>
          </w:p>
        </w:tc>
        <w:tc>
          <w:tcPr>
            <w:tcW w:w="17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本区2023年度补贴用户满意度。</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00" w:hRule="atLeast"/>
        </w:trPr>
        <w:tc>
          <w:tcPr>
            <w:tcW w:w="9564" w:type="dxa"/>
            <w:gridSpan w:val="8"/>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总分</w:t>
            </w:r>
          </w:p>
        </w:tc>
        <w:tc>
          <w:tcPr>
            <w:tcW w:w="156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0" w:type="auto"/>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bl>
    <w:p>
      <w:pPr>
        <w:pStyle w:val="2"/>
        <w:numPr>
          <w:ilvl w:val="0"/>
          <w:numId w:val="0"/>
        </w:numPr>
        <w:ind w:left="630" w:leftChars="0"/>
      </w:pPr>
    </w:p>
    <w:p>
      <w:pPr>
        <w:pStyle w:val="2"/>
        <w:numPr>
          <w:ilvl w:val="0"/>
          <w:numId w:val="0"/>
        </w:numPr>
        <w:ind w:left="630" w:leftChars="0"/>
      </w:pPr>
    </w:p>
    <w:tbl>
      <w:tblPr>
        <w:tblStyle w:val="11"/>
        <w:tblW w:w="1384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080"/>
        <w:gridCol w:w="750"/>
        <w:gridCol w:w="1146"/>
        <w:gridCol w:w="1350"/>
        <w:gridCol w:w="1405"/>
        <w:gridCol w:w="570"/>
        <w:gridCol w:w="1534"/>
        <w:gridCol w:w="1499"/>
        <w:gridCol w:w="480"/>
        <w:gridCol w:w="864"/>
        <w:gridCol w:w="495"/>
        <w:gridCol w:w="1080"/>
        <w:gridCol w:w="315"/>
        <w:gridCol w:w="128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140" w:hRule="atLeast"/>
        </w:trPr>
        <w:tc>
          <w:tcPr>
            <w:tcW w:w="13856" w:type="dxa"/>
            <w:gridSpan w:val="14"/>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ascii="方正小标宋简体" w:hAnsi="方正小标宋简体" w:eastAsia="方正小标宋简体" w:cs="方正小标宋简体"/>
                <w:b/>
                <w:i w:val="0"/>
                <w:color w:val="000000"/>
                <w:sz w:val="36"/>
                <w:szCs w:val="36"/>
                <w:u w:val="none"/>
              </w:rPr>
            </w:pPr>
            <w:r>
              <w:rPr>
                <w:rFonts w:hint="eastAsia" w:ascii="楷体" w:hAnsi="楷体" w:eastAsia="楷体" w:cs="楷体"/>
                <w:b/>
                <w:bCs/>
                <w:kern w:val="2"/>
                <w:sz w:val="32"/>
                <w:szCs w:val="32"/>
                <w:lang w:val="en-US" w:eastAsia="zh-CN" w:bidi="ar-SA"/>
              </w:rPr>
              <w:t>密云区电动自行车集中充电设施建设项目支出绩效自评表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0" w:type="auto"/>
            <w:gridSpan w:val="14"/>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ascii="仿宋_GB2312" w:hAnsi="宋体" w:eastAsia="仿宋_GB2312" w:cs="仿宋_GB2312"/>
                <w:i w:val="0"/>
                <w:color w:val="000000"/>
                <w:sz w:val="28"/>
                <w:szCs w:val="28"/>
                <w:u w:val="none"/>
              </w:rPr>
            </w:pPr>
            <w:r>
              <w:rPr>
                <w:rFonts w:hint="eastAsia" w:ascii="仿宋_GB2312" w:hAnsi="宋体" w:eastAsia="仿宋_GB2312" w:cs="仿宋_GB2312"/>
                <w:i w:val="0"/>
                <w:color w:val="000000"/>
                <w:kern w:val="0"/>
                <w:sz w:val="28"/>
                <w:szCs w:val="28"/>
                <w:u w:val="none"/>
                <w:lang w:val="en-US" w:eastAsia="zh-CN" w:bidi="ar"/>
              </w:rPr>
              <w:t>（2023年度）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项目名称</w:t>
            </w:r>
          </w:p>
        </w:tc>
        <w:tc>
          <w:tcPr>
            <w:tcW w:w="12026" w:type="dxa"/>
            <w:gridSpan w:val="1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密云区电动自行车集中充电设施建设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60"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主管部门</w:t>
            </w:r>
          </w:p>
        </w:tc>
        <w:tc>
          <w:tcPr>
            <w:tcW w:w="6005"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北京市密云区城市管理委员会</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实施单位</w:t>
            </w:r>
          </w:p>
        </w:tc>
        <w:tc>
          <w:tcPr>
            <w:tcW w:w="4042"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北京云末科技服务有限公司、</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北京乾飞胤通信工程有限公司、</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北京绿星小绿人科技有限公司、</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利嘉新能源有限公司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项目负责人</w:t>
            </w:r>
          </w:p>
        </w:tc>
        <w:tc>
          <w:tcPr>
            <w:tcW w:w="6005"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张莉</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联系电话</w:t>
            </w:r>
          </w:p>
        </w:tc>
        <w:tc>
          <w:tcPr>
            <w:tcW w:w="4042"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13683193109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项目资金</w:t>
            </w:r>
            <w:r>
              <w:rPr>
                <w:rFonts w:hint="eastAsia" w:ascii="仿宋_GB2312" w:hAnsi="宋体" w:eastAsia="仿宋_GB2312" w:cs="仿宋_GB2312"/>
                <w:i w:val="0"/>
                <w:color w:val="000000"/>
                <w:kern w:val="0"/>
                <w:sz w:val="24"/>
                <w:szCs w:val="24"/>
                <w:u w:val="none"/>
                <w:lang w:val="en-US" w:eastAsia="zh-CN" w:bidi="ar"/>
              </w:rPr>
              <w:br w:type="textWrapping"/>
            </w:r>
            <w:r>
              <w:rPr>
                <w:rFonts w:hint="eastAsia" w:ascii="仿宋_GB2312" w:hAnsi="宋体" w:eastAsia="仿宋_GB2312" w:cs="仿宋_GB2312"/>
                <w:i w:val="0"/>
                <w:color w:val="000000"/>
                <w:kern w:val="0"/>
                <w:sz w:val="24"/>
                <w:szCs w:val="24"/>
                <w:u w:val="none"/>
                <w:lang w:val="en-US" w:eastAsia="zh-CN" w:bidi="ar"/>
              </w:rPr>
              <w:t>（万元）</w:t>
            </w:r>
          </w:p>
        </w:tc>
        <w:tc>
          <w:tcPr>
            <w:tcW w:w="249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年初预算数</w:t>
            </w:r>
          </w:p>
        </w:tc>
        <w:tc>
          <w:tcPr>
            <w:tcW w:w="210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全年预算数</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全年执行数</w:t>
            </w:r>
          </w:p>
        </w:tc>
        <w:tc>
          <w:tcPr>
            <w:tcW w:w="135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分值</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执行率</w:t>
            </w:r>
          </w:p>
        </w:tc>
        <w:tc>
          <w:tcPr>
            <w:tcW w:w="12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得分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8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9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both"/>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年度资金总额</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62.3514 </w:t>
            </w:r>
          </w:p>
        </w:tc>
        <w:tc>
          <w:tcPr>
            <w:tcW w:w="210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62.3514</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62.3514</w:t>
            </w:r>
          </w:p>
        </w:tc>
        <w:tc>
          <w:tcPr>
            <w:tcW w:w="135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4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9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其中：当年财政拨款</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62.3514 </w:t>
            </w:r>
          </w:p>
        </w:tc>
        <w:tc>
          <w:tcPr>
            <w:tcW w:w="210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62.3514</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62.3514</w:t>
            </w:r>
          </w:p>
        </w:tc>
        <w:tc>
          <w:tcPr>
            <w:tcW w:w="135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2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9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      上年结转资金</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0.00 </w:t>
            </w:r>
          </w:p>
        </w:tc>
        <w:tc>
          <w:tcPr>
            <w:tcW w:w="210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0.00 </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0.00 </w:t>
            </w:r>
          </w:p>
        </w:tc>
        <w:tc>
          <w:tcPr>
            <w:tcW w:w="135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2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8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249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  其他资金</w:t>
            </w:r>
          </w:p>
        </w:tc>
        <w:tc>
          <w:tcPr>
            <w:tcW w:w="14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0.00 </w:t>
            </w:r>
          </w:p>
        </w:tc>
        <w:tc>
          <w:tcPr>
            <w:tcW w:w="210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0.00 </w:t>
            </w:r>
          </w:p>
        </w:tc>
        <w:tc>
          <w:tcPr>
            <w:tcW w:w="197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 xml:space="preserve">0.00 </w:t>
            </w:r>
          </w:p>
        </w:tc>
        <w:tc>
          <w:tcPr>
            <w:tcW w:w="135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39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c>
          <w:tcPr>
            <w:tcW w:w="12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年度总体目标</w:t>
            </w:r>
          </w:p>
        </w:tc>
        <w:tc>
          <w:tcPr>
            <w:tcW w:w="6755"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预期目标</w:t>
            </w:r>
          </w:p>
        </w:tc>
        <w:tc>
          <w:tcPr>
            <w:tcW w:w="6021"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实际完成情况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40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6755"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2022年完成年度13000个充电接口的建设</w:t>
            </w:r>
          </w:p>
        </w:tc>
        <w:tc>
          <w:tcPr>
            <w:tcW w:w="6021"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已完成18355个充电接口建设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540" w:hRule="atLeast"/>
        </w:trPr>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绩效指标</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一级指标</w:t>
            </w:r>
          </w:p>
        </w:tc>
        <w:tc>
          <w:tcPr>
            <w:tcW w:w="114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二级指标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三级指标</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年度指标值</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实际完成值</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分值</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得分</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偏差原因分析及改进措施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产出指标</w:t>
            </w:r>
          </w:p>
        </w:tc>
        <w:tc>
          <w:tcPr>
            <w:tcW w:w="1146"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数量指标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指标1：项目建设成果</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≥13000个充电接口</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18355个充电接口</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36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146"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质量指标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指标1：项目完成质量</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符合《北京市居住区电动自行车充电设施建设项目以奖代补管理办法实施细则》要求</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符合《北京市居住区电动自行车充电设施建设项目以奖代补管理办法实施细则》要求</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35"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146"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指标2：成果质量达标率</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141%</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2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146"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时效指标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指标1：完成建设目标</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≥13000个充电接口</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18355个充电接口</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2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146"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成本指标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指标1：预算成本控制</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62.3514万元</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62.3514万元</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4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效益指标</w:t>
            </w:r>
          </w:p>
        </w:tc>
        <w:tc>
          <w:tcPr>
            <w:tcW w:w="1146"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社会效益</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指标1：增加室外充电设施数量</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持续提高</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持续提高</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8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146" w:type="dxa"/>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可持续影响指标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指标1：提升市民室外安全充电意识</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持续提高</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持续提高</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66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满意度指标</w:t>
            </w:r>
          </w:p>
        </w:tc>
        <w:tc>
          <w:tcPr>
            <w:tcW w:w="1146"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服务对象满意度指标</w:t>
            </w: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指标1：受益对象满意度</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≥95%</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≥95%</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80" w:hRule="atLeast"/>
        </w:trPr>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75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1146"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仿宋_GB2312" w:hAnsi="宋体" w:eastAsia="仿宋_GB2312" w:cs="仿宋_GB2312"/>
                <w:i w:val="0"/>
                <w:color w:val="000000"/>
                <w:sz w:val="24"/>
                <w:szCs w:val="24"/>
                <w:u w:val="none"/>
              </w:rPr>
            </w:pPr>
          </w:p>
        </w:tc>
        <w:tc>
          <w:tcPr>
            <w:tcW w:w="332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指标2：社会认可度</w:t>
            </w:r>
          </w:p>
        </w:tc>
        <w:tc>
          <w:tcPr>
            <w:tcW w:w="153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≥95%</w:t>
            </w:r>
          </w:p>
        </w:tc>
        <w:tc>
          <w:tcPr>
            <w:tcW w:w="149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≥95%</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w:t>
            </w:r>
          </w:p>
        </w:tc>
        <w:tc>
          <w:tcPr>
            <w:tcW w:w="160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00" w:hRule="atLeast"/>
        </w:trPr>
        <w:tc>
          <w:tcPr>
            <w:tcW w:w="9334" w:type="dxa"/>
            <w:gridSpan w:val="8"/>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总分</w:t>
            </w:r>
          </w:p>
        </w:tc>
        <w:tc>
          <w:tcPr>
            <w:tcW w:w="134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15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100</w:t>
            </w:r>
          </w:p>
        </w:tc>
        <w:tc>
          <w:tcPr>
            <w:tcW w:w="0" w:type="auto"/>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bl>
    <w:p>
      <w:pPr>
        <w:pStyle w:val="2"/>
        <w:numPr>
          <w:ilvl w:val="0"/>
          <w:numId w:val="0"/>
        </w:numPr>
        <w:ind w:left="630" w:leftChars="0"/>
      </w:pPr>
    </w:p>
    <w:p>
      <w:pPr>
        <w:ind w:firstLine="560" w:firstLineChars="200"/>
        <w:rPr>
          <w:rFonts w:hint="eastAsia" w:ascii="黑体" w:hAnsi="Times New Roman" w:eastAsia="黑体" w:cs="Times New Roman"/>
          <w:sz w:val="28"/>
          <w:szCs w:val="28"/>
          <w:lang w:eastAsia="zh-CN"/>
        </w:rPr>
      </w:pPr>
      <w:r>
        <w:rPr>
          <w:rFonts w:hint="eastAsia" w:ascii="黑体" w:hAnsi="Times New Roman" w:eastAsia="黑体" w:cs="Times New Roman"/>
          <w:sz w:val="28"/>
          <w:szCs w:val="28"/>
          <w:lang w:eastAsia="zh-CN"/>
        </w:rPr>
        <w:t>四、</w:t>
      </w:r>
      <w:r>
        <w:rPr>
          <w:rFonts w:hint="eastAsia" w:ascii="黑体" w:hAnsi="Times New Roman" w:eastAsia="黑体" w:cs="Times New Roman"/>
          <w:sz w:val="28"/>
          <w:szCs w:val="28"/>
          <w:lang w:val="en-US" w:eastAsia="zh-CN"/>
        </w:rPr>
        <w:t>中央对北京XX转移支付预算执行情况绩效自评报告</w:t>
      </w:r>
      <w:r>
        <w:rPr>
          <w:rFonts w:hint="eastAsia" w:ascii="黑体" w:eastAsia="黑体"/>
          <w:sz w:val="28"/>
          <w:szCs w:val="28"/>
          <w:lang w:eastAsia="zh-CN"/>
        </w:rPr>
        <w:t>（详见附件）</w:t>
      </w:r>
    </w:p>
    <w:p>
      <w:pPr>
        <w:spacing w:line="480" w:lineRule="exact"/>
        <w:ind w:firstLine="560"/>
        <w:rPr>
          <w:rFonts w:hint="eastAsia" w:ascii="黑体" w:eastAsia="黑体"/>
          <w:sz w:val="28"/>
          <w:szCs w:val="28"/>
        </w:rPr>
      </w:pPr>
      <w:r>
        <w:rPr>
          <w:rFonts w:hint="eastAsia" w:ascii="黑体" w:eastAsia="黑体"/>
          <w:sz w:val="28"/>
          <w:szCs w:val="28"/>
        </w:rPr>
        <w:t>（注：</w:t>
      </w:r>
      <w:r>
        <w:rPr>
          <w:rFonts w:hint="eastAsia" w:ascii="黑体" w:eastAsia="黑体"/>
          <w:color w:val="auto"/>
          <w:sz w:val="28"/>
          <w:szCs w:val="28"/>
        </w:rPr>
        <w:t>有中央转移支付的一级预算部门，公开“一、二、三、四”；没有中央转移支付的一级预算部门，公开“一、二、三”；</w:t>
      </w:r>
      <w:r>
        <w:rPr>
          <w:rFonts w:hint="eastAsia" w:ascii="黑体" w:eastAsia="黑体"/>
          <w:sz w:val="28"/>
          <w:szCs w:val="28"/>
        </w:rPr>
        <w:t>二级预算单位仅公开“三”</w:t>
      </w:r>
      <w:r>
        <w:rPr>
          <w:rFonts w:hint="eastAsia" w:ascii="黑体" w:eastAsia="黑体"/>
          <w:sz w:val="28"/>
          <w:szCs w:val="28"/>
          <w:lang w:eastAsia="zh-CN"/>
        </w:rPr>
        <w:t>。</w:t>
      </w:r>
      <w:r>
        <w:rPr>
          <w:rFonts w:hint="eastAsia" w:ascii="黑体" w:eastAsia="黑体"/>
          <w:sz w:val="28"/>
          <w:szCs w:val="28"/>
        </w:rPr>
        <w:t>）</w:t>
      </w:r>
    </w:p>
    <w:p>
      <w:pPr>
        <w:pStyle w:val="3"/>
        <w:ind w:firstLine="560"/>
        <w:rPr>
          <w:rFonts w:hint="eastAsia"/>
        </w:rPr>
      </w:pPr>
    </w:p>
    <w:p>
      <w:pPr>
        <w:rPr>
          <w:rFonts w:hint="eastAsia"/>
        </w:rPr>
      </w:pPr>
    </w:p>
    <w:p>
      <w:pPr>
        <w:pStyle w:val="3"/>
        <w:rPr>
          <w:rFonts w:hint="eastAsia"/>
        </w:rPr>
      </w:pPr>
    </w:p>
    <w:p>
      <w:pPr>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sectPr>
      <w:footerReference r:id="rId4" w:type="default"/>
      <w:footerReference r:id="rId5" w:type="even"/>
      <w:pgSz w:w="16838" w:h="11906" w:orient="landscape"/>
      <w:pgMar w:top="1134" w:right="1134" w:bottom="1134" w:left="1134"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auto"/>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方正书宋_GBK">
    <w:altName w:val="微软雅黑"/>
    <w:panose1 w:val="00000000000000000000"/>
    <w:charset w:val="00"/>
    <w:family w:val="auto"/>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Droid Sans">
    <w:altName w:val="微软雅黑"/>
    <w:panose1 w:val="00000000000000000000"/>
    <w:charset w:val="00"/>
    <w:family w:val="auto"/>
    <w:pitch w:val="default"/>
    <w:sig w:usb0="00000000" w:usb1="00000000" w:usb2="00000000" w:usb3="00000000" w:csb0="00040001" w:csb1="00000000"/>
  </w:font>
  <w:font w:name="楷体">
    <w:panose1 w:val="02010609060101010101"/>
    <w:charset w:val="86"/>
    <w:family w:val="auto"/>
    <w:pitch w:val="default"/>
    <w:sig w:usb0="800002BF" w:usb1="38CF7CFA" w:usb2="00000016" w:usb3="00000000" w:csb0="00040001" w:csb1="00000000"/>
  </w:font>
  <w:font w:name="楷体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14</w:t>
    </w:r>
    <w:r>
      <w:fldChar w:fldCharType="end"/>
    </w: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23</w:t>
    </w:r>
    <w:r>
      <w:fldChar w:fldCharType="end"/>
    </w:r>
  </w:p>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15</w: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17636A8"/>
    <w:multiLevelType w:val="singleLevel"/>
    <w:tmpl w:val="917636A8"/>
    <w:lvl w:ilvl="0" w:tentative="0">
      <w:start w:val="1"/>
      <w:numFmt w:val="chineseCounting"/>
      <w:suff w:val="nothing"/>
      <w:lvlText w:val="%1、"/>
      <w:lvlJc w:val="left"/>
      <w:rPr>
        <w:rFonts w:hint="eastAsia"/>
      </w:rPr>
    </w:lvl>
  </w:abstractNum>
  <w:abstractNum w:abstractNumId="1">
    <w:nsid w:val="62B922A3"/>
    <w:multiLevelType w:val="singleLevel"/>
    <w:tmpl w:val="62B922A3"/>
    <w:lvl w:ilvl="0" w:tentative="0">
      <w:start w:val="2"/>
      <w:numFmt w:val="chineseCounting"/>
      <w:suff w:val="nothing"/>
      <w:lvlText w:val="%1、"/>
      <w:lvlJc w:val="left"/>
      <w:pPr>
        <w:ind w:left="-10"/>
      </w:pPr>
      <w:rPr>
        <w:rFonts w:hint="eastAsia" w:ascii="黑体" w:hAnsi="黑体" w:eastAsia="黑体" w:cs="黑体"/>
        <w:sz w:val="28"/>
        <w:szCs w:val="28"/>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FhMDlmODM4NDM3ZTUzZTJhOWRjZWIxNmVkMjQxNTMifQ=="/>
  </w:docVars>
  <w:rsids>
    <w:rsidRoot w:val="00100246"/>
    <w:rsid w:val="00003B03"/>
    <w:rsid w:val="000040E6"/>
    <w:rsid w:val="00011D72"/>
    <w:rsid w:val="00027CD5"/>
    <w:rsid w:val="00031B8E"/>
    <w:rsid w:val="00033EC1"/>
    <w:rsid w:val="00034224"/>
    <w:rsid w:val="00040275"/>
    <w:rsid w:val="0004719C"/>
    <w:rsid w:val="00047F6E"/>
    <w:rsid w:val="00051B00"/>
    <w:rsid w:val="000601B1"/>
    <w:rsid w:val="00063034"/>
    <w:rsid w:val="00066E19"/>
    <w:rsid w:val="0006752F"/>
    <w:rsid w:val="00071797"/>
    <w:rsid w:val="00071860"/>
    <w:rsid w:val="0007258E"/>
    <w:rsid w:val="00077A9E"/>
    <w:rsid w:val="00077F4A"/>
    <w:rsid w:val="00077FE5"/>
    <w:rsid w:val="00080447"/>
    <w:rsid w:val="00085663"/>
    <w:rsid w:val="00095948"/>
    <w:rsid w:val="00095C26"/>
    <w:rsid w:val="00096504"/>
    <w:rsid w:val="00096B86"/>
    <w:rsid w:val="000A1770"/>
    <w:rsid w:val="000A283C"/>
    <w:rsid w:val="000B15B7"/>
    <w:rsid w:val="000B70F1"/>
    <w:rsid w:val="000C4611"/>
    <w:rsid w:val="000D1B61"/>
    <w:rsid w:val="000D6854"/>
    <w:rsid w:val="000E0B26"/>
    <w:rsid w:val="000E3291"/>
    <w:rsid w:val="000F08FE"/>
    <w:rsid w:val="000F208B"/>
    <w:rsid w:val="000F2A48"/>
    <w:rsid w:val="000F49BE"/>
    <w:rsid w:val="00100246"/>
    <w:rsid w:val="0010682D"/>
    <w:rsid w:val="001073C6"/>
    <w:rsid w:val="00107DB5"/>
    <w:rsid w:val="00113613"/>
    <w:rsid w:val="0011483D"/>
    <w:rsid w:val="00115724"/>
    <w:rsid w:val="00130995"/>
    <w:rsid w:val="00131FF9"/>
    <w:rsid w:val="00132320"/>
    <w:rsid w:val="00135B6A"/>
    <w:rsid w:val="001369A7"/>
    <w:rsid w:val="001428C5"/>
    <w:rsid w:val="001503D8"/>
    <w:rsid w:val="00157540"/>
    <w:rsid w:val="0017111F"/>
    <w:rsid w:val="00173CF6"/>
    <w:rsid w:val="00180DAD"/>
    <w:rsid w:val="0018370E"/>
    <w:rsid w:val="001852E1"/>
    <w:rsid w:val="00191568"/>
    <w:rsid w:val="001A4277"/>
    <w:rsid w:val="001A7D2E"/>
    <w:rsid w:val="001B1DF9"/>
    <w:rsid w:val="001B1E93"/>
    <w:rsid w:val="001B375E"/>
    <w:rsid w:val="001B4A46"/>
    <w:rsid w:val="001B5E87"/>
    <w:rsid w:val="001B5E91"/>
    <w:rsid w:val="001B69BF"/>
    <w:rsid w:val="001B7988"/>
    <w:rsid w:val="001D78D9"/>
    <w:rsid w:val="001E0556"/>
    <w:rsid w:val="001E2355"/>
    <w:rsid w:val="001E2379"/>
    <w:rsid w:val="001E29A9"/>
    <w:rsid w:val="001F5857"/>
    <w:rsid w:val="00206EC3"/>
    <w:rsid w:val="0021047C"/>
    <w:rsid w:val="00211E4E"/>
    <w:rsid w:val="00213D1C"/>
    <w:rsid w:val="00214C3A"/>
    <w:rsid w:val="00217517"/>
    <w:rsid w:val="00222628"/>
    <w:rsid w:val="002253CB"/>
    <w:rsid w:val="002326DE"/>
    <w:rsid w:val="00234314"/>
    <w:rsid w:val="00241724"/>
    <w:rsid w:val="0024390C"/>
    <w:rsid w:val="002441F4"/>
    <w:rsid w:val="00244204"/>
    <w:rsid w:val="002448A4"/>
    <w:rsid w:val="00245A0A"/>
    <w:rsid w:val="00246C42"/>
    <w:rsid w:val="002515CC"/>
    <w:rsid w:val="00253EC4"/>
    <w:rsid w:val="00254515"/>
    <w:rsid w:val="0026479D"/>
    <w:rsid w:val="002673C4"/>
    <w:rsid w:val="0027112B"/>
    <w:rsid w:val="00271C3F"/>
    <w:rsid w:val="00272460"/>
    <w:rsid w:val="00273070"/>
    <w:rsid w:val="0027394A"/>
    <w:rsid w:val="00274D50"/>
    <w:rsid w:val="002760D5"/>
    <w:rsid w:val="00276289"/>
    <w:rsid w:val="0028081D"/>
    <w:rsid w:val="0028458C"/>
    <w:rsid w:val="002911BD"/>
    <w:rsid w:val="00291C98"/>
    <w:rsid w:val="00294DE9"/>
    <w:rsid w:val="002A1488"/>
    <w:rsid w:val="002A4C2B"/>
    <w:rsid w:val="002B19D0"/>
    <w:rsid w:val="002B3682"/>
    <w:rsid w:val="002B5464"/>
    <w:rsid w:val="002C0443"/>
    <w:rsid w:val="002C12FB"/>
    <w:rsid w:val="002C24BC"/>
    <w:rsid w:val="002D03C6"/>
    <w:rsid w:val="002D0FDF"/>
    <w:rsid w:val="002D3955"/>
    <w:rsid w:val="002D68A9"/>
    <w:rsid w:val="002E06AE"/>
    <w:rsid w:val="002E4B75"/>
    <w:rsid w:val="002E68DD"/>
    <w:rsid w:val="002F17C2"/>
    <w:rsid w:val="002F32EE"/>
    <w:rsid w:val="002F4054"/>
    <w:rsid w:val="002F5574"/>
    <w:rsid w:val="00301D20"/>
    <w:rsid w:val="00302B19"/>
    <w:rsid w:val="00303428"/>
    <w:rsid w:val="003053C4"/>
    <w:rsid w:val="003058A3"/>
    <w:rsid w:val="00307DA5"/>
    <w:rsid w:val="0031169D"/>
    <w:rsid w:val="0031170D"/>
    <w:rsid w:val="00313E14"/>
    <w:rsid w:val="003167DD"/>
    <w:rsid w:val="00320C8B"/>
    <w:rsid w:val="00321BD8"/>
    <w:rsid w:val="00325687"/>
    <w:rsid w:val="00332C14"/>
    <w:rsid w:val="00335079"/>
    <w:rsid w:val="003352CE"/>
    <w:rsid w:val="00341D8E"/>
    <w:rsid w:val="003502B9"/>
    <w:rsid w:val="00351B8F"/>
    <w:rsid w:val="00353226"/>
    <w:rsid w:val="00353717"/>
    <w:rsid w:val="00354630"/>
    <w:rsid w:val="00365A24"/>
    <w:rsid w:val="003712DB"/>
    <w:rsid w:val="00373DDC"/>
    <w:rsid w:val="00382A86"/>
    <w:rsid w:val="00383BCC"/>
    <w:rsid w:val="00385243"/>
    <w:rsid w:val="003925D4"/>
    <w:rsid w:val="0039318C"/>
    <w:rsid w:val="00393366"/>
    <w:rsid w:val="003937DC"/>
    <w:rsid w:val="00393D75"/>
    <w:rsid w:val="003A2F2D"/>
    <w:rsid w:val="003A43AC"/>
    <w:rsid w:val="003A4EB6"/>
    <w:rsid w:val="003A7AE9"/>
    <w:rsid w:val="003A7BC5"/>
    <w:rsid w:val="003A7FF5"/>
    <w:rsid w:val="003B0352"/>
    <w:rsid w:val="003B4437"/>
    <w:rsid w:val="003B48C4"/>
    <w:rsid w:val="003B5E20"/>
    <w:rsid w:val="003B6DAD"/>
    <w:rsid w:val="003B735F"/>
    <w:rsid w:val="003C030C"/>
    <w:rsid w:val="003C55FC"/>
    <w:rsid w:val="003D0EC3"/>
    <w:rsid w:val="003D7274"/>
    <w:rsid w:val="003E4D82"/>
    <w:rsid w:val="003E5BC1"/>
    <w:rsid w:val="003F0D1B"/>
    <w:rsid w:val="003F1DD6"/>
    <w:rsid w:val="00401087"/>
    <w:rsid w:val="00402E26"/>
    <w:rsid w:val="00404CFF"/>
    <w:rsid w:val="00405701"/>
    <w:rsid w:val="004110BC"/>
    <w:rsid w:val="0041271F"/>
    <w:rsid w:val="0041688E"/>
    <w:rsid w:val="004170EF"/>
    <w:rsid w:val="0042093C"/>
    <w:rsid w:val="004233DD"/>
    <w:rsid w:val="00424405"/>
    <w:rsid w:val="00425B25"/>
    <w:rsid w:val="00425D24"/>
    <w:rsid w:val="00426A4D"/>
    <w:rsid w:val="00427687"/>
    <w:rsid w:val="00433231"/>
    <w:rsid w:val="004334CA"/>
    <w:rsid w:val="0043506A"/>
    <w:rsid w:val="00435830"/>
    <w:rsid w:val="0043619C"/>
    <w:rsid w:val="0044475D"/>
    <w:rsid w:val="00444D1E"/>
    <w:rsid w:val="0044571A"/>
    <w:rsid w:val="0044705D"/>
    <w:rsid w:val="0045090E"/>
    <w:rsid w:val="00453E36"/>
    <w:rsid w:val="00457286"/>
    <w:rsid w:val="00461FA5"/>
    <w:rsid w:val="00463566"/>
    <w:rsid w:val="00464182"/>
    <w:rsid w:val="00471C52"/>
    <w:rsid w:val="0047460C"/>
    <w:rsid w:val="00474FF2"/>
    <w:rsid w:val="00480098"/>
    <w:rsid w:val="00484A93"/>
    <w:rsid w:val="00485E12"/>
    <w:rsid w:val="004865DA"/>
    <w:rsid w:val="0048779C"/>
    <w:rsid w:val="00487AB7"/>
    <w:rsid w:val="00487ED0"/>
    <w:rsid w:val="00491D09"/>
    <w:rsid w:val="0049682C"/>
    <w:rsid w:val="004A168E"/>
    <w:rsid w:val="004A4EC7"/>
    <w:rsid w:val="004B0003"/>
    <w:rsid w:val="004C020A"/>
    <w:rsid w:val="004C03A3"/>
    <w:rsid w:val="004C44B8"/>
    <w:rsid w:val="004C7629"/>
    <w:rsid w:val="004D0D5D"/>
    <w:rsid w:val="004E27DD"/>
    <w:rsid w:val="004E3350"/>
    <w:rsid w:val="004E5292"/>
    <w:rsid w:val="004F2C5B"/>
    <w:rsid w:val="004F641B"/>
    <w:rsid w:val="004F71F3"/>
    <w:rsid w:val="005052FA"/>
    <w:rsid w:val="005069E1"/>
    <w:rsid w:val="00507E59"/>
    <w:rsid w:val="005122B5"/>
    <w:rsid w:val="0052381C"/>
    <w:rsid w:val="005346B3"/>
    <w:rsid w:val="0054051C"/>
    <w:rsid w:val="00546A84"/>
    <w:rsid w:val="00547BE2"/>
    <w:rsid w:val="0055353D"/>
    <w:rsid w:val="0056187C"/>
    <w:rsid w:val="00576B03"/>
    <w:rsid w:val="00581E1A"/>
    <w:rsid w:val="00591655"/>
    <w:rsid w:val="00591BEC"/>
    <w:rsid w:val="005940EA"/>
    <w:rsid w:val="00594448"/>
    <w:rsid w:val="005A1D6F"/>
    <w:rsid w:val="005A4D82"/>
    <w:rsid w:val="005A52A6"/>
    <w:rsid w:val="005B0DEC"/>
    <w:rsid w:val="005B368E"/>
    <w:rsid w:val="005B6E69"/>
    <w:rsid w:val="005C0015"/>
    <w:rsid w:val="005C1E82"/>
    <w:rsid w:val="005C2BCE"/>
    <w:rsid w:val="005C2CA5"/>
    <w:rsid w:val="005C7062"/>
    <w:rsid w:val="005C7788"/>
    <w:rsid w:val="005D10B9"/>
    <w:rsid w:val="005D18DA"/>
    <w:rsid w:val="005E00DC"/>
    <w:rsid w:val="005E3BBC"/>
    <w:rsid w:val="005E3EC6"/>
    <w:rsid w:val="005E4E07"/>
    <w:rsid w:val="005E4E46"/>
    <w:rsid w:val="005E5275"/>
    <w:rsid w:val="005E7DC8"/>
    <w:rsid w:val="005E7EC9"/>
    <w:rsid w:val="005F7087"/>
    <w:rsid w:val="00611BE4"/>
    <w:rsid w:val="0061219B"/>
    <w:rsid w:val="00621419"/>
    <w:rsid w:val="00626446"/>
    <w:rsid w:val="00626BE8"/>
    <w:rsid w:val="00631827"/>
    <w:rsid w:val="00632804"/>
    <w:rsid w:val="006376DA"/>
    <w:rsid w:val="006459DA"/>
    <w:rsid w:val="006502E8"/>
    <w:rsid w:val="00654A2B"/>
    <w:rsid w:val="0065675C"/>
    <w:rsid w:val="0065793F"/>
    <w:rsid w:val="0066263B"/>
    <w:rsid w:val="0066713A"/>
    <w:rsid w:val="0067195C"/>
    <w:rsid w:val="006724F7"/>
    <w:rsid w:val="0067511A"/>
    <w:rsid w:val="0067539B"/>
    <w:rsid w:val="00675543"/>
    <w:rsid w:val="00677396"/>
    <w:rsid w:val="00677AD9"/>
    <w:rsid w:val="00681970"/>
    <w:rsid w:val="00690641"/>
    <w:rsid w:val="00690D88"/>
    <w:rsid w:val="00691844"/>
    <w:rsid w:val="00693DDF"/>
    <w:rsid w:val="00696F9E"/>
    <w:rsid w:val="006A374A"/>
    <w:rsid w:val="006A505E"/>
    <w:rsid w:val="006A513E"/>
    <w:rsid w:val="006A5265"/>
    <w:rsid w:val="006B0CB9"/>
    <w:rsid w:val="006B2609"/>
    <w:rsid w:val="006B2750"/>
    <w:rsid w:val="006B3678"/>
    <w:rsid w:val="006B7390"/>
    <w:rsid w:val="006C0084"/>
    <w:rsid w:val="006C107D"/>
    <w:rsid w:val="006C3600"/>
    <w:rsid w:val="006C4534"/>
    <w:rsid w:val="006C5205"/>
    <w:rsid w:val="006C75F6"/>
    <w:rsid w:val="006D3F53"/>
    <w:rsid w:val="006D60AF"/>
    <w:rsid w:val="006E4722"/>
    <w:rsid w:val="00701651"/>
    <w:rsid w:val="007049BF"/>
    <w:rsid w:val="00704E79"/>
    <w:rsid w:val="00707A26"/>
    <w:rsid w:val="0071120F"/>
    <w:rsid w:val="00716380"/>
    <w:rsid w:val="00722165"/>
    <w:rsid w:val="00724B1C"/>
    <w:rsid w:val="007428F0"/>
    <w:rsid w:val="007512EF"/>
    <w:rsid w:val="007551AC"/>
    <w:rsid w:val="0076101C"/>
    <w:rsid w:val="00763D87"/>
    <w:rsid w:val="007670B2"/>
    <w:rsid w:val="00771795"/>
    <w:rsid w:val="00774925"/>
    <w:rsid w:val="0079279F"/>
    <w:rsid w:val="00793E69"/>
    <w:rsid w:val="007A063C"/>
    <w:rsid w:val="007A16B0"/>
    <w:rsid w:val="007A19EA"/>
    <w:rsid w:val="007A6092"/>
    <w:rsid w:val="007A60B7"/>
    <w:rsid w:val="007A64A6"/>
    <w:rsid w:val="007A6EE1"/>
    <w:rsid w:val="007A7C89"/>
    <w:rsid w:val="007B1487"/>
    <w:rsid w:val="007B2A43"/>
    <w:rsid w:val="007B326F"/>
    <w:rsid w:val="007B6A58"/>
    <w:rsid w:val="007B6C06"/>
    <w:rsid w:val="007B7B78"/>
    <w:rsid w:val="007C32B1"/>
    <w:rsid w:val="007C7A22"/>
    <w:rsid w:val="007C7C62"/>
    <w:rsid w:val="007D1076"/>
    <w:rsid w:val="007D12B7"/>
    <w:rsid w:val="007D2A49"/>
    <w:rsid w:val="007D5E38"/>
    <w:rsid w:val="007D7AC4"/>
    <w:rsid w:val="007E0340"/>
    <w:rsid w:val="007E1D4A"/>
    <w:rsid w:val="007E53C0"/>
    <w:rsid w:val="007E7703"/>
    <w:rsid w:val="007F4558"/>
    <w:rsid w:val="007F64DF"/>
    <w:rsid w:val="008050EF"/>
    <w:rsid w:val="0080652C"/>
    <w:rsid w:val="0080715F"/>
    <w:rsid w:val="008113D6"/>
    <w:rsid w:val="00812BA7"/>
    <w:rsid w:val="00813A87"/>
    <w:rsid w:val="00813F63"/>
    <w:rsid w:val="00815F57"/>
    <w:rsid w:val="0081760B"/>
    <w:rsid w:val="008218AC"/>
    <w:rsid w:val="00825359"/>
    <w:rsid w:val="00825E13"/>
    <w:rsid w:val="00826F07"/>
    <w:rsid w:val="008337CB"/>
    <w:rsid w:val="00834A3C"/>
    <w:rsid w:val="008360A0"/>
    <w:rsid w:val="00837658"/>
    <w:rsid w:val="00837CD4"/>
    <w:rsid w:val="00837F78"/>
    <w:rsid w:val="008400EE"/>
    <w:rsid w:val="00840791"/>
    <w:rsid w:val="00845576"/>
    <w:rsid w:val="00850708"/>
    <w:rsid w:val="00851024"/>
    <w:rsid w:val="008526D7"/>
    <w:rsid w:val="0086238C"/>
    <w:rsid w:val="008655DC"/>
    <w:rsid w:val="0086732D"/>
    <w:rsid w:val="00870183"/>
    <w:rsid w:val="00875726"/>
    <w:rsid w:val="00877F10"/>
    <w:rsid w:val="0088225D"/>
    <w:rsid w:val="00882F8D"/>
    <w:rsid w:val="00884FB0"/>
    <w:rsid w:val="008853A5"/>
    <w:rsid w:val="008944DA"/>
    <w:rsid w:val="00894D78"/>
    <w:rsid w:val="008A6A18"/>
    <w:rsid w:val="008B033F"/>
    <w:rsid w:val="008B4003"/>
    <w:rsid w:val="008B7443"/>
    <w:rsid w:val="008C179E"/>
    <w:rsid w:val="008C2379"/>
    <w:rsid w:val="008C4FF7"/>
    <w:rsid w:val="008C5C4C"/>
    <w:rsid w:val="008C7056"/>
    <w:rsid w:val="008C706D"/>
    <w:rsid w:val="008D3145"/>
    <w:rsid w:val="008E1A54"/>
    <w:rsid w:val="008E1F95"/>
    <w:rsid w:val="008E36B6"/>
    <w:rsid w:val="008E4267"/>
    <w:rsid w:val="008E4847"/>
    <w:rsid w:val="008E5FF1"/>
    <w:rsid w:val="008E63D2"/>
    <w:rsid w:val="008E6E14"/>
    <w:rsid w:val="008F1528"/>
    <w:rsid w:val="008F1AE5"/>
    <w:rsid w:val="008F55D9"/>
    <w:rsid w:val="009057DE"/>
    <w:rsid w:val="00905F97"/>
    <w:rsid w:val="00906FA3"/>
    <w:rsid w:val="0091239D"/>
    <w:rsid w:val="00912825"/>
    <w:rsid w:val="009129B8"/>
    <w:rsid w:val="00912B99"/>
    <w:rsid w:val="00912C78"/>
    <w:rsid w:val="00927892"/>
    <w:rsid w:val="009319B9"/>
    <w:rsid w:val="009351E9"/>
    <w:rsid w:val="00937862"/>
    <w:rsid w:val="00942279"/>
    <w:rsid w:val="009524EB"/>
    <w:rsid w:val="00962013"/>
    <w:rsid w:val="00963942"/>
    <w:rsid w:val="0096716C"/>
    <w:rsid w:val="009672B2"/>
    <w:rsid w:val="00971C66"/>
    <w:rsid w:val="00972363"/>
    <w:rsid w:val="0098419C"/>
    <w:rsid w:val="009843EF"/>
    <w:rsid w:val="009867F2"/>
    <w:rsid w:val="00991347"/>
    <w:rsid w:val="00996018"/>
    <w:rsid w:val="0099738E"/>
    <w:rsid w:val="009A493E"/>
    <w:rsid w:val="009A531F"/>
    <w:rsid w:val="009A6931"/>
    <w:rsid w:val="009B1F9A"/>
    <w:rsid w:val="009B1FA9"/>
    <w:rsid w:val="009B349F"/>
    <w:rsid w:val="009B4293"/>
    <w:rsid w:val="009B6715"/>
    <w:rsid w:val="009C7B74"/>
    <w:rsid w:val="009D0BE2"/>
    <w:rsid w:val="009D114E"/>
    <w:rsid w:val="009D210F"/>
    <w:rsid w:val="009D309C"/>
    <w:rsid w:val="009D37B1"/>
    <w:rsid w:val="009D4717"/>
    <w:rsid w:val="009D694D"/>
    <w:rsid w:val="009E264E"/>
    <w:rsid w:val="009F0C98"/>
    <w:rsid w:val="009F0F81"/>
    <w:rsid w:val="009F2543"/>
    <w:rsid w:val="009F256D"/>
    <w:rsid w:val="009F341E"/>
    <w:rsid w:val="009F57CE"/>
    <w:rsid w:val="00A117CA"/>
    <w:rsid w:val="00A12225"/>
    <w:rsid w:val="00A14C18"/>
    <w:rsid w:val="00A25898"/>
    <w:rsid w:val="00A3071D"/>
    <w:rsid w:val="00A3182E"/>
    <w:rsid w:val="00A31A89"/>
    <w:rsid w:val="00A32F06"/>
    <w:rsid w:val="00A34934"/>
    <w:rsid w:val="00A34EFE"/>
    <w:rsid w:val="00A36546"/>
    <w:rsid w:val="00A4069C"/>
    <w:rsid w:val="00A413B5"/>
    <w:rsid w:val="00A429CB"/>
    <w:rsid w:val="00A44E87"/>
    <w:rsid w:val="00A5063C"/>
    <w:rsid w:val="00A52749"/>
    <w:rsid w:val="00A5422E"/>
    <w:rsid w:val="00A56EC1"/>
    <w:rsid w:val="00A6350C"/>
    <w:rsid w:val="00A6370B"/>
    <w:rsid w:val="00A63A73"/>
    <w:rsid w:val="00A6655C"/>
    <w:rsid w:val="00A66CBB"/>
    <w:rsid w:val="00A6704E"/>
    <w:rsid w:val="00A67EA4"/>
    <w:rsid w:val="00A773FF"/>
    <w:rsid w:val="00A83AA1"/>
    <w:rsid w:val="00A9343A"/>
    <w:rsid w:val="00A9706C"/>
    <w:rsid w:val="00A97B34"/>
    <w:rsid w:val="00AA1B5C"/>
    <w:rsid w:val="00AA7A27"/>
    <w:rsid w:val="00AB3FB0"/>
    <w:rsid w:val="00AB465D"/>
    <w:rsid w:val="00AB713D"/>
    <w:rsid w:val="00AC114C"/>
    <w:rsid w:val="00AC1478"/>
    <w:rsid w:val="00AC6C2D"/>
    <w:rsid w:val="00AC6E17"/>
    <w:rsid w:val="00AD2FF3"/>
    <w:rsid w:val="00AD7764"/>
    <w:rsid w:val="00AD7FE2"/>
    <w:rsid w:val="00AE1284"/>
    <w:rsid w:val="00AE1B18"/>
    <w:rsid w:val="00AE7339"/>
    <w:rsid w:val="00AF1B0B"/>
    <w:rsid w:val="00AF242C"/>
    <w:rsid w:val="00AF3CC4"/>
    <w:rsid w:val="00B05903"/>
    <w:rsid w:val="00B12C7A"/>
    <w:rsid w:val="00B12E10"/>
    <w:rsid w:val="00B22BC3"/>
    <w:rsid w:val="00B25865"/>
    <w:rsid w:val="00B272B6"/>
    <w:rsid w:val="00B2771B"/>
    <w:rsid w:val="00B336E9"/>
    <w:rsid w:val="00B33AE5"/>
    <w:rsid w:val="00B35BE5"/>
    <w:rsid w:val="00B46965"/>
    <w:rsid w:val="00B54ED0"/>
    <w:rsid w:val="00B55D47"/>
    <w:rsid w:val="00B6204E"/>
    <w:rsid w:val="00B649EC"/>
    <w:rsid w:val="00B728DD"/>
    <w:rsid w:val="00B72D43"/>
    <w:rsid w:val="00B74121"/>
    <w:rsid w:val="00B80ABA"/>
    <w:rsid w:val="00B859FF"/>
    <w:rsid w:val="00B85C1B"/>
    <w:rsid w:val="00B85FF0"/>
    <w:rsid w:val="00B86150"/>
    <w:rsid w:val="00B878F9"/>
    <w:rsid w:val="00B9044A"/>
    <w:rsid w:val="00B960F3"/>
    <w:rsid w:val="00B96A31"/>
    <w:rsid w:val="00BA05E6"/>
    <w:rsid w:val="00BA51B0"/>
    <w:rsid w:val="00BA6319"/>
    <w:rsid w:val="00BC03B0"/>
    <w:rsid w:val="00BC06A3"/>
    <w:rsid w:val="00BC0CEA"/>
    <w:rsid w:val="00BC2220"/>
    <w:rsid w:val="00BC26B9"/>
    <w:rsid w:val="00BC26FA"/>
    <w:rsid w:val="00BC4E01"/>
    <w:rsid w:val="00BC73F6"/>
    <w:rsid w:val="00BD1177"/>
    <w:rsid w:val="00BD1374"/>
    <w:rsid w:val="00BD3531"/>
    <w:rsid w:val="00BD4E35"/>
    <w:rsid w:val="00BE34CA"/>
    <w:rsid w:val="00BF116A"/>
    <w:rsid w:val="00C0623C"/>
    <w:rsid w:val="00C06A07"/>
    <w:rsid w:val="00C132B6"/>
    <w:rsid w:val="00C21A6C"/>
    <w:rsid w:val="00C24A10"/>
    <w:rsid w:val="00C27003"/>
    <w:rsid w:val="00C27597"/>
    <w:rsid w:val="00C32BD4"/>
    <w:rsid w:val="00C33E48"/>
    <w:rsid w:val="00C3618B"/>
    <w:rsid w:val="00C403FB"/>
    <w:rsid w:val="00C4316E"/>
    <w:rsid w:val="00C441A2"/>
    <w:rsid w:val="00C5076B"/>
    <w:rsid w:val="00C512D4"/>
    <w:rsid w:val="00C51CF4"/>
    <w:rsid w:val="00C531E2"/>
    <w:rsid w:val="00C53204"/>
    <w:rsid w:val="00C57E34"/>
    <w:rsid w:val="00C64659"/>
    <w:rsid w:val="00C662E9"/>
    <w:rsid w:val="00C66C2D"/>
    <w:rsid w:val="00C7190B"/>
    <w:rsid w:val="00C76852"/>
    <w:rsid w:val="00C77210"/>
    <w:rsid w:val="00C777FA"/>
    <w:rsid w:val="00C77989"/>
    <w:rsid w:val="00C811F4"/>
    <w:rsid w:val="00C81E51"/>
    <w:rsid w:val="00C87B73"/>
    <w:rsid w:val="00C92444"/>
    <w:rsid w:val="00C92FBB"/>
    <w:rsid w:val="00C93327"/>
    <w:rsid w:val="00C97B4D"/>
    <w:rsid w:val="00CA5602"/>
    <w:rsid w:val="00CA5CA9"/>
    <w:rsid w:val="00CA78E2"/>
    <w:rsid w:val="00CB1BBE"/>
    <w:rsid w:val="00CB65DB"/>
    <w:rsid w:val="00CB6BD9"/>
    <w:rsid w:val="00CC293A"/>
    <w:rsid w:val="00CE19F6"/>
    <w:rsid w:val="00CE6B76"/>
    <w:rsid w:val="00CF366B"/>
    <w:rsid w:val="00CF5D9D"/>
    <w:rsid w:val="00CF606C"/>
    <w:rsid w:val="00CF7423"/>
    <w:rsid w:val="00D001F5"/>
    <w:rsid w:val="00D03E80"/>
    <w:rsid w:val="00D1505F"/>
    <w:rsid w:val="00D15B9F"/>
    <w:rsid w:val="00D15DD6"/>
    <w:rsid w:val="00D25548"/>
    <w:rsid w:val="00D2601F"/>
    <w:rsid w:val="00D27759"/>
    <w:rsid w:val="00D30028"/>
    <w:rsid w:val="00D325D3"/>
    <w:rsid w:val="00D408D6"/>
    <w:rsid w:val="00D511DD"/>
    <w:rsid w:val="00D55C2A"/>
    <w:rsid w:val="00D571C1"/>
    <w:rsid w:val="00D602F4"/>
    <w:rsid w:val="00D6457E"/>
    <w:rsid w:val="00D742E2"/>
    <w:rsid w:val="00D7580E"/>
    <w:rsid w:val="00D87DAF"/>
    <w:rsid w:val="00D9446D"/>
    <w:rsid w:val="00DA2994"/>
    <w:rsid w:val="00DB08E8"/>
    <w:rsid w:val="00DB0DED"/>
    <w:rsid w:val="00DB3073"/>
    <w:rsid w:val="00DB3BA9"/>
    <w:rsid w:val="00DB50FE"/>
    <w:rsid w:val="00DB5EDA"/>
    <w:rsid w:val="00DC2349"/>
    <w:rsid w:val="00DC3026"/>
    <w:rsid w:val="00DD1EDB"/>
    <w:rsid w:val="00DD57AA"/>
    <w:rsid w:val="00DE1578"/>
    <w:rsid w:val="00DE7F67"/>
    <w:rsid w:val="00DF0529"/>
    <w:rsid w:val="00DF09EF"/>
    <w:rsid w:val="00DF0D0F"/>
    <w:rsid w:val="00DF13D6"/>
    <w:rsid w:val="00DF27D6"/>
    <w:rsid w:val="00DF2BEA"/>
    <w:rsid w:val="00DF4488"/>
    <w:rsid w:val="00DF5B98"/>
    <w:rsid w:val="00DF6FA8"/>
    <w:rsid w:val="00DF701E"/>
    <w:rsid w:val="00DF7BE5"/>
    <w:rsid w:val="00E00D49"/>
    <w:rsid w:val="00E019A8"/>
    <w:rsid w:val="00E03A46"/>
    <w:rsid w:val="00E03C6D"/>
    <w:rsid w:val="00E0476F"/>
    <w:rsid w:val="00E04899"/>
    <w:rsid w:val="00E0796F"/>
    <w:rsid w:val="00E10948"/>
    <w:rsid w:val="00E24371"/>
    <w:rsid w:val="00E243AB"/>
    <w:rsid w:val="00E26641"/>
    <w:rsid w:val="00E2778F"/>
    <w:rsid w:val="00E33023"/>
    <w:rsid w:val="00E331F3"/>
    <w:rsid w:val="00E3498D"/>
    <w:rsid w:val="00E42425"/>
    <w:rsid w:val="00E43E55"/>
    <w:rsid w:val="00E4554E"/>
    <w:rsid w:val="00E46D22"/>
    <w:rsid w:val="00E4768F"/>
    <w:rsid w:val="00E53C0E"/>
    <w:rsid w:val="00E54F7E"/>
    <w:rsid w:val="00E560CE"/>
    <w:rsid w:val="00E5674E"/>
    <w:rsid w:val="00E63783"/>
    <w:rsid w:val="00E650E2"/>
    <w:rsid w:val="00E75CAD"/>
    <w:rsid w:val="00E76922"/>
    <w:rsid w:val="00E8595B"/>
    <w:rsid w:val="00E915EC"/>
    <w:rsid w:val="00EA11B1"/>
    <w:rsid w:val="00EA2224"/>
    <w:rsid w:val="00EA7194"/>
    <w:rsid w:val="00EB1329"/>
    <w:rsid w:val="00EB2987"/>
    <w:rsid w:val="00EB2D75"/>
    <w:rsid w:val="00EB34BE"/>
    <w:rsid w:val="00EB571A"/>
    <w:rsid w:val="00EC2804"/>
    <w:rsid w:val="00EC6117"/>
    <w:rsid w:val="00EC6138"/>
    <w:rsid w:val="00ED1DCF"/>
    <w:rsid w:val="00ED43C9"/>
    <w:rsid w:val="00EE2C60"/>
    <w:rsid w:val="00EE2E58"/>
    <w:rsid w:val="00EE487A"/>
    <w:rsid w:val="00EE734C"/>
    <w:rsid w:val="00EF6907"/>
    <w:rsid w:val="00EF6D91"/>
    <w:rsid w:val="00F01F54"/>
    <w:rsid w:val="00F04D4D"/>
    <w:rsid w:val="00F11DD8"/>
    <w:rsid w:val="00F12745"/>
    <w:rsid w:val="00F13766"/>
    <w:rsid w:val="00F20A77"/>
    <w:rsid w:val="00F22C60"/>
    <w:rsid w:val="00F231A4"/>
    <w:rsid w:val="00F23252"/>
    <w:rsid w:val="00F27B2A"/>
    <w:rsid w:val="00F31762"/>
    <w:rsid w:val="00F345D3"/>
    <w:rsid w:val="00F356ED"/>
    <w:rsid w:val="00F359B5"/>
    <w:rsid w:val="00F4144F"/>
    <w:rsid w:val="00F433F3"/>
    <w:rsid w:val="00F47F64"/>
    <w:rsid w:val="00F522D9"/>
    <w:rsid w:val="00F52F54"/>
    <w:rsid w:val="00F53584"/>
    <w:rsid w:val="00F61B24"/>
    <w:rsid w:val="00F62DE5"/>
    <w:rsid w:val="00F63F8A"/>
    <w:rsid w:val="00F6514E"/>
    <w:rsid w:val="00F703DC"/>
    <w:rsid w:val="00F71D06"/>
    <w:rsid w:val="00F73B46"/>
    <w:rsid w:val="00F73D01"/>
    <w:rsid w:val="00F7642B"/>
    <w:rsid w:val="00F76A43"/>
    <w:rsid w:val="00F80334"/>
    <w:rsid w:val="00F8139D"/>
    <w:rsid w:val="00F83DF9"/>
    <w:rsid w:val="00F85DA0"/>
    <w:rsid w:val="00F930AF"/>
    <w:rsid w:val="00F9352C"/>
    <w:rsid w:val="00F975B0"/>
    <w:rsid w:val="00FA15F1"/>
    <w:rsid w:val="00FA19F5"/>
    <w:rsid w:val="00FA4A69"/>
    <w:rsid w:val="00FA649A"/>
    <w:rsid w:val="00FB1248"/>
    <w:rsid w:val="00FB208D"/>
    <w:rsid w:val="00FB3CF4"/>
    <w:rsid w:val="00FB4A27"/>
    <w:rsid w:val="00FB4A49"/>
    <w:rsid w:val="00FB69B3"/>
    <w:rsid w:val="00FC6FBE"/>
    <w:rsid w:val="00FD1162"/>
    <w:rsid w:val="00FD2232"/>
    <w:rsid w:val="00FD4AE7"/>
    <w:rsid w:val="00FD65A9"/>
    <w:rsid w:val="00FD7508"/>
    <w:rsid w:val="00FE1E51"/>
    <w:rsid w:val="00FE2496"/>
    <w:rsid w:val="00FE6A2B"/>
    <w:rsid w:val="00FF0275"/>
    <w:rsid w:val="00FF07B3"/>
    <w:rsid w:val="00FF1E37"/>
    <w:rsid w:val="022D1C78"/>
    <w:rsid w:val="03215865"/>
    <w:rsid w:val="035D06FC"/>
    <w:rsid w:val="03801DAE"/>
    <w:rsid w:val="03B47F63"/>
    <w:rsid w:val="03F95560"/>
    <w:rsid w:val="04480EAF"/>
    <w:rsid w:val="04B04EFE"/>
    <w:rsid w:val="06234EB6"/>
    <w:rsid w:val="06272D3A"/>
    <w:rsid w:val="06B138D8"/>
    <w:rsid w:val="06E726BE"/>
    <w:rsid w:val="06EB5237"/>
    <w:rsid w:val="070863A5"/>
    <w:rsid w:val="079004AC"/>
    <w:rsid w:val="09242EF8"/>
    <w:rsid w:val="0949583F"/>
    <w:rsid w:val="09604394"/>
    <w:rsid w:val="0B5C4160"/>
    <w:rsid w:val="0B9228BC"/>
    <w:rsid w:val="0C1D3729"/>
    <w:rsid w:val="0C206AA9"/>
    <w:rsid w:val="0C972E05"/>
    <w:rsid w:val="0D1F1307"/>
    <w:rsid w:val="0D6A4126"/>
    <w:rsid w:val="0DE0148E"/>
    <w:rsid w:val="0ED809DE"/>
    <w:rsid w:val="0F066ECC"/>
    <w:rsid w:val="0F8E2C57"/>
    <w:rsid w:val="0FE200EB"/>
    <w:rsid w:val="0FF811BA"/>
    <w:rsid w:val="1059665E"/>
    <w:rsid w:val="10AC13BA"/>
    <w:rsid w:val="10B15426"/>
    <w:rsid w:val="13B00213"/>
    <w:rsid w:val="14BF26CD"/>
    <w:rsid w:val="14F4216E"/>
    <w:rsid w:val="16E564A2"/>
    <w:rsid w:val="18AC3558"/>
    <w:rsid w:val="18FC7EF1"/>
    <w:rsid w:val="196B4F6B"/>
    <w:rsid w:val="19720DC9"/>
    <w:rsid w:val="197B43A8"/>
    <w:rsid w:val="1A5C57A4"/>
    <w:rsid w:val="1A897CE4"/>
    <w:rsid w:val="1AE8623B"/>
    <w:rsid w:val="1AEC0734"/>
    <w:rsid w:val="1B5D7288"/>
    <w:rsid w:val="1C6F1A38"/>
    <w:rsid w:val="1C917969"/>
    <w:rsid w:val="1C982775"/>
    <w:rsid w:val="1D067282"/>
    <w:rsid w:val="1D077252"/>
    <w:rsid w:val="1D3C5BEB"/>
    <w:rsid w:val="1D923BD6"/>
    <w:rsid w:val="1DEF20B0"/>
    <w:rsid w:val="1F3C5DCE"/>
    <w:rsid w:val="20926925"/>
    <w:rsid w:val="210B3F91"/>
    <w:rsid w:val="212422CF"/>
    <w:rsid w:val="21423917"/>
    <w:rsid w:val="214243FA"/>
    <w:rsid w:val="21C16D24"/>
    <w:rsid w:val="22176AF5"/>
    <w:rsid w:val="2235178E"/>
    <w:rsid w:val="22D71817"/>
    <w:rsid w:val="2311717A"/>
    <w:rsid w:val="24F32707"/>
    <w:rsid w:val="25234D81"/>
    <w:rsid w:val="257A14F5"/>
    <w:rsid w:val="2617243C"/>
    <w:rsid w:val="27196C26"/>
    <w:rsid w:val="2733795E"/>
    <w:rsid w:val="281B55DD"/>
    <w:rsid w:val="28543623"/>
    <w:rsid w:val="28F15982"/>
    <w:rsid w:val="290E1CF3"/>
    <w:rsid w:val="29BA3089"/>
    <w:rsid w:val="29EF086F"/>
    <w:rsid w:val="2A4B11B7"/>
    <w:rsid w:val="2A5C14DB"/>
    <w:rsid w:val="2BBA16D6"/>
    <w:rsid w:val="2BC05D9D"/>
    <w:rsid w:val="2BE01D9B"/>
    <w:rsid w:val="2BE70801"/>
    <w:rsid w:val="2CF21750"/>
    <w:rsid w:val="2EFFE297"/>
    <w:rsid w:val="2F5521DF"/>
    <w:rsid w:val="2FB85195"/>
    <w:rsid w:val="2FC0237F"/>
    <w:rsid w:val="301437CA"/>
    <w:rsid w:val="30A54B28"/>
    <w:rsid w:val="31842EB4"/>
    <w:rsid w:val="319A59BD"/>
    <w:rsid w:val="332B7FA4"/>
    <w:rsid w:val="33D775C5"/>
    <w:rsid w:val="352B1E53"/>
    <w:rsid w:val="35614FC3"/>
    <w:rsid w:val="35912A6B"/>
    <w:rsid w:val="35C121C6"/>
    <w:rsid w:val="35F33CAD"/>
    <w:rsid w:val="35F66530"/>
    <w:rsid w:val="36401ADE"/>
    <w:rsid w:val="36FC1AAE"/>
    <w:rsid w:val="37625FBB"/>
    <w:rsid w:val="37CA5567"/>
    <w:rsid w:val="381E4FA2"/>
    <w:rsid w:val="38344C8F"/>
    <w:rsid w:val="387C35BD"/>
    <w:rsid w:val="390E5723"/>
    <w:rsid w:val="39703D8D"/>
    <w:rsid w:val="3A334DBE"/>
    <w:rsid w:val="3A3E3C3A"/>
    <w:rsid w:val="3C7C452E"/>
    <w:rsid w:val="3D753CF3"/>
    <w:rsid w:val="3D894157"/>
    <w:rsid w:val="3DA23FBA"/>
    <w:rsid w:val="3DFB74B0"/>
    <w:rsid w:val="3E580F3F"/>
    <w:rsid w:val="3E981DA5"/>
    <w:rsid w:val="3EDD18CF"/>
    <w:rsid w:val="3F3711F9"/>
    <w:rsid w:val="3F411A97"/>
    <w:rsid w:val="41137DDC"/>
    <w:rsid w:val="41E6683A"/>
    <w:rsid w:val="427E781C"/>
    <w:rsid w:val="431E7BFA"/>
    <w:rsid w:val="43247595"/>
    <w:rsid w:val="432F7385"/>
    <w:rsid w:val="433E495C"/>
    <w:rsid w:val="449B730D"/>
    <w:rsid w:val="45AB3042"/>
    <w:rsid w:val="45DE0D9E"/>
    <w:rsid w:val="46792259"/>
    <w:rsid w:val="46853A0B"/>
    <w:rsid w:val="46A56D4F"/>
    <w:rsid w:val="46FA1319"/>
    <w:rsid w:val="471A6540"/>
    <w:rsid w:val="472A2FE5"/>
    <w:rsid w:val="47E91E88"/>
    <w:rsid w:val="48AB0525"/>
    <w:rsid w:val="49C22B5A"/>
    <w:rsid w:val="49EA7C23"/>
    <w:rsid w:val="4A996DBC"/>
    <w:rsid w:val="4AC27CB3"/>
    <w:rsid w:val="4AD56B19"/>
    <w:rsid w:val="4AD86008"/>
    <w:rsid w:val="4BF72BEF"/>
    <w:rsid w:val="4BFC1EA9"/>
    <w:rsid w:val="4BFE6835"/>
    <w:rsid w:val="4C4C1894"/>
    <w:rsid w:val="4CBD6B5C"/>
    <w:rsid w:val="4D666969"/>
    <w:rsid w:val="4D806177"/>
    <w:rsid w:val="4DAA4FFD"/>
    <w:rsid w:val="4DDE4405"/>
    <w:rsid w:val="4E47575C"/>
    <w:rsid w:val="4E611957"/>
    <w:rsid w:val="4E670D5F"/>
    <w:rsid w:val="4E7C73AB"/>
    <w:rsid w:val="4EAB2409"/>
    <w:rsid w:val="4EB90815"/>
    <w:rsid w:val="4F555BFA"/>
    <w:rsid w:val="4F807D0E"/>
    <w:rsid w:val="4F8D185E"/>
    <w:rsid w:val="517958FA"/>
    <w:rsid w:val="519156D6"/>
    <w:rsid w:val="51953D27"/>
    <w:rsid w:val="51DB3C59"/>
    <w:rsid w:val="51F474D5"/>
    <w:rsid w:val="52577EBD"/>
    <w:rsid w:val="5271781D"/>
    <w:rsid w:val="53646FB3"/>
    <w:rsid w:val="53DD7B68"/>
    <w:rsid w:val="540D7C61"/>
    <w:rsid w:val="54C00327"/>
    <w:rsid w:val="54DB48A7"/>
    <w:rsid w:val="54E47DB8"/>
    <w:rsid w:val="54E961B7"/>
    <w:rsid w:val="55762E42"/>
    <w:rsid w:val="558629AA"/>
    <w:rsid w:val="559145C2"/>
    <w:rsid w:val="567951E0"/>
    <w:rsid w:val="57A7B272"/>
    <w:rsid w:val="58297091"/>
    <w:rsid w:val="58470068"/>
    <w:rsid w:val="59C81611"/>
    <w:rsid w:val="5A1720F9"/>
    <w:rsid w:val="5A796CAD"/>
    <w:rsid w:val="5AA008D0"/>
    <w:rsid w:val="5B9C37C2"/>
    <w:rsid w:val="5BA7C654"/>
    <w:rsid w:val="5CA93E4A"/>
    <w:rsid w:val="5CD72D31"/>
    <w:rsid w:val="5CF020C0"/>
    <w:rsid w:val="5D825000"/>
    <w:rsid w:val="5E900196"/>
    <w:rsid w:val="5EF07964"/>
    <w:rsid w:val="5F9C306E"/>
    <w:rsid w:val="602D783E"/>
    <w:rsid w:val="602E3073"/>
    <w:rsid w:val="60CB3A27"/>
    <w:rsid w:val="61447973"/>
    <w:rsid w:val="61E2012F"/>
    <w:rsid w:val="62A5718F"/>
    <w:rsid w:val="63386997"/>
    <w:rsid w:val="63717719"/>
    <w:rsid w:val="643141C5"/>
    <w:rsid w:val="643369DE"/>
    <w:rsid w:val="64C0607C"/>
    <w:rsid w:val="64D30139"/>
    <w:rsid w:val="64D66340"/>
    <w:rsid w:val="6623309A"/>
    <w:rsid w:val="66886BF7"/>
    <w:rsid w:val="66EA670C"/>
    <w:rsid w:val="676F09E1"/>
    <w:rsid w:val="67CB0190"/>
    <w:rsid w:val="68D83A16"/>
    <w:rsid w:val="69391043"/>
    <w:rsid w:val="6A0E02BD"/>
    <w:rsid w:val="6AC7523C"/>
    <w:rsid w:val="6B0B23D3"/>
    <w:rsid w:val="6D1F291D"/>
    <w:rsid w:val="6D2248CA"/>
    <w:rsid w:val="6DEF76CF"/>
    <w:rsid w:val="6E1DD6B5"/>
    <w:rsid w:val="6E9B18A4"/>
    <w:rsid w:val="6EB76AF5"/>
    <w:rsid w:val="6F1C3E3A"/>
    <w:rsid w:val="6F3A4069"/>
    <w:rsid w:val="6F805ADB"/>
    <w:rsid w:val="6F9D79CA"/>
    <w:rsid w:val="70724A79"/>
    <w:rsid w:val="70994087"/>
    <w:rsid w:val="71055FA7"/>
    <w:rsid w:val="713C501E"/>
    <w:rsid w:val="714040DA"/>
    <w:rsid w:val="7145534B"/>
    <w:rsid w:val="716B58F7"/>
    <w:rsid w:val="721919E5"/>
    <w:rsid w:val="72CE521F"/>
    <w:rsid w:val="75610DB1"/>
    <w:rsid w:val="76476A41"/>
    <w:rsid w:val="77FFF19E"/>
    <w:rsid w:val="794E2198"/>
    <w:rsid w:val="79593B37"/>
    <w:rsid w:val="7A341E35"/>
    <w:rsid w:val="7A7F1C49"/>
    <w:rsid w:val="7B007533"/>
    <w:rsid w:val="7B330394"/>
    <w:rsid w:val="7B5B7AE6"/>
    <w:rsid w:val="7B61582C"/>
    <w:rsid w:val="7BA139B1"/>
    <w:rsid w:val="7BA7071E"/>
    <w:rsid w:val="7BDF6DA8"/>
    <w:rsid w:val="7BEA01C4"/>
    <w:rsid w:val="7C5C2C18"/>
    <w:rsid w:val="7C7EDC1A"/>
    <w:rsid w:val="7CCED98D"/>
    <w:rsid w:val="7D08410F"/>
    <w:rsid w:val="7D2F31C9"/>
    <w:rsid w:val="7D432F3A"/>
    <w:rsid w:val="7DB01008"/>
    <w:rsid w:val="7DB96DED"/>
    <w:rsid w:val="7DD3AD81"/>
    <w:rsid w:val="7E071013"/>
    <w:rsid w:val="7E0F15BF"/>
    <w:rsid w:val="7E53126C"/>
    <w:rsid w:val="7E9B7B5F"/>
    <w:rsid w:val="7EE457EE"/>
    <w:rsid w:val="7EE852F2"/>
    <w:rsid w:val="7F7FE70F"/>
    <w:rsid w:val="7FB7202B"/>
    <w:rsid w:val="7FCA1A3C"/>
    <w:rsid w:val="7FFF772F"/>
    <w:rsid w:val="95F35EF6"/>
    <w:rsid w:val="9BFFD860"/>
    <w:rsid w:val="AC5F73DE"/>
    <w:rsid w:val="B0EF641F"/>
    <w:rsid w:val="B5DDD2C8"/>
    <w:rsid w:val="B9DFABD9"/>
    <w:rsid w:val="BC0D83FC"/>
    <w:rsid w:val="BF3BDEFB"/>
    <w:rsid w:val="C75F6086"/>
    <w:rsid w:val="C7F7ED2D"/>
    <w:rsid w:val="CFAF854E"/>
    <w:rsid w:val="D8D7928E"/>
    <w:rsid w:val="D8FE3136"/>
    <w:rsid w:val="DDDE60B7"/>
    <w:rsid w:val="DDFB0BAE"/>
    <w:rsid w:val="DE9F6A22"/>
    <w:rsid w:val="DF4FCE6A"/>
    <w:rsid w:val="E4FED278"/>
    <w:rsid w:val="EDAA365C"/>
    <w:rsid w:val="EDADFC12"/>
    <w:rsid w:val="F2FD229B"/>
    <w:rsid w:val="F3F08023"/>
    <w:rsid w:val="F7F709E9"/>
    <w:rsid w:val="F7FF3690"/>
    <w:rsid w:val="F9BD3900"/>
    <w:rsid w:val="FC8B9876"/>
    <w:rsid w:val="FEDFF218"/>
    <w:rsid w:val="FEDFFFF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keepNext/>
      <w:keepLines/>
      <w:widowControl w:val="0"/>
      <w:spacing w:before="100" w:beforeAutospacing="1" w:after="100" w:afterAutospacing="1"/>
      <w:outlineLvl w:val="1"/>
    </w:pPr>
    <w:rPr>
      <w:rFonts w:ascii="Cambria" w:hAnsi="Cambria" w:eastAsia="黑体" w:cs="Times New Roman"/>
      <w:b/>
      <w:bCs/>
      <w:kern w:val="0"/>
      <w:sz w:val="36"/>
      <w:szCs w:val="32"/>
      <w:lang w:bidi="ar-SA"/>
    </w:rPr>
  </w:style>
  <w:style w:type="character" w:default="1" w:styleId="12">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200" w:firstLineChars="200"/>
    </w:pPr>
  </w:style>
  <w:style w:type="paragraph" w:styleId="4">
    <w:name w:val="Body Text"/>
    <w:basedOn w:val="1"/>
    <w:qFormat/>
    <w:uiPriority w:val="1"/>
    <w:pPr>
      <w:ind w:left="109"/>
    </w:pPr>
    <w:rPr>
      <w:rFonts w:ascii="仿宋_GB2312" w:hAnsi="仿宋_GB2312" w:eastAsia="仿宋_GB2312" w:cs="仿宋_GB2312"/>
      <w:sz w:val="32"/>
      <w:szCs w:val="32"/>
      <w:lang w:val="zh-CN" w:bidi="zh-CN"/>
    </w:rPr>
  </w:style>
  <w:style w:type="paragraph" w:styleId="5">
    <w:name w:val="Body Text Indent"/>
    <w:basedOn w:val="1"/>
    <w:qFormat/>
    <w:uiPriority w:val="0"/>
    <w:pPr>
      <w:ind w:firstLine="645"/>
    </w:pPr>
    <w:rPr>
      <w:rFonts w:ascii="仿宋_GB2312" w:hAnsi="Calibri" w:eastAsia="仿宋_GB2312"/>
      <w:sz w:val="32"/>
      <w:szCs w:val="32"/>
    </w:rPr>
  </w:style>
  <w:style w:type="paragraph" w:styleId="6">
    <w:name w:val="Date"/>
    <w:basedOn w:val="1"/>
    <w:next w:val="1"/>
    <w:qFormat/>
    <w:uiPriority w:val="0"/>
    <w:pPr>
      <w:ind w:left="100" w:leftChars="2500"/>
    </w:pPr>
  </w:style>
  <w:style w:type="paragraph" w:styleId="7">
    <w:name w:val="Balloon Text"/>
    <w:basedOn w:val="1"/>
    <w:semiHidden/>
    <w:qFormat/>
    <w:uiPriority w:val="0"/>
    <w:rPr>
      <w:sz w:val="18"/>
      <w:szCs w:val="18"/>
    </w:rPr>
  </w:style>
  <w:style w:type="paragraph" w:styleId="8">
    <w:name w:val="footer"/>
    <w:basedOn w:val="1"/>
    <w:link w:val="15"/>
    <w:qFormat/>
    <w:uiPriority w:val="0"/>
    <w:pPr>
      <w:tabs>
        <w:tab w:val="center" w:pos="4153"/>
        <w:tab w:val="right" w:pos="8306"/>
      </w:tabs>
      <w:snapToGrid w:val="0"/>
      <w:jc w:val="left"/>
    </w:pPr>
    <w:rPr>
      <w:sz w:val="18"/>
      <w:szCs w:val="18"/>
    </w:rPr>
  </w:style>
  <w:style w:type="paragraph" w:styleId="9">
    <w:name w:val="header"/>
    <w:basedOn w:val="1"/>
    <w:link w:val="16"/>
    <w:qFormat/>
    <w:uiPriority w:val="0"/>
    <w:pPr>
      <w:pBdr>
        <w:bottom w:val="single" w:color="auto" w:sz="6" w:space="1"/>
      </w:pBdr>
      <w:tabs>
        <w:tab w:val="center" w:pos="4153"/>
        <w:tab w:val="right" w:pos="8306"/>
      </w:tabs>
      <w:snapToGrid w:val="0"/>
      <w:jc w:val="center"/>
    </w:pPr>
    <w:rPr>
      <w:rFonts w:ascii="Calibri" w:hAnsi="Calibri"/>
      <w:sz w:val="18"/>
      <w:szCs w:val="18"/>
    </w:rPr>
  </w:style>
  <w:style w:type="paragraph" w:styleId="10">
    <w:name w:val="Normal (Web)"/>
    <w:basedOn w:val="1"/>
    <w:unhideWhenUsed/>
    <w:qFormat/>
    <w:uiPriority w:val="0"/>
    <w:pPr>
      <w:spacing w:before="100" w:beforeAutospacing="1" w:after="100" w:afterAutospacing="1"/>
      <w:ind w:right="238"/>
      <w:jc w:val="left"/>
    </w:pPr>
    <w:rPr>
      <w:b/>
      <w:kern w:val="0"/>
      <w:sz w:val="24"/>
      <w:szCs w:val="20"/>
    </w:rPr>
  </w:style>
  <w:style w:type="character" w:styleId="13">
    <w:name w:val="Strong"/>
    <w:qFormat/>
    <w:uiPriority w:val="0"/>
    <w:rPr>
      <w:b/>
    </w:rPr>
  </w:style>
  <w:style w:type="character" w:styleId="14">
    <w:name w:val="page number"/>
    <w:qFormat/>
    <w:uiPriority w:val="0"/>
  </w:style>
  <w:style w:type="character" w:customStyle="1" w:styleId="15">
    <w:name w:val="页脚 Char"/>
    <w:link w:val="8"/>
    <w:qFormat/>
    <w:uiPriority w:val="0"/>
    <w:rPr>
      <w:rFonts w:eastAsia="宋体"/>
      <w:kern w:val="2"/>
      <w:sz w:val="18"/>
      <w:szCs w:val="18"/>
      <w:lang w:val="en-US" w:eastAsia="zh-CN" w:bidi="ar-SA"/>
    </w:rPr>
  </w:style>
  <w:style w:type="character" w:customStyle="1" w:styleId="16">
    <w:name w:val="页眉 Char"/>
    <w:link w:val="9"/>
    <w:qFormat/>
    <w:uiPriority w:val="0"/>
    <w:rPr>
      <w:rFonts w:ascii="Calibri" w:hAnsi="Calibri" w:eastAsia="宋体"/>
      <w:kern w:val="2"/>
      <w:sz w:val="18"/>
      <w:szCs w:val="18"/>
      <w:lang w:val="en-US" w:eastAsia="zh-CN" w:bidi="ar-SA"/>
    </w:rPr>
  </w:style>
  <w:style w:type="paragraph" w:customStyle="1" w:styleId="17">
    <w:name w:val=" Char Char Char Char Char Char Char"/>
    <w:basedOn w:val="1"/>
    <w:qFormat/>
    <w:uiPriority w:val="0"/>
    <w:rPr>
      <w:rFonts w:ascii="Tahoma" w:hAnsi="Tahoma"/>
      <w:sz w:val="24"/>
      <w:szCs w:val="20"/>
    </w:rPr>
  </w:style>
  <w:style w:type="paragraph" w:customStyle="1" w:styleId="18">
    <w:name w:val="Char1 Char Char Char"/>
    <w:basedOn w:val="1"/>
    <w:qFormat/>
    <w:uiPriority w:val="0"/>
    <w:pPr>
      <w:widowControl/>
      <w:spacing w:after="160" w:line="240" w:lineRule="exact"/>
      <w:jc w:val="left"/>
    </w:pPr>
    <w:rPr>
      <w:szCs w:val="20"/>
    </w:rPr>
  </w:style>
  <w:style w:type="paragraph" w:customStyle="1" w:styleId="19">
    <w:name w:val="Char"/>
    <w:basedOn w:val="1"/>
    <w:qFormat/>
    <w:uiPriority w:val="0"/>
    <w:rPr>
      <w:rFonts w:ascii="Tahoma" w:hAnsi="Tahoma"/>
      <w:sz w:val="24"/>
      <w:szCs w:val="20"/>
    </w:rPr>
  </w:style>
  <w:style w:type="paragraph" w:customStyle="1" w:styleId="20">
    <w:name w:val="Char Char3 Char Char"/>
    <w:basedOn w:val="1"/>
    <w:qFormat/>
    <w:uiPriority w:val="0"/>
    <w:rPr>
      <w:szCs w:val="21"/>
    </w:rPr>
  </w:style>
  <w:style w:type="paragraph" w:customStyle="1" w:styleId="21">
    <w:name w:val="Body text|1"/>
    <w:basedOn w:val="1"/>
    <w:qFormat/>
    <w:uiPriority w:val="0"/>
    <w:pPr>
      <w:spacing w:line="391" w:lineRule="auto"/>
      <w:ind w:firstLine="400"/>
    </w:pPr>
    <w:rPr>
      <w:rFonts w:ascii="宋体" w:hAnsi="宋体" w:cs="宋体"/>
      <w:sz w:val="30"/>
      <w:szCs w:val="30"/>
      <w:lang w:val="zh-TW" w:eastAsia="zh-TW" w:bidi="zh-TW"/>
    </w:rPr>
  </w:style>
  <w:style w:type="paragraph" w:customStyle="1" w:styleId="22">
    <w:name w:val="Body text|2"/>
    <w:basedOn w:val="1"/>
    <w:qFormat/>
    <w:uiPriority w:val="0"/>
    <w:pPr>
      <w:spacing w:line="302" w:lineRule="exact"/>
      <w:ind w:left="500" w:firstLine="310"/>
    </w:pPr>
    <w:rPr>
      <w:rFonts w:ascii="宋体" w:hAnsi="宋体" w:eastAsia="宋体" w:cs="宋体"/>
      <w:sz w:val="19"/>
      <w:szCs w:val="19"/>
      <w:lang w:val="zh-TW" w:eastAsia="zh-TW" w:bidi="zh-TW"/>
    </w:rPr>
  </w:style>
  <w:style w:type="paragraph" w:customStyle="1" w:styleId="23">
    <w:name w:val="Other|1"/>
    <w:basedOn w:val="1"/>
    <w:qFormat/>
    <w:uiPriority w:val="0"/>
    <w:pPr>
      <w:spacing w:line="418" w:lineRule="auto"/>
      <w:ind w:firstLine="400"/>
    </w:pPr>
    <w:rPr>
      <w:rFonts w:ascii="宋体" w:hAnsi="宋体" w:eastAsia="宋体" w:cs="宋体"/>
      <w:sz w:val="28"/>
      <w:szCs w:val="28"/>
      <w:lang w:val="zh-TW" w:eastAsia="zh-TW" w:bidi="zh-TW"/>
    </w:rPr>
  </w:style>
  <w:style w:type="paragraph" w:customStyle="1" w:styleId="24">
    <w:name w:val="Body text|3"/>
    <w:basedOn w:val="1"/>
    <w:qFormat/>
    <w:uiPriority w:val="0"/>
    <w:pPr>
      <w:spacing w:after="240"/>
      <w:ind w:firstLine="780"/>
    </w:pPr>
    <w:rPr>
      <w:rFonts w:ascii="宋体" w:hAnsi="宋体" w:cs="宋体"/>
      <w:sz w:val="34"/>
      <w:szCs w:val="34"/>
      <w:lang w:val="zh-TW" w:eastAsia="zh-TW" w:bidi="zh-TW"/>
    </w:rPr>
  </w:style>
  <w:style w:type="paragraph" w:customStyle="1" w:styleId="25">
    <w:name w:val="正文文本 21"/>
    <w:qFormat/>
    <w:uiPriority w:val="0"/>
    <w:pPr>
      <w:widowControl/>
      <w:spacing w:line="580" w:lineRule="exact"/>
      <w:ind w:firstLine="200" w:firstLineChars="200"/>
      <w:jc w:val="both"/>
    </w:pPr>
    <w:rPr>
      <w:rFonts w:ascii="Times New Roman" w:hAnsi="Times New Roman" w:eastAsia="仿宋_GB2312" w:cs="Times New Roman"/>
      <w:color w:val="000000"/>
      <w:kern w:val="0"/>
      <w:sz w:val="32"/>
      <w:szCs w:val="32"/>
      <w:lang w:val="en-US" w:eastAsia="zh-CN" w:bidi="ar-SA"/>
    </w:rPr>
  </w:style>
  <w:style w:type="character" w:customStyle="1" w:styleId="26">
    <w:name w:val="font11"/>
    <w:basedOn w:val="12"/>
    <w:uiPriority w:val="0"/>
    <w:rPr>
      <w:rFonts w:ascii="方正书宋_GBK" w:hAnsi="方正书宋_GBK" w:eastAsia="方正书宋_GBK" w:cs="方正书宋_GBK"/>
      <w:color w:val="000000"/>
      <w:sz w:val="24"/>
      <w:szCs w:val="24"/>
      <w:u w:val="none"/>
    </w:rPr>
  </w:style>
  <w:style w:type="character" w:customStyle="1" w:styleId="27">
    <w:name w:val="font31"/>
    <w:basedOn w:val="12"/>
    <w:uiPriority w:val="0"/>
    <w:rPr>
      <w:rFonts w:hint="eastAsia" w:ascii="仿宋_GB2312" w:eastAsia="仿宋_GB2312" w:cs="仿宋_GB2312"/>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chart" Target="charts/chart2.xml"/><Relationship Id="rId24" Type="http://schemas.openxmlformats.org/officeDocument/2006/relationships/chart" Target="charts/chart1.xml"/><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_rels/chart2.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Workbook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0" vertOverflow="ellipsis" vert="horz" wrap="square" anchor="ctr" anchorCtr="1"/>
        <a:lstStyle/>
        <a:p>
          <a:pPr>
            <a:defRPr lang="zh-CN" sz="1400" b="0" i="0" u="none" strike="noStrike" kern="1200" baseline="0">
              <a:solidFill>
                <a:schemeClr val="bg1">
                  <a:lumMod val="50000"/>
                </a:schemeClr>
              </a:solidFill>
              <a:latin typeface="+mn-lt"/>
              <a:ea typeface="+mn-ea"/>
              <a:cs typeface="+mn-cs"/>
            </a:defRPr>
          </a:pPr>
        </a:p>
      </c:txPr>
    </c:title>
    <c:autoTitleDeleted val="0"/>
    <c:plotArea>
      <c:layout/>
      <c:pieChart>
        <c:varyColors val="1"/>
        <c:ser>
          <c:idx val="0"/>
          <c:order val="0"/>
          <c:tx>
            <c:strRef>
              <c:f>Sheet1!$B$1</c:f>
              <c:strCache>
                <c:ptCount val="1"/>
                <c:pt idx="0">
                  <c:v>收入决算</c:v>
                </c:pt>
              </c:strCache>
            </c:strRef>
          </c:tx>
          <c:spPr/>
          <c:explosion val="0"/>
          <c:dPt>
            <c:idx val="0"/>
            <c:bubble3D val="0"/>
            <c:spPr>
              <a:solidFill>
                <a:schemeClr val="accent1"/>
              </a:solidFill>
              <a:ln>
                <a:solidFill>
                  <a:schemeClr val="bg1"/>
                </a:solidFill>
              </a:ln>
              <a:effectLst/>
            </c:spPr>
          </c:dPt>
          <c:dPt>
            <c:idx val="1"/>
            <c:bubble3D val="0"/>
            <c:spPr>
              <a:solidFill>
                <a:schemeClr val="accent2"/>
              </a:solidFill>
              <a:ln>
                <a:solidFill>
                  <a:schemeClr val="bg1"/>
                </a:solidFill>
              </a:ln>
              <a:effectLst/>
            </c:spPr>
          </c:dPt>
          <c:dPt>
            <c:idx val="2"/>
            <c:bubble3D val="0"/>
            <c:spPr>
              <a:solidFill>
                <a:schemeClr val="accent3"/>
              </a:solidFill>
              <a:ln>
                <a:solidFill>
                  <a:schemeClr val="bg1"/>
                </a:solidFill>
              </a:ln>
              <a:effectLst/>
            </c:spPr>
          </c:dPt>
          <c:dPt>
            <c:idx val="3"/>
            <c:bubble3D val="0"/>
            <c:spPr>
              <a:solidFill>
                <a:schemeClr val="accent4"/>
              </a:solidFill>
              <a:ln>
                <a:solidFill>
                  <a:schemeClr val="bg1"/>
                </a:solidFill>
              </a:ln>
              <a:effectLst/>
            </c:spPr>
          </c:dPt>
          <c:dPt>
            <c:idx val="4"/>
            <c:bubble3D val="0"/>
            <c:spPr>
              <a:solidFill>
                <a:schemeClr val="accent5"/>
              </a:solidFill>
              <a:ln>
                <a:solidFill>
                  <a:schemeClr val="bg1"/>
                </a:solidFill>
              </a:ln>
              <a:effectLst/>
            </c:spPr>
          </c:dPt>
          <c:dPt>
            <c:idx val="5"/>
            <c:bubble3D val="0"/>
            <c:spPr>
              <a:solidFill>
                <a:schemeClr val="accent6"/>
              </a:solidFill>
              <a:ln>
                <a:solidFill>
                  <a:schemeClr val="bg1"/>
                </a:solidFill>
              </a:ln>
              <a:effectLst/>
            </c:spPr>
          </c:dPt>
          <c:dLbls>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lumMod val="75000"/>
                        <a:lumOff val="25000"/>
                      </a:schemeClr>
                    </a:solidFill>
                    <a:latin typeface="+mn-lt"/>
                    <a:ea typeface="+mn-ea"/>
                    <a:cs typeface="+mn-cs"/>
                  </a:defRPr>
                </a:pPr>
              </a:p>
            </c:txPr>
            <c:dLblPos val="inEnd"/>
            <c:showLegendKey val="0"/>
            <c:showVal val="0"/>
            <c:showCatName val="0"/>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财政拨款收入</c:v>
                </c:pt>
                <c:pt idx="1">
                  <c:v>上级补助收入</c:v>
                </c:pt>
                <c:pt idx="2">
                  <c:v>事业收入</c:v>
                </c:pt>
                <c:pt idx="3">
                  <c:v>经营收入</c:v>
                </c:pt>
                <c:pt idx="4">
                  <c:v>附属单位收入</c:v>
                </c:pt>
                <c:pt idx="5">
                  <c:v>其他收入</c:v>
                </c:pt>
              </c:strCache>
            </c:strRef>
          </c:cat>
          <c:val>
            <c:numRef>
              <c:f>Sheet1!$B$2:$B$7</c:f>
              <c:numCache>
                <c:formatCode>General</c:formatCode>
                <c:ptCount val="6"/>
                <c:pt idx="0">
                  <c:v>75</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1"/>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2"/>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3"/>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4"/>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5"/>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0" vertOverflow="ellipsis" vert="horz" wrap="square" anchor="ctr" anchorCtr="1"/>
        <a:lstStyle/>
        <a:p>
          <a:pPr>
            <a:defRPr lang="zh-CN" sz="1400" b="0" i="0" u="none" strike="noStrike" kern="1200" baseline="0">
              <a:solidFill>
                <a:schemeClr val="bg1">
                  <a:lumMod val="50000"/>
                </a:schemeClr>
              </a:solidFill>
              <a:latin typeface="+mn-lt"/>
              <a:ea typeface="+mn-ea"/>
              <a:cs typeface="+mn-cs"/>
            </a:defRPr>
          </a:pPr>
        </a:p>
      </c:txPr>
    </c:title>
    <c:autoTitleDeleted val="0"/>
    <c:plotArea>
      <c:layout/>
      <c:pieChart>
        <c:varyColors val="1"/>
        <c:ser>
          <c:idx val="0"/>
          <c:order val="0"/>
          <c:tx>
            <c:strRef>
              <c:f>Sheet1!$B$1</c:f>
              <c:strCache>
                <c:ptCount val="1"/>
                <c:pt idx="0">
                  <c:v>基本支出和项目支出情况</c:v>
                </c:pt>
              </c:strCache>
            </c:strRef>
          </c:tx>
          <c:spPr/>
          <c:explosion val="0"/>
          <c:dPt>
            <c:idx val="0"/>
            <c:bubble3D val="0"/>
            <c:spPr>
              <a:solidFill>
                <a:schemeClr val="accent1"/>
              </a:solidFill>
              <a:ln>
                <a:solidFill>
                  <a:schemeClr val="bg1"/>
                </a:solidFill>
              </a:ln>
              <a:effectLst/>
            </c:spPr>
          </c:dPt>
          <c:dPt>
            <c:idx val="1"/>
            <c:bubble3D val="0"/>
            <c:spPr>
              <a:solidFill>
                <a:schemeClr val="accent2"/>
              </a:solidFill>
              <a:ln>
                <a:solidFill>
                  <a:schemeClr val="bg1"/>
                </a:solidFill>
              </a:ln>
              <a:effectLst/>
            </c:spPr>
          </c:dPt>
          <c:dPt>
            <c:idx val="2"/>
            <c:bubble3D val="0"/>
            <c:spPr>
              <a:solidFill>
                <a:schemeClr val="accent3"/>
              </a:solidFill>
              <a:ln>
                <a:solidFill>
                  <a:schemeClr val="bg1"/>
                </a:solidFill>
              </a:ln>
              <a:effectLst/>
            </c:spPr>
          </c:dPt>
          <c:dPt>
            <c:idx val="3"/>
            <c:bubble3D val="0"/>
            <c:spPr>
              <a:solidFill>
                <a:schemeClr val="accent4"/>
              </a:solidFill>
              <a:ln>
                <a:solidFill>
                  <a:schemeClr val="bg1"/>
                </a:solidFill>
              </a:ln>
              <a:effectLst/>
            </c:spPr>
          </c:dPt>
          <c:dPt>
            <c:idx val="4"/>
            <c:bubble3D val="0"/>
            <c:spPr>
              <a:solidFill>
                <a:schemeClr val="accent5"/>
              </a:solidFill>
              <a:ln>
                <a:solidFill>
                  <a:schemeClr val="bg1"/>
                </a:solidFill>
              </a:ln>
              <a:effectLst/>
            </c:spPr>
          </c:dPt>
          <c:dPt>
            <c:idx val="5"/>
            <c:bubble3D val="0"/>
            <c:spPr>
              <a:solidFill>
                <a:schemeClr val="accent6"/>
              </a:solidFill>
              <a:ln>
                <a:solidFill>
                  <a:schemeClr val="bg1"/>
                </a:solidFill>
              </a:ln>
              <a:effectLst/>
            </c:spPr>
          </c:dPt>
          <c:dLbls>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lumMod val="75000"/>
                        <a:lumOff val="25000"/>
                      </a:schemeClr>
                    </a:solidFill>
                    <a:latin typeface="+mn-lt"/>
                    <a:ea typeface="+mn-ea"/>
                    <a:cs typeface="+mn-cs"/>
                  </a:defRPr>
                </a:pPr>
              </a:p>
            </c:txPr>
            <c:dLblPos val="inEnd"/>
            <c:showLegendKey val="0"/>
            <c:showVal val="0"/>
            <c:showCatName val="0"/>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基本支出</c:v>
                </c:pt>
                <c:pt idx="1">
                  <c:v>项目支出</c:v>
                </c:pt>
                <c:pt idx="2">
                  <c:v>上缴上级支出</c:v>
                </c:pt>
                <c:pt idx="3">
                  <c:v>经营支出</c:v>
                </c:pt>
                <c:pt idx="4">
                  <c:v>对附属单位补助支出</c:v>
                </c:pt>
              </c:strCache>
            </c:strRef>
          </c:cat>
          <c:val>
            <c:numRef>
              <c:f>Sheet1!$B$2:$B$7</c:f>
              <c:numCache>
                <c:formatCode>General</c:formatCode>
                <c:ptCount val="6"/>
                <c:pt idx="0">
                  <c:v>6705.89</c:v>
                </c:pt>
                <c:pt idx="1">
                  <c:v>109067.65</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1"/>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2"/>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3"/>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4"/>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5"/>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ayout>
        <c:manualLayout>
          <c:xMode val="edge"/>
          <c:yMode val="edge"/>
          <c:x val="0.720005761198329"/>
          <c:y val="0.311791967044284"/>
        </c:manualLayout>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08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08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14</Pages>
  <Words>3815</Words>
  <Characters>6095</Characters>
  <Lines>77</Lines>
  <Paragraphs>21</Paragraphs>
  <TotalTime>1</TotalTime>
  <ScaleCrop>false</ScaleCrop>
  <LinksUpToDate>false</LinksUpToDate>
  <CharactersWithSpaces>6114</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2017-07-12T07:16:00Z</dcterms:created>
  <dc:creator>常程</dc:creator>
  <cp:lastModifiedBy>TT</cp:lastModifiedBy>
  <cp:lastPrinted>2020-08-08T03:39:00Z</cp:lastPrinted>
  <dcterms:modified xsi:type="dcterms:W3CDTF">2024-12-18T08:04:51Z</dcterms:modified>
  <dc:title>北京市财政局关于做好向市人大常委会报送2015年度市级部门决算（草案）</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y fmtid="{D5CDD505-2E9C-101B-9397-08002B2CF9AE}" pid="3" name="ICV">
    <vt:lpwstr>C53E0049DD7D4F56A956C4A3BA3D12CC_13</vt:lpwstr>
  </property>
</Properties>
</file>