
<file path=[Content_Types].xml><?xml version="1.0" encoding="utf-8"?>
<Types xmlns="http://schemas.openxmlformats.org/package/2006/content-types">
  <Default Extension="xlsx" ContentType="application/vnd.openxmlformats-officedocument.spreadsheetml.sheet"/>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style1.xml" ContentType="application/vnd.ms-office.chartstyle+xml"/>
  <Override PartName="/word/charts/style2.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仿宋_GB2312" w:eastAsia="仿宋_GB2312"/>
          <w:b/>
          <w:sz w:val="32"/>
          <w:szCs w:val="32"/>
        </w:rPr>
      </w:pPr>
    </w:p>
    <w:p>
      <w:pPr>
        <w:jc w:val="center"/>
        <w:rPr>
          <w:rFonts w:hint="eastAsia" w:ascii="黑体" w:eastAsia="黑体"/>
          <w:sz w:val="72"/>
          <w:szCs w:val="72"/>
        </w:rPr>
      </w:pPr>
    </w:p>
    <w:p>
      <w:pPr>
        <w:jc w:val="center"/>
        <w:rPr>
          <w:rFonts w:ascii="黑体" w:eastAsia="黑体"/>
          <w:sz w:val="72"/>
          <w:szCs w:val="72"/>
        </w:rPr>
      </w:pPr>
    </w:p>
    <w:p>
      <w:pPr>
        <w:jc w:val="center"/>
        <w:rPr>
          <w:rFonts w:hint="eastAsia" w:ascii="黑体" w:eastAsia="黑体"/>
          <w:sz w:val="72"/>
          <w:szCs w:val="72"/>
        </w:rPr>
      </w:pPr>
    </w:p>
    <w:p>
      <w:pPr>
        <w:jc w:val="center"/>
        <w:rPr>
          <w:rFonts w:hint="eastAsia" w:ascii="黑体" w:eastAsia="黑体"/>
          <w:sz w:val="72"/>
          <w:szCs w:val="72"/>
        </w:rPr>
      </w:pPr>
    </w:p>
    <w:p>
      <w:pPr>
        <w:jc w:val="center"/>
        <w:rPr>
          <w:rFonts w:hint="eastAsia" w:ascii="黑体" w:eastAsia="黑体"/>
          <w:sz w:val="72"/>
          <w:szCs w:val="72"/>
        </w:rPr>
      </w:pPr>
      <w:r>
        <w:rPr>
          <w:rFonts w:hint="eastAsia" w:ascii="黑体" w:eastAsia="黑体"/>
          <w:sz w:val="72"/>
          <w:szCs w:val="72"/>
        </w:rPr>
        <w:t>202</w:t>
      </w:r>
      <w:r>
        <w:rPr>
          <w:rFonts w:hint="eastAsia" w:ascii="黑体" w:eastAsia="黑体"/>
          <w:sz w:val="72"/>
          <w:szCs w:val="72"/>
          <w:lang w:val="en-US" w:eastAsia="zh-CN"/>
        </w:rPr>
        <w:t>3</w:t>
      </w:r>
      <w:r>
        <w:rPr>
          <w:rFonts w:hint="eastAsia" w:ascii="黑体" w:eastAsia="黑体"/>
          <w:sz w:val="72"/>
          <w:szCs w:val="72"/>
        </w:rPr>
        <w:t>年度部门决算（草案</w:t>
      </w:r>
      <w:r>
        <w:rPr>
          <w:rFonts w:ascii="黑体" w:eastAsia="黑体"/>
          <w:sz w:val="72"/>
          <w:szCs w:val="72"/>
        </w:rPr>
        <w:t>）</w:t>
      </w:r>
    </w:p>
    <w:p>
      <w:pPr>
        <w:jc w:val="center"/>
        <w:rPr>
          <w:rFonts w:ascii="黑体" w:eastAsia="黑体"/>
          <w:sz w:val="52"/>
          <w:szCs w:val="52"/>
        </w:rPr>
      </w:pPr>
    </w:p>
    <w:p>
      <w:pPr>
        <w:jc w:val="center"/>
        <w:rPr>
          <w:rFonts w:ascii="黑体" w:eastAsia="黑体"/>
          <w:sz w:val="52"/>
          <w:szCs w:val="52"/>
        </w:rPr>
      </w:pPr>
    </w:p>
    <w:p>
      <w:pPr>
        <w:jc w:val="center"/>
        <w:rPr>
          <w:rFonts w:ascii="黑体" w:eastAsia="黑体"/>
          <w:sz w:val="52"/>
          <w:szCs w:val="52"/>
        </w:rPr>
      </w:pPr>
    </w:p>
    <w:p>
      <w:pPr>
        <w:jc w:val="center"/>
        <w:rPr>
          <w:rFonts w:ascii="黑体" w:eastAsia="黑体"/>
          <w:sz w:val="52"/>
          <w:szCs w:val="52"/>
        </w:rPr>
      </w:pPr>
    </w:p>
    <w:p>
      <w:pPr>
        <w:jc w:val="center"/>
        <w:rPr>
          <w:rFonts w:hint="eastAsia" w:ascii="黑体" w:eastAsia="黑体"/>
          <w:sz w:val="32"/>
          <w:szCs w:val="32"/>
        </w:rPr>
      </w:pPr>
    </w:p>
    <w:p>
      <w:pPr>
        <w:spacing w:line="500" w:lineRule="exact"/>
        <w:ind w:firstLine="645"/>
        <w:jc w:val="center"/>
        <w:rPr>
          <w:rFonts w:ascii="宋体" w:hAnsi="宋体" w:cs="宋体"/>
          <w:b/>
          <w:bCs/>
          <w:kern w:val="0"/>
          <w:sz w:val="44"/>
          <w:szCs w:val="36"/>
        </w:rPr>
      </w:pPr>
      <w:r>
        <w:rPr>
          <w:rFonts w:hint="eastAsia" w:ascii="宋体" w:hAnsi="宋体" w:cs="宋体"/>
          <w:b/>
          <w:bCs/>
          <w:kern w:val="0"/>
          <w:sz w:val="44"/>
          <w:szCs w:val="36"/>
        </w:rPr>
        <w:t>目    录</w:t>
      </w:r>
    </w:p>
    <w:p>
      <w:pPr>
        <w:spacing w:line="500" w:lineRule="exact"/>
        <w:ind w:firstLine="645"/>
        <w:jc w:val="center"/>
        <w:rPr>
          <w:rFonts w:hint="eastAsia" w:ascii="宋体" w:hAnsi="宋体" w:cs="宋体"/>
          <w:b/>
          <w:bCs/>
          <w:kern w:val="0"/>
          <w:sz w:val="36"/>
          <w:szCs w:val="36"/>
        </w:rPr>
      </w:pPr>
    </w:p>
    <w:p>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第一部分 202</w:t>
      </w:r>
      <w:r>
        <w:rPr>
          <w:rFonts w:hint="eastAsia" w:ascii="宋体" w:hAnsi="宋体" w:cs="宋体"/>
          <w:bCs/>
          <w:spacing w:val="40"/>
          <w:kern w:val="0"/>
          <w:sz w:val="32"/>
          <w:szCs w:val="32"/>
          <w:lang w:val="en-US" w:eastAsia="zh-CN"/>
        </w:rPr>
        <w:t>3</w:t>
      </w:r>
      <w:r>
        <w:rPr>
          <w:rFonts w:hint="eastAsia" w:ascii="宋体" w:hAnsi="宋体" w:cs="宋体"/>
          <w:bCs/>
          <w:spacing w:val="40"/>
          <w:kern w:val="0"/>
          <w:sz w:val="32"/>
          <w:szCs w:val="32"/>
        </w:rPr>
        <w:t>年度部门决算报表</w:t>
      </w:r>
    </w:p>
    <w:p>
      <w:pPr>
        <w:tabs>
          <w:tab w:val="center" w:pos="6979"/>
        </w:tabs>
        <w:spacing w:line="500" w:lineRule="exact"/>
        <w:ind w:firstLine="2400" w:firstLineChars="600"/>
        <w:jc w:val="left"/>
        <w:rPr>
          <w:rFonts w:hint="eastAsia" w:ascii="仿宋_GB2312" w:hAnsi="仿宋" w:eastAsia="仿宋_GB2312"/>
          <w:spacing w:val="40"/>
          <w:sz w:val="32"/>
          <w:szCs w:val="32"/>
        </w:rPr>
      </w:pPr>
      <w:r>
        <w:rPr>
          <w:rFonts w:hint="eastAsia" w:ascii="仿宋_GB2312" w:hAnsi="仿宋" w:eastAsia="仿宋_GB2312" w:cs="宋体"/>
          <w:bCs/>
          <w:spacing w:val="40"/>
          <w:kern w:val="0"/>
          <w:sz w:val="32"/>
          <w:szCs w:val="32"/>
        </w:rPr>
        <w:t>一、收入支出决算总表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二、收入决算表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三、支出决算表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四、财政拨款收入支出决算总表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五、一般公共预算财政拨款收入支出决算表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六、一般公共预算财政拨款支出决算表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七、一般公共预算财政拨款</w:t>
      </w:r>
      <w:r>
        <w:rPr>
          <w:rFonts w:ascii="仿宋_GB2312" w:hAnsi="仿宋" w:eastAsia="仿宋_GB2312" w:cs="宋体"/>
          <w:bCs/>
          <w:spacing w:val="40"/>
          <w:kern w:val="0"/>
          <w:sz w:val="32"/>
          <w:szCs w:val="32"/>
        </w:rPr>
        <w:t>基本支出决算表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八</w:t>
      </w:r>
      <w:r>
        <w:rPr>
          <w:rFonts w:ascii="仿宋_GB2312" w:hAnsi="仿宋" w:eastAsia="仿宋_GB2312" w:cs="宋体"/>
          <w:bCs/>
          <w:spacing w:val="40"/>
          <w:kern w:val="0"/>
          <w:sz w:val="32"/>
          <w:szCs w:val="32"/>
        </w:rPr>
        <w:t>、</w:t>
      </w:r>
      <w:r>
        <w:rPr>
          <w:rFonts w:hint="eastAsia" w:ascii="仿宋_GB2312" w:hAnsi="仿宋" w:eastAsia="仿宋_GB2312" w:cs="宋体"/>
          <w:bCs/>
          <w:spacing w:val="40"/>
          <w:kern w:val="0"/>
          <w:sz w:val="32"/>
          <w:szCs w:val="32"/>
        </w:rPr>
        <w:t>政府性基金预算财政拨款收入支出决算表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九、</w:t>
      </w:r>
      <w:r>
        <w:rPr>
          <w:rFonts w:ascii="仿宋_GB2312" w:hAnsi="仿宋" w:eastAsia="仿宋_GB2312" w:cs="宋体"/>
          <w:bCs/>
          <w:spacing w:val="40"/>
          <w:kern w:val="0"/>
          <w:sz w:val="32"/>
          <w:szCs w:val="32"/>
        </w:rPr>
        <w:t>政府性基金</w:t>
      </w:r>
      <w:r>
        <w:rPr>
          <w:rFonts w:hint="eastAsia" w:ascii="仿宋_GB2312" w:hAnsi="仿宋" w:eastAsia="仿宋_GB2312" w:cs="宋体"/>
          <w:bCs/>
          <w:spacing w:val="40"/>
          <w:kern w:val="0"/>
          <w:sz w:val="32"/>
          <w:szCs w:val="32"/>
        </w:rPr>
        <w:t>预算</w:t>
      </w:r>
      <w:r>
        <w:rPr>
          <w:rFonts w:ascii="仿宋_GB2312" w:hAnsi="仿宋" w:eastAsia="仿宋_GB2312" w:cs="宋体"/>
          <w:bCs/>
          <w:spacing w:val="40"/>
          <w:kern w:val="0"/>
          <w:sz w:val="32"/>
          <w:szCs w:val="32"/>
        </w:rPr>
        <w:t>财政拨款基本支出决算表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十、国有资本经营预算财政拨款支出决算表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十一、财政拨款“三公”经费支出决算表</w:t>
      </w:r>
    </w:p>
    <w:p>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十二、政府采购情况表</w:t>
      </w:r>
    </w:p>
    <w:p>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十三、政府购买服务决算公开情况表</w:t>
      </w:r>
    </w:p>
    <w:p>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 xml:space="preserve">第二部分 </w:t>
      </w:r>
      <w:r>
        <w:rPr>
          <w:rFonts w:hint="eastAsia" w:ascii="宋体" w:hAnsi="宋体"/>
          <w:spacing w:val="40"/>
          <w:sz w:val="32"/>
          <w:szCs w:val="32"/>
        </w:rPr>
        <w:t>202</w:t>
      </w:r>
      <w:r>
        <w:rPr>
          <w:rFonts w:hint="eastAsia" w:ascii="宋体" w:hAnsi="宋体"/>
          <w:spacing w:val="40"/>
          <w:sz w:val="32"/>
          <w:szCs w:val="32"/>
          <w:lang w:val="en-US" w:eastAsia="zh-CN"/>
        </w:rPr>
        <w:t>3</w:t>
      </w:r>
      <w:r>
        <w:rPr>
          <w:rFonts w:hint="eastAsia" w:ascii="宋体" w:hAnsi="宋体"/>
          <w:spacing w:val="40"/>
          <w:sz w:val="32"/>
          <w:szCs w:val="32"/>
        </w:rPr>
        <w:t>年度部门决算说明</w:t>
      </w:r>
    </w:p>
    <w:p>
      <w:pPr>
        <w:tabs>
          <w:tab w:val="center" w:pos="6979"/>
        </w:tabs>
        <w:spacing w:line="500" w:lineRule="exact"/>
        <w:ind w:firstLine="1600" w:firstLineChars="400"/>
        <w:jc w:val="left"/>
        <w:rPr>
          <w:rFonts w:hint="eastAsia" w:ascii="宋体" w:hAnsi="宋体" w:cs="宋体"/>
          <w:spacing w:val="40"/>
          <w:kern w:val="0"/>
          <w:sz w:val="32"/>
          <w:szCs w:val="32"/>
        </w:rPr>
      </w:pPr>
      <w:r>
        <w:rPr>
          <w:rFonts w:hint="eastAsia" w:ascii="宋体" w:hAnsi="宋体" w:cs="宋体"/>
          <w:bCs/>
          <w:spacing w:val="40"/>
          <w:kern w:val="0"/>
          <w:sz w:val="32"/>
          <w:szCs w:val="32"/>
        </w:rPr>
        <w:t xml:space="preserve">第三部分 </w:t>
      </w:r>
      <w:r>
        <w:rPr>
          <w:rFonts w:hint="eastAsia" w:ascii="宋体" w:hAnsi="宋体"/>
          <w:spacing w:val="40"/>
          <w:sz w:val="32"/>
          <w:szCs w:val="32"/>
        </w:rPr>
        <w:t>202</w:t>
      </w:r>
      <w:r>
        <w:rPr>
          <w:rFonts w:hint="eastAsia" w:ascii="宋体" w:hAnsi="宋体"/>
          <w:spacing w:val="40"/>
          <w:sz w:val="32"/>
          <w:szCs w:val="32"/>
          <w:lang w:val="en-US" w:eastAsia="zh-CN"/>
        </w:rPr>
        <w:t>3</w:t>
      </w:r>
      <w:r>
        <w:rPr>
          <w:rFonts w:hint="eastAsia" w:ascii="宋体" w:hAnsi="宋体"/>
          <w:spacing w:val="40"/>
          <w:sz w:val="32"/>
          <w:szCs w:val="32"/>
        </w:rPr>
        <w:t>年度</w:t>
      </w:r>
      <w:r>
        <w:rPr>
          <w:rFonts w:hint="eastAsia" w:ascii="宋体" w:hAnsi="宋体" w:cs="宋体"/>
          <w:spacing w:val="40"/>
          <w:kern w:val="0"/>
          <w:sz w:val="32"/>
          <w:szCs w:val="32"/>
        </w:rPr>
        <w:t>其他重要事项的情况说明</w:t>
      </w:r>
    </w:p>
    <w:p>
      <w:pPr>
        <w:tabs>
          <w:tab w:val="center" w:pos="6979"/>
        </w:tabs>
        <w:spacing w:line="500" w:lineRule="exact"/>
        <w:ind w:firstLine="1600" w:firstLineChars="400"/>
        <w:jc w:val="left"/>
        <w:rPr>
          <w:rFonts w:hint="eastAsia" w:ascii="宋体" w:hAnsi="宋体" w:cs="宋体"/>
          <w:spacing w:val="40"/>
          <w:kern w:val="0"/>
          <w:sz w:val="36"/>
          <w:szCs w:val="32"/>
        </w:rPr>
      </w:pPr>
      <w:r>
        <w:rPr>
          <w:rFonts w:hint="eastAsia" w:ascii="宋体" w:hAnsi="宋体" w:cs="宋体"/>
          <w:spacing w:val="40"/>
          <w:kern w:val="0"/>
          <w:sz w:val="32"/>
          <w:szCs w:val="32"/>
        </w:rPr>
        <w:t>第四部分 202</w:t>
      </w:r>
      <w:r>
        <w:rPr>
          <w:rFonts w:hint="eastAsia" w:ascii="宋体" w:hAnsi="宋体" w:cs="宋体"/>
          <w:spacing w:val="40"/>
          <w:kern w:val="0"/>
          <w:sz w:val="32"/>
          <w:szCs w:val="32"/>
          <w:lang w:val="en-US" w:eastAsia="zh-CN"/>
        </w:rPr>
        <w:t>3</w:t>
      </w:r>
      <w:r>
        <w:rPr>
          <w:rFonts w:hint="eastAsia" w:ascii="宋体" w:hAnsi="宋体" w:cs="宋体"/>
          <w:spacing w:val="40"/>
          <w:kern w:val="0"/>
          <w:sz w:val="32"/>
          <w:szCs w:val="32"/>
        </w:rPr>
        <w:t>年度部门绩效评价情况</w:t>
      </w: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r>
        <w:rPr>
          <w:rFonts w:hint="eastAsia" w:ascii="宋体" w:hAnsi="宋体" w:cs="宋体"/>
          <w:b/>
          <w:bCs/>
          <w:spacing w:val="40"/>
          <w:kern w:val="0"/>
          <w:sz w:val="32"/>
          <w:szCs w:val="32"/>
        </w:rPr>
        <w:t>第一部分 202</w:t>
      </w:r>
      <w:r>
        <w:rPr>
          <w:rFonts w:hint="eastAsia" w:ascii="宋体" w:hAnsi="宋体" w:cs="宋体"/>
          <w:b/>
          <w:bCs/>
          <w:spacing w:val="40"/>
          <w:kern w:val="0"/>
          <w:sz w:val="32"/>
          <w:szCs w:val="32"/>
          <w:lang w:val="en-US" w:eastAsia="zh-CN"/>
        </w:rPr>
        <w:t>3</w:t>
      </w:r>
      <w:r>
        <w:rPr>
          <w:rFonts w:hint="eastAsia" w:ascii="宋体" w:hAnsi="宋体" w:cs="宋体"/>
          <w:b/>
          <w:bCs/>
          <w:spacing w:val="40"/>
          <w:kern w:val="0"/>
          <w:sz w:val="32"/>
          <w:szCs w:val="32"/>
        </w:rPr>
        <w:t>年度部门决算报表</w:t>
      </w:r>
    </w:p>
    <w:p>
      <w:pPr>
        <w:pStyle w:val="3"/>
        <w:rPr>
          <w:rFonts w:hint="eastAsia" w:ascii="仿宋_GB2312" w:eastAsia="仿宋_GB2312"/>
          <w:b w:val="0"/>
          <w:bCs w:val="0"/>
          <w:sz w:val="28"/>
          <w:szCs w:val="28"/>
          <w:lang w:eastAsia="zh-CN"/>
        </w:rPr>
      </w:pPr>
    </w:p>
    <w:p>
      <w:pPr>
        <w:rPr>
          <w:rFonts w:hint="eastAsia" w:ascii="仿宋_GB2312" w:eastAsia="仿宋_GB2312"/>
          <w:b w:val="0"/>
          <w:bCs w:val="0"/>
          <w:sz w:val="28"/>
          <w:szCs w:val="28"/>
          <w:lang w:eastAsia="zh-CN"/>
        </w:rPr>
      </w:pPr>
    </w:p>
    <w:p>
      <w:pPr>
        <w:pStyle w:val="2"/>
        <w:rPr>
          <w:rFonts w:hint="eastAsia"/>
          <w:lang w:val="en" w:eastAsia="zh-CN"/>
        </w:rPr>
        <w:sectPr>
          <w:footerReference r:id="rId3" w:type="default"/>
          <w:pgSz w:w="16838" w:h="11906" w:orient="landscape"/>
          <w:pgMar w:top="1134" w:right="1134" w:bottom="1134" w:left="1134" w:header="851" w:footer="992" w:gutter="0"/>
          <w:cols w:space="720" w:num="1"/>
          <w:docGrid w:type="linesAndChars" w:linePitch="312" w:charSpace="0"/>
        </w:sectPr>
      </w:pPr>
      <w:r>
        <w:rPr>
          <w:rFonts w:hint="eastAsia"/>
          <w:lang w:val="en" w:eastAsia="zh-CN"/>
        </w:rPr>
        <w:drawing>
          <wp:inline distT="0" distB="0" distL="114300" distR="114300">
            <wp:extent cx="9249410" cy="5107940"/>
            <wp:effectExtent l="0" t="0" r="8890" b="16510"/>
            <wp:docPr id="6" name="图片 6" descr="1719451579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19451579125"/>
                    <pic:cNvPicPr>
                      <a:picLocks noChangeAspect="1"/>
                    </pic:cNvPicPr>
                  </pic:nvPicPr>
                  <pic:blipFill>
                    <a:blip r:embed="rId7"/>
                    <a:stretch>
                      <a:fillRect/>
                    </a:stretch>
                  </pic:blipFill>
                  <pic:spPr>
                    <a:xfrm>
                      <a:off x="0" y="0"/>
                      <a:ext cx="9249410" cy="5107940"/>
                    </a:xfrm>
                    <a:prstGeom prst="rect">
                      <a:avLst/>
                    </a:prstGeom>
                  </pic:spPr>
                </pic:pic>
              </a:graphicData>
            </a:graphic>
          </wp:inline>
        </w:drawing>
      </w:r>
    </w:p>
    <w:p>
      <w:pPr>
        <w:tabs>
          <w:tab w:val="center" w:pos="6979"/>
        </w:tabs>
        <w:spacing w:before="156" w:beforeLines="50" w:after="156" w:afterLines="50"/>
        <w:jc w:val="center"/>
        <w:rPr>
          <w:rFonts w:hint="eastAsia" w:ascii="宋体" w:hAnsi="宋体" w:cs="宋体"/>
          <w:b/>
          <w:bCs/>
          <w:spacing w:val="40"/>
          <w:kern w:val="0"/>
          <w:sz w:val="32"/>
          <w:szCs w:val="32"/>
        </w:rPr>
      </w:pPr>
      <w:r>
        <w:rPr>
          <w:rFonts w:hint="eastAsia" w:ascii="宋体" w:hAnsi="宋体" w:cs="宋体"/>
          <w:b/>
          <w:bCs/>
          <w:spacing w:val="40"/>
          <w:kern w:val="0"/>
          <w:sz w:val="32"/>
          <w:szCs w:val="32"/>
        </w:rPr>
        <w:drawing>
          <wp:inline distT="0" distB="0" distL="114300" distR="114300">
            <wp:extent cx="9246870" cy="3378835"/>
            <wp:effectExtent l="0" t="0" r="11430" b="12065"/>
            <wp:docPr id="7" name="图片 7" descr="1719451653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19451653407"/>
                    <pic:cNvPicPr>
                      <a:picLocks noChangeAspect="1"/>
                    </pic:cNvPicPr>
                  </pic:nvPicPr>
                  <pic:blipFill>
                    <a:blip r:embed="rId8"/>
                    <a:stretch>
                      <a:fillRect/>
                    </a:stretch>
                  </pic:blipFill>
                  <pic:spPr>
                    <a:xfrm>
                      <a:off x="0" y="0"/>
                      <a:ext cx="9246870" cy="3378835"/>
                    </a:xfrm>
                    <a:prstGeom prst="rect">
                      <a:avLst/>
                    </a:prstGeom>
                  </pic:spPr>
                </pic:pic>
              </a:graphicData>
            </a:graphic>
          </wp:inline>
        </w:drawing>
      </w:r>
      <w:r>
        <w:drawing>
          <wp:inline distT="0" distB="0" distL="114300" distR="114300">
            <wp:extent cx="9251950" cy="2859405"/>
            <wp:effectExtent l="0" t="0" r="6350" b="1714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9"/>
                    <a:stretch>
                      <a:fillRect/>
                    </a:stretch>
                  </pic:blipFill>
                  <pic:spPr>
                    <a:xfrm>
                      <a:off x="0" y="0"/>
                      <a:ext cx="9251950" cy="2859405"/>
                    </a:xfrm>
                    <a:prstGeom prst="rect">
                      <a:avLst/>
                    </a:prstGeom>
                    <a:noFill/>
                    <a:ln>
                      <a:noFill/>
                    </a:ln>
                  </pic:spPr>
                </pic:pic>
              </a:graphicData>
            </a:graphic>
          </wp:inline>
        </w:drawing>
      </w:r>
      <w:r>
        <w:rPr>
          <w:rFonts w:hint="eastAsia" w:ascii="宋体" w:hAnsi="宋体" w:cs="宋体"/>
          <w:b/>
          <w:bCs/>
          <w:spacing w:val="40"/>
          <w:kern w:val="0"/>
          <w:sz w:val="32"/>
          <w:szCs w:val="32"/>
        </w:rPr>
        <w:drawing>
          <wp:inline distT="0" distB="0" distL="114300" distR="114300">
            <wp:extent cx="9148445" cy="6074410"/>
            <wp:effectExtent l="0" t="0" r="14605" b="2540"/>
            <wp:docPr id="9" name="图片 9" descr="1719451743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9451743616"/>
                    <pic:cNvPicPr>
                      <a:picLocks noChangeAspect="1"/>
                    </pic:cNvPicPr>
                  </pic:nvPicPr>
                  <pic:blipFill>
                    <a:blip r:embed="rId10"/>
                    <a:stretch>
                      <a:fillRect/>
                    </a:stretch>
                  </pic:blipFill>
                  <pic:spPr>
                    <a:xfrm>
                      <a:off x="0" y="0"/>
                      <a:ext cx="9148445" cy="6074410"/>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43060" cy="3039110"/>
            <wp:effectExtent l="0" t="0" r="15240" b="8890"/>
            <wp:docPr id="10" name="图片 10" descr="1719451789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9451789693"/>
                    <pic:cNvPicPr>
                      <a:picLocks noChangeAspect="1"/>
                    </pic:cNvPicPr>
                  </pic:nvPicPr>
                  <pic:blipFill>
                    <a:blip r:embed="rId11"/>
                    <a:stretch>
                      <a:fillRect/>
                    </a:stretch>
                  </pic:blipFill>
                  <pic:spPr>
                    <a:xfrm>
                      <a:off x="0" y="0"/>
                      <a:ext cx="9243060" cy="3039110"/>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45600" cy="3176905"/>
            <wp:effectExtent l="0" t="0" r="12700" b="4445"/>
            <wp:docPr id="11" name="图片 11" descr="1719451820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9451820519"/>
                    <pic:cNvPicPr>
                      <a:picLocks noChangeAspect="1"/>
                    </pic:cNvPicPr>
                  </pic:nvPicPr>
                  <pic:blipFill>
                    <a:blip r:embed="rId12"/>
                    <a:stretch>
                      <a:fillRect/>
                    </a:stretch>
                  </pic:blipFill>
                  <pic:spPr>
                    <a:xfrm>
                      <a:off x="0" y="0"/>
                      <a:ext cx="9245600" cy="3176905"/>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51950" cy="6047105"/>
            <wp:effectExtent l="0" t="0" r="6350" b="10795"/>
            <wp:docPr id="12" name="图片 12" descr="1719451866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19451866548"/>
                    <pic:cNvPicPr>
                      <a:picLocks noChangeAspect="1"/>
                    </pic:cNvPicPr>
                  </pic:nvPicPr>
                  <pic:blipFill>
                    <a:blip r:embed="rId13"/>
                    <a:stretch>
                      <a:fillRect/>
                    </a:stretch>
                  </pic:blipFill>
                  <pic:spPr>
                    <a:xfrm>
                      <a:off x="0" y="0"/>
                      <a:ext cx="9251950" cy="6047105"/>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47505" cy="1728470"/>
            <wp:effectExtent l="0" t="0" r="10795" b="5080"/>
            <wp:docPr id="13" name="图片 13" descr="171945190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19451902541"/>
                    <pic:cNvPicPr>
                      <a:picLocks noChangeAspect="1"/>
                    </pic:cNvPicPr>
                  </pic:nvPicPr>
                  <pic:blipFill>
                    <a:blip r:embed="rId14"/>
                    <a:stretch>
                      <a:fillRect/>
                    </a:stretch>
                  </pic:blipFill>
                  <pic:spPr>
                    <a:xfrm>
                      <a:off x="0" y="0"/>
                      <a:ext cx="9247505" cy="1728470"/>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060815" cy="6073140"/>
            <wp:effectExtent l="0" t="0" r="6985" b="3810"/>
            <wp:docPr id="14" name="图片 14" descr="1719451935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19451935063"/>
                    <pic:cNvPicPr>
                      <a:picLocks noChangeAspect="1"/>
                    </pic:cNvPicPr>
                  </pic:nvPicPr>
                  <pic:blipFill>
                    <a:blip r:embed="rId15"/>
                    <a:stretch>
                      <a:fillRect/>
                    </a:stretch>
                  </pic:blipFill>
                  <pic:spPr>
                    <a:xfrm>
                      <a:off x="0" y="0"/>
                      <a:ext cx="9060815" cy="6073140"/>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44965" cy="1769110"/>
            <wp:effectExtent l="0" t="0" r="13335" b="2540"/>
            <wp:docPr id="15" name="图片 15" descr="1719451964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19451964282"/>
                    <pic:cNvPicPr>
                      <a:picLocks noChangeAspect="1"/>
                    </pic:cNvPicPr>
                  </pic:nvPicPr>
                  <pic:blipFill>
                    <a:blip r:embed="rId16"/>
                    <a:stretch>
                      <a:fillRect/>
                    </a:stretch>
                  </pic:blipFill>
                  <pic:spPr>
                    <a:xfrm>
                      <a:off x="0" y="0"/>
                      <a:ext cx="9244965" cy="1769110"/>
                    </a:xfrm>
                    <a:prstGeom prst="rect">
                      <a:avLst/>
                    </a:prstGeom>
                  </pic:spPr>
                </pic:pic>
              </a:graphicData>
            </a:graphic>
          </wp:inline>
        </w:drawing>
      </w: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eastAsia="宋体" w:cs="宋体"/>
          <w:b/>
          <w:bCs/>
          <w:spacing w:val="40"/>
          <w:kern w:val="0"/>
          <w:sz w:val="32"/>
          <w:szCs w:val="32"/>
          <w:lang w:eastAsia="zh-CN"/>
        </w:rPr>
      </w:pPr>
      <w:r>
        <w:rPr>
          <w:rFonts w:hint="eastAsia" w:ascii="宋体" w:hAnsi="宋体" w:eastAsia="宋体" w:cs="宋体"/>
          <w:b/>
          <w:bCs/>
          <w:spacing w:val="40"/>
          <w:kern w:val="0"/>
          <w:sz w:val="32"/>
          <w:szCs w:val="32"/>
          <w:lang w:eastAsia="zh-CN"/>
        </w:rPr>
        <w:drawing>
          <wp:inline distT="0" distB="0" distL="114300" distR="114300">
            <wp:extent cx="9242425" cy="1709420"/>
            <wp:effectExtent l="0" t="0" r="15875" b="5080"/>
            <wp:docPr id="1" name="图片 1" descr="171990424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9904242278"/>
                    <pic:cNvPicPr>
                      <a:picLocks noChangeAspect="1"/>
                    </pic:cNvPicPr>
                  </pic:nvPicPr>
                  <pic:blipFill>
                    <a:blip r:embed="rId17"/>
                    <a:stretch>
                      <a:fillRect/>
                    </a:stretch>
                  </pic:blipFill>
                  <pic:spPr>
                    <a:xfrm>
                      <a:off x="0" y="0"/>
                      <a:ext cx="9242425" cy="1709420"/>
                    </a:xfrm>
                    <a:prstGeom prst="rect">
                      <a:avLst/>
                    </a:prstGeom>
                  </pic:spPr>
                </pic:pic>
              </a:graphicData>
            </a:graphic>
          </wp:inline>
        </w:drawing>
      </w: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cs="宋体"/>
          <w:b/>
          <w:bCs/>
          <w:spacing w:val="40"/>
          <w:kern w:val="0"/>
          <w:sz w:val="32"/>
          <w:szCs w:val="32"/>
        </w:rPr>
      </w:pPr>
    </w:p>
    <w:p>
      <w:pPr>
        <w:tabs>
          <w:tab w:val="center" w:pos="6979"/>
        </w:tabs>
        <w:spacing w:before="156" w:beforeLines="50" w:after="156" w:afterLines="50"/>
        <w:jc w:val="center"/>
        <w:rPr>
          <w:rFonts w:hint="eastAsia" w:ascii="宋体" w:hAnsi="宋体"/>
          <w:b/>
          <w:sz w:val="32"/>
          <w:szCs w:val="32"/>
        </w:rPr>
      </w:pPr>
      <w:r>
        <w:rPr>
          <w:rFonts w:hint="eastAsia" w:ascii="宋体" w:hAnsi="宋体" w:cs="宋体"/>
          <w:b/>
          <w:bCs/>
          <w:spacing w:val="40"/>
          <w:kern w:val="0"/>
          <w:sz w:val="32"/>
          <w:szCs w:val="32"/>
        </w:rPr>
        <w:drawing>
          <wp:inline distT="0" distB="0" distL="114300" distR="114300">
            <wp:extent cx="9247505" cy="2322195"/>
            <wp:effectExtent l="0" t="0" r="10795" b="1905"/>
            <wp:docPr id="17" name="图片 17" descr="171945203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19452032593"/>
                    <pic:cNvPicPr>
                      <a:picLocks noChangeAspect="1"/>
                    </pic:cNvPicPr>
                  </pic:nvPicPr>
                  <pic:blipFill>
                    <a:blip r:embed="rId18"/>
                    <a:stretch>
                      <a:fillRect/>
                    </a:stretch>
                  </pic:blipFill>
                  <pic:spPr>
                    <a:xfrm>
                      <a:off x="0" y="0"/>
                      <a:ext cx="9247505" cy="2322195"/>
                    </a:xfrm>
                    <a:prstGeom prst="rect">
                      <a:avLst/>
                    </a:prstGeom>
                  </pic:spPr>
                </pic:pic>
              </a:graphicData>
            </a:graphic>
          </wp:inline>
        </w:drawing>
      </w:r>
      <w:r>
        <w:rPr>
          <w:rFonts w:hint="eastAsia" w:ascii="宋体" w:hAnsi="宋体" w:cs="宋体"/>
          <w:b/>
          <w:bCs/>
          <w:spacing w:val="40"/>
          <w:kern w:val="0"/>
          <w:sz w:val="32"/>
          <w:szCs w:val="32"/>
        </w:rPr>
        <w:drawing>
          <wp:inline distT="0" distB="0" distL="114300" distR="114300">
            <wp:extent cx="9243060" cy="6003290"/>
            <wp:effectExtent l="0" t="0" r="15240" b="16510"/>
            <wp:docPr id="18" name="图片 18" descr="1719452065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19452065189"/>
                    <pic:cNvPicPr>
                      <a:picLocks noChangeAspect="1"/>
                    </pic:cNvPicPr>
                  </pic:nvPicPr>
                  <pic:blipFill>
                    <a:blip r:embed="rId19"/>
                    <a:stretch>
                      <a:fillRect/>
                    </a:stretch>
                  </pic:blipFill>
                  <pic:spPr>
                    <a:xfrm>
                      <a:off x="0" y="0"/>
                      <a:ext cx="9243060" cy="6003290"/>
                    </a:xfrm>
                    <a:prstGeom prst="rect">
                      <a:avLst/>
                    </a:prstGeom>
                  </pic:spPr>
                </pic:pic>
              </a:graphicData>
            </a:graphic>
          </wp:inline>
        </w:drawing>
      </w:r>
      <w:r>
        <w:rPr>
          <w:rFonts w:hint="eastAsia" w:ascii="宋体" w:hAnsi="宋体" w:cs="宋体"/>
          <w:b/>
          <w:bCs/>
          <w:spacing w:val="40"/>
          <w:kern w:val="0"/>
          <w:sz w:val="32"/>
          <w:szCs w:val="32"/>
        </w:rPr>
        <w:t xml:space="preserve">第二部分 </w:t>
      </w:r>
      <w:r>
        <w:rPr>
          <w:rFonts w:hint="eastAsia" w:ascii="宋体" w:hAnsi="宋体"/>
          <w:b/>
          <w:spacing w:val="40"/>
          <w:sz w:val="32"/>
          <w:szCs w:val="32"/>
        </w:rPr>
        <w:t>202</w:t>
      </w:r>
      <w:r>
        <w:rPr>
          <w:rFonts w:hint="eastAsia" w:ascii="宋体" w:hAnsi="宋体"/>
          <w:b/>
          <w:spacing w:val="40"/>
          <w:sz w:val="32"/>
          <w:szCs w:val="32"/>
          <w:lang w:val="en-US" w:eastAsia="zh-CN"/>
        </w:rPr>
        <w:t>3</w:t>
      </w:r>
      <w:r>
        <w:rPr>
          <w:rFonts w:hint="eastAsia" w:ascii="宋体" w:hAnsi="宋体"/>
          <w:b/>
          <w:spacing w:val="40"/>
          <w:sz w:val="32"/>
          <w:szCs w:val="32"/>
        </w:rPr>
        <w:t>年度部门决算说明</w:t>
      </w:r>
    </w:p>
    <w:p>
      <w:pPr>
        <w:tabs>
          <w:tab w:val="center" w:pos="6979"/>
        </w:tabs>
        <w:spacing w:line="580" w:lineRule="exact"/>
        <w:ind w:firstLine="548" w:firstLineChars="196"/>
        <w:rPr>
          <w:rFonts w:hint="eastAsia" w:ascii="黑体" w:eastAsia="黑体"/>
          <w:b/>
          <w:sz w:val="28"/>
          <w:szCs w:val="28"/>
        </w:rPr>
      </w:pPr>
      <w:r>
        <w:rPr>
          <w:rFonts w:hint="eastAsia" w:ascii="黑体" w:eastAsia="黑体"/>
          <w:b w:val="0"/>
          <w:bCs/>
          <w:sz w:val="28"/>
          <w:szCs w:val="28"/>
        </w:rPr>
        <w:t>一、部门/单位基本情况</w:t>
      </w:r>
      <w:r>
        <w:rPr>
          <w:rFonts w:hint="eastAsia" w:ascii="仿宋_GB2312" w:eastAsia="仿宋_GB2312"/>
          <w:sz w:val="28"/>
          <w:szCs w:val="28"/>
        </w:rPr>
        <w:t>（比照</w:t>
      </w:r>
      <w:r>
        <w:rPr>
          <w:rFonts w:ascii="仿宋_GB2312" w:eastAsia="仿宋_GB2312"/>
          <w:sz w:val="28"/>
          <w:szCs w:val="28"/>
        </w:rPr>
        <w:t>预算公开</w:t>
      </w:r>
      <w:r>
        <w:rPr>
          <w:rFonts w:hint="eastAsia" w:ascii="仿宋_GB2312" w:eastAsia="仿宋_GB2312"/>
          <w:sz w:val="28"/>
          <w:szCs w:val="28"/>
        </w:rPr>
        <w:t>的内容</w:t>
      </w:r>
      <w:r>
        <w:rPr>
          <w:rFonts w:ascii="仿宋_GB2312" w:eastAsia="仿宋_GB2312"/>
          <w:sz w:val="28"/>
          <w:szCs w:val="28"/>
        </w:rPr>
        <w:t>格式）</w:t>
      </w:r>
    </w:p>
    <w:p>
      <w:pPr>
        <w:tabs>
          <w:tab w:val="center" w:pos="6979"/>
        </w:tabs>
        <w:spacing w:line="580" w:lineRule="exact"/>
        <w:ind w:firstLine="420" w:firstLineChars="150"/>
        <w:rPr>
          <w:rFonts w:ascii="仿宋_GB2312" w:eastAsia="仿宋_GB2312"/>
          <w:sz w:val="28"/>
          <w:szCs w:val="28"/>
        </w:rPr>
      </w:pPr>
      <w:r>
        <w:rPr>
          <w:rFonts w:hint="eastAsia" w:ascii="仿宋_GB2312" w:eastAsia="仿宋_GB2312"/>
          <w:sz w:val="28"/>
          <w:szCs w:val="28"/>
        </w:rPr>
        <w:t>（一）机构</w:t>
      </w:r>
      <w:r>
        <w:rPr>
          <w:rFonts w:ascii="仿宋_GB2312" w:eastAsia="仿宋_GB2312"/>
          <w:sz w:val="28"/>
          <w:szCs w:val="28"/>
        </w:rPr>
        <w:t>设置、</w:t>
      </w:r>
      <w:r>
        <w:rPr>
          <w:rFonts w:hint="eastAsia" w:ascii="仿宋_GB2312" w:eastAsia="仿宋_GB2312"/>
          <w:sz w:val="28"/>
          <w:szCs w:val="28"/>
        </w:rPr>
        <w:t>职责（需公开</w:t>
      </w:r>
      <w:r>
        <w:rPr>
          <w:rFonts w:ascii="仿宋_GB2312" w:eastAsia="仿宋_GB2312"/>
          <w:sz w:val="28"/>
          <w:szCs w:val="28"/>
        </w:rPr>
        <w:t>内设机构数量</w:t>
      </w:r>
      <w:r>
        <w:rPr>
          <w:rFonts w:hint="eastAsia" w:ascii="仿宋_GB2312" w:eastAsia="仿宋_GB2312"/>
          <w:sz w:val="28"/>
          <w:szCs w:val="28"/>
        </w:rPr>
        <w:t>和</w:t>
      </w:r>
      <w:r>
        <w:rPr>
          <w:rFonts w:ascii="仿宋_GB2312" w:eastAsia="仿宋_GB2312"/>
          <w:sz w:val="28"/>
          <w:szCs w:val="28"/>
        </w:rPr>
        <w:t>下属单位</w:t>
      </w:r>
      <w:r>
        <w:rPr>
          <w:rFonts w:hint="eastAsia" w:ascii="仿宋_GB2312" w:eastAsia="仿宋_GB2312"/>
          <w:sz w:val="28"/>
          <w:szCs w:val="28"/>
        </w:rPr>
        <w:t>数量</w:t>
      </w:r>
      <w:r>
        <w:rPr>
          <w:rFonts w:ascii="仿宋_GB2312" w:eastAsia="仿宋_GB2312"/>
          <w:sz w:val="28"/>
          <w:szCs w:val="28"/>
        </w:rPr>
        <w:t>及名称）</w:t>
      </w:r>
    </w:p>
    <w:p>
      <w:pPr>
        <w:tabs>
          <w:tab w:val="center" w:pos="6979"/>
        </w:tabs>
        <w:spacing w:line="580" w:lineRule="exact"/>
        <w:ind w:firstLine="420" w:firstLineChars="150"/>
        <w:rPr>
          <w:rFonts w:hint="eastAsia" w:ascii="仿宋_GB2312" w:eastAsia="仿宋_GB2312"/>
          <w:sz w:val="28"/>
          <w:szCs w:val="28"/>
          <w:lang w:val="en-US" w:eastAsia="zh-CN"/>
        </w:rPr>
      </w:pPr>
      <w:r>
        <w:rPr>
          <w:rFonts w:hint="eastAsia" w:ascii="仿宋_GB2312" w:eastAsia="仿宋_GB2312"/>
          <w:sz w:val="28"/>
          <w:szCs w:val="28"/>
          <w:lang w:val="en-US" w:eastAsia="zh-CN"/>
        </w:rPr>
        <w:t>北京市密云区垃圾渣土事务中心的职能：负责对全区产生垃圾渣土的单位及个人进行监督检查与管理的事务性工作；负责办理辖区内垃圾渣土消纳、车辆准运审批手续、颁发渣土消纳证的事务性工作；完成区城管委交办的其他任务。</w:t>
      </w:r>
    </w:p>
    <w:p>
      <w:pPr>
        <w:tabs>
          <w:tab w:val="center" w:pos="6979"/>
        </w:tabs>
        <w:spacing w:line="580" w:lineRule="exact"/>
        <w:ind w:firstLine="420" w:firstLineChars="150"/>
        <w:rPr>
          <w:rFonts w:hint="eastAsia"/>
        </w:rPr>
      </w:pPr>
      <w:r>
        <w:rPr>
          <w:rFonts w:hint="eastAsia" w:ascii="仿宋_GB2312" w:eastAsia="仿宋_GB2312"/>
          <w:sz w:val="28"/>
          <w:szCs w:val="28"/>
          <w:lang w:val="en-US" w:eastAsia="zh-CN"/>
        </w:rPr>
        <w:t xml:space="preserve"> 为了方便开展工作，本单位内部自行设置了办公室、财务室、巡查队、安全科四个科室。</w:t>
      </w:r>
    </w:p>
    <w:p>
      <w:pPr>
        <w:tabs>
          <w:tab w:val="center" w:pos="6979"/>
        </w:tabs>
        <w:spacing w:line="580" w:lineRule="exact"/>
        <w:ind w:firstLine="420" w:firstLineChars="150"/>
        <w:rPr>
          <w:rFonts w:ascii="仿宋_GB2312" w:eastAsia="仿宋_GB2312"/>
          <w:sz w:val="28"/>
          <w:szCs w:val="28"/>
        </w:rPr>
      </w:pPr>
      <w:r>
        <w:rPr>
          <w:rFonts w:hint="eastAsia" w:ascii="仿宋_GB2312" w:eastAsia="仿宋_GB2312"/>
          <w:sz w:val="28"/>
          <w:szCs w:val="28"/>
        </w:rPr>
        <w:t>（二）人员构成情况</w:t>
      </w:r>
    </w:p>
    <w:p>
      <w:pPr>
        <w:tabs>
          <w:tab w:val="center" w:pos="6979"/>
        </w:tabs>
        <w:spacing w:line="580" w:lineRule="exact"/>
        <w:ind w:firstLine="560" w:firstLineChars="200"/>
        <w:rPr>
          <w:rFonts w:ascii="仿宋_GB2312" w:eastAsia="仿宋_GB2312"/>
          <w:kern w:val="0"/>
          <w:sz w:val="28"/>
          <w:szCs w:val="28"/>
        </w:rPr>
      </w:pPr>
      <w:r>
        <w:rPr>
          <w:rFonts w:hint="eastAsia" w:ascii="仿宋_GB2312" w:eastAsia="仿宋_GB2312"/>
          <w:kern w:val="0"/>
          <w:sz w:val="28"/>
          <w:szCs w:val="28"/>
        </w:rPr>
        <w:t>行政编制</w:t>
      </w:r>
      <w:r>
        <w:rPr>
          <w:rFonts w:hint="eastAsia" w:ascii="仿宋_GB2312" w:eastAsia="仿宋_GB2312"/>
          <w:kern w:val="0"/>
          <w:sz w:val="28"/>
          <w:szCs w:val="28"/>
          <w:lang w:val="en-US" w:eastAsia="zh-CN"/>
        </w:rPr>
        <w:t>0</w:t>
      </w:r>
      <w:r>
        <w:rPr>
          <w:rFonts w:hint="eastAsia" w:ascii="仿宋_GB2312" w:eastAsia="仿宋_GB2312"/>
          <w:kern w:val="0"/>
          <w:sz w:val="28"/>
          <w:szCs w:val="28"/>
        </w:rPr>
        <w:t>人，实有人数</w:t>
      </w:r>
      <w:r>
        <w:rPr>
          <w:rFonts w:hint="eastAsia" w:ascii="仿宋_GB2312" w:eastAsia="仿宋_GB2312"/>
          <w:kern w:val="0"/>
          <w:sz w:val="28"/>
          <w:szCs w:val="28"/>
          <w:lang w:val="en-US" w:eastAsia="zh-CN"/>
        </w:rPr>
        <w:t>0</w:t>
      </w:r>
      <w:r>
        <w:rPr>
          <w:rFonts w:hint="eastAsia" w:ascii="仿宋_GB2312" w:eastAsia="仿宋_GB2312"/>
          <w:kern w:val="0"/>
          <w:sz w:val="28"/>
          <w:szCs w:val="28"/>
        </w:rPr>
        <w:t>人；事业编制</w:t>
      </w:r>
      <w:r>
        <w:rPr>
          <w:rFonts w:hint="eastAsia" w:ascii="仿宋_GB2312" w:eastAsia="仿宋_GB2312"/>
          <w:kern w:val="0"/>
          <w:sz w:val="28"/>
          <w:szCs w:val="28"/>
          <w:lang w:val="en-US" w:eastAsia="zh-CN"/>
        </w:rPr>
        <w:t>15</w:t>
      </w:r>
      <w:r>
        <w:rPr>
          <w:rFonts w:hint="eastAsia" w:ascii="仿宋_GB2312" w:eastAsia="仿宋_GB2312"/>
          <w:kern w:val="0"/>
          <w:sz w:val="28"/>
          <w:szCs w:val="28"/>
        </w:rPr>
        <w:t>人，实有人数</w:t>
      </w:r>
      <w:r>
        <w:rPr>
          <w:rFonts w:hint="eastAsia" w:ascii="仿宋_GB2312" w:eastAsia="仿宋_GB2312"/>
          <w:kern w:val="0"/>
          <w:sz w:val="28"/>
          <w:szCs w:val="28"/>
          <w:lang w:val="en-US" w:eastAsia="zh-CN"/>
        </w:rPr>
        <w:t>12</w:t>
      </w:r>
      <w:r>
        <w:rPr>
          <w:rFonts w:hint="eastAsia" w:ascii="仿宋_GB2312" w:eastAsia="仿宋_GB2312"/>
          <w:kern w:val="0"/>
          <w:sz w:val="28"/>
          <w:szCs w:val="28"/>
        </w:rPr>
        <w:t>人。</w:t>
      </w:r>
    </w:p>
    <w:p>
      <w:pPr>
        <w:tabs>
          <w:tab w:val="center" w:pos="6979"/>
        </w:tabs>
        <w:spacing w:line="580" w:lineRule="exact"/>
        <w:rPr>
          <w:rFonts w:hint="eastAsia" w:ascii="黑体" w:eastAsia="黑体"/>
          <w:b w:val="0"/>
          <w:bCs/>
          <w:sz w:val="28"/>
          <w:szCs w:val="28"/>
        </w:rPr>
      </w:pPr>
      <w:r>
        <w:rPr>
          <w:rFonts w:hint="eastAsia" w:ascii="仿宋_GB2312" w:eastAsia="仿宋_GB2312"/>
          <w:b/>
          <w:sz w:val="32"/>
          <w:szCs w:val="32"/>
        </w:rPr>
        <w:t xml:space="preserve">  </w:t>
      </w:r>
      <w:r>
        <w:rPr>
          <w:rFonts w:hint="eastAsia" w:ascii="仿宋_GB2312" w:eastAsia="仿宋_GB2312"/>
          <w:b w:val="0"/>
          <w:bCs/>
          <w:sz w:val="32"/>
          <w:szCs w:val="32"/>
        </w:rPr>
        <w:t xml:space="preserve"> </w:t>
      </w:r>
      <w:r>
        <w:rPr>
          <w:rFonts w:hint="eastAsia" w:ascii="黑体" w:eastAsia="黑体"/>
          <w:b w:val="0"/>
          <w:bCs/>
          <w:sz w:val="28"/>
          <w:szCs w:val="28"/>
        </w:rPr>
        <w:t>二、收入支出决算总体情况说明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年度收、</w:t>
      </w:r>
      <w:r>
        <w:rPr>
          <w:rFonts w:ascii="仿宋_GB2312" w:eastAsia="仿宋_GB2312"/>
          <w:sz w:val="28"/>
          <w:szCs w:val="28"/>
        </w:rPr>
        <w:t>支</w:t>
      </w:r>
      <w:r>
        <w:rPr>
          <w:rFonts w:hint="eastAsia" w:ascii="仿宋_GB2312" w:eastAsia="仿宋_GB2312"/>
          <w:sz w:val="28"/>
          <w:szCs w:val="28"/>
        </w:rPr>
        <w:t>总计</w:t>
      </w:r>
      <w:r>
        <w:rPr>
          <w:rFonts w:ascii="仿宋_GB2312" w:eastAsia="仿宋_GB2312"/>
          <w:sz w:val="28"/>
          <w:szCs w:val="28"/>
        </w:rPr>
        <w:t>346.81</w:t>
      </w:r>
      <w:r>
        <w:rPr>
          <w:rFonts w:hint="eastAsia" w:ascii="仿宋_GB2312" w:eastAsia="仿宋_GB2312"/>
          <w:sz w:val="28"/>
          <w:szCs w:val="28"/>
        </w:rPr>
        <w:t>万元，</w:t>
      </w:r>
      <w:r>
        <w:rPr>
          <w:rFonts w:ascii="仿宋_GB2312" w:eastAsia="仿宋_GB2312"/>
          <w:sz w:val="28"/>
          <w:szCs w:val="28"/>
        </w:rPr>
        <w:t>比上年增加</w:t>
      </w:r>
      <w:r>
        <w:rPr>
          <w:rFonts w:hint="eastAsia" w:ascii="仿宋_GB2312" w:eastAsia="仿宋_GB2312"/>
          <w:sz w:val="28"/>
          <w:szCs w:val="28"/>
          <w:lang w:val="en-US" w:eastAsia="zh-CN"/>
        </w:rPr>
        <w:t>12.74</w:t>
      </w:r>
      <w:r>
        <w:rPr>
          <w:rFonts w:hint="eastAsia" w:ascii="仿宋_GB2312" w:eastAsia="仿宋_GB2312"/>
          <w:sz w:val="28"/>
          <w:szCs w:val="28"/>
        </w:rPr>
        <w:t>万元，增长</w:t>
      </w:r>
      <w:r>
        <w:rPr>
          <w:rFonts w:hint="eastAsia" w:ascii="仿宋_GB2312" w:eastAsia="仿宋_GB2312"/>
          <w:sz w:val="28"/>
          <w:szCs w:val="28"/>
          <w:lang w:val="en-US" w:eastAsia="zh-CN"/>
        </w:rPr>
        <w:t>3.54</w:t>
      </w:r>
      <w:r>
        <w:rPr>
          <w:rFonts w:hint="eastAsia" w:ascii="仿宋_GB2312" w:eastAsia="仿宋_GB2312"/>
          <w:sz w:val="28"/>
          <w:szCs w:val="28"/>
        </w:rPr>
        <w:t>%。</w:t>
      </w:r>
    </w:p>
    <w:p>
      <w:pPr>
        <w:tabs>
          <w:tab w:val="center" w:pos="6979"/>
        </w:tabs>
        <w:spacing w:line="580" w:lineRule="exact"/>
        <w:ind w:firstLine="570"/>
        <w:rPr>
          <w:rFonts w:hint="eastAsia" w:ascii="仿宋_GB2312" w:eastAsia="仿宋_GB2312"/>
          <w:sz w:val="28"/>
          <w:szCs w:val="28"/>
          <w:highlight w:val="none"/>
        </w:rPr>
      </w:pPr>
      <w:r>
        <w:rPr>
          <w:rFonts w:hint="eastAsia" w:ascii="仿宋_GB2312" w:eastAsia="仿宋_GB2312"/>
          <w:sz w:val="28"/>
          <w:szCs w:val="28"/>
          <w:highlight w:val="none"/>
        </w:rPr>
        <w:t>（一</w:t>
      </w:r>
      <w:r>
        <w:rPr>
          <w:rFonts w:ascii="仿宋_GB2312" w:eastAsia="仿宋_GB2312"/>
          <w:sz w:val="28"/>
          <w:szCs w:val="28"/>
          <w:highlight w:val="none"/>
        </w:rPr>
        <w:t>）</w:t>
      </w:r>
      <w:r>
        <w:rPr>
          <w:rFonts w:hint="eastAsia" w:ascii="仿宋_GB2312" w:eastAsia="仿宋_GB2312"/>
          <w:sz w:val="28"/>
          <w:szCs w:val="28"/>
          <w:highlight w:val="none"/>
        </w:rPr>
        <w:t>收入决算</w:t>
      </w:r>
      <w:r>
        <w:rPr>
          <w:rFonts w:ascii="仿宋_GB2312" w:eastAsia="仿宋_GB2312"/>
          <w:sz w:val="28"/>
          <w:szCs w:val="28"/>
          <w:highlight w:val="none"/>
        </w:rPr>
        <w:t>说明</w:t>
      </w:r>
    </w:p>
    <w:p>
      <w:pPr>
        <w:tabs>
          <w:tab w:val="center" w:pos="6979"/>
        </w:tabs>
        <w:spacing w:line="580" w:lineRule="exact"/>
        <w:ind w:firstLine="570"/>
        <w:rPr>
          <w:rFonts w:hint="eastAsia" w:ascii="仿宋_GB2312" w:eastAsia="仿宋_GB2312"/>
          <w:sz w:val="28"/>
          <w:szCs w:val="28"/>
          <w:lang w:eastAsia="zh-CN"/>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年度本年收入合计</w:t>
      </w:r>
      <w:r>
        <w:rPr>
          <w:rFonts w:ascii="仿宋_GB2312" w:eastAsia="仿宋_GB2312"/>
          <w:sz w:val="28"/>
          <w:szCs w:val="28"/>
        </w:rPr>
        <w:t>302.32</w:t>
      </w:r>
      <w:r>
        <w:rPr>
          <w:rFonts w:hint="eastAsia" w:ascii="仿宋_GB2312" w:eastAsia="仿宋_GB2312"/>
          <w:sz w:val="28"/>
          <w:szCs w:val="28"/>
        </w:rPr>
        <w:t>万元，</w:t>
      </w:r>
      <w:r>
        <w:rPr>
          <w:rFonts w:ascii="仿宋_GB2312" w:eastAsia="仿宋_GB2312"/>
          <w:sz w:val="28"/>
          <w:szCs w:val="28"/>
        </w:rPr>
        <w:t>比上年</w:t>
      </w:r>
      <w:r>
        <w:rPr>
          <w:rFonts w:hint="eastAsia" w:ascii="仿宋_GB2312" w:eastAsia="仿宋_GB2312"/>
          <w:sz w:val="28"/>
          <w:szCs w:val="28"/>
        </w:rPr>
        <w:t>减少</w:t>
      </w:r>
      <w:r>
        <w:rPr>
          <w:rFonts w:hint="eastAsia" w:ascii="仿宋_GB2312" w:eastAsia="仿宋_GB2312"/>
          <w:sz w:val="28"/>
          <w:szCs w:val="28"/>
          <w:lang w:val="en-US" w:eastAsia="zh-CN"/>
        </w:rPr>
        <w:t>57.23</w:t>
      </w:r>
      <w:r>
        <w:rPr>
          <w:rFonts w:hint="eastAsia" w:ascii="仿宋_GB2312" w:eastAsia="仿宋_GB2312"/>
          <w:sz w:val="28"/>
          <w:szCs w:val="28"/>
        </w:rPr>
        <w:t>万元，下降</w:t>
      </w:r>
      <w:r>
        <w:rPr>
          <w:rFonts w:hint="eastAsia" w:ascii="仿宋_GB2312" w:eastAsia="仿宋_GB2312"/>
          <w:sz w:val="28"/>
          <w:szCs w:val="28"/>
          <w:lang w:val="en-US" w:eastAsia="zh-CN"/>
        </w:rPr>
        <w:t>15.92</w:t>
      </w:r>
      <w:r>
        <w:rPr>
          <w:rFonts w:hint="eastAsia" w:ascii="仿宋_GB2312" w:eastAsia="仿宋_GB2312"/>
          <w:sz w:val="28"/>
          <w:szCs w:val="28"/>
        </w:rPr>
        <w:t>%</w:t>
      </w:r>
      <w:r>
        <w:rPr>
          <w:rFonts w:hint="eastAsia" w:ascii="仿宋_GB2312" w:eastAsia="仿宋_GB2312"/>
          <w:sz w:val="28"/>
          <w:szCs w:val="28"/>
          <w:lang w:eastAsia="zh-CN"/>
        </w:rPr>
        <w:t>。</w:t>
      </w:r>
    </w:p>
    <w:p>
      <w:pPr>
        <w:tabs>
          <w:tab w:val="center" w:pos="6979"/>
        </w:tabs>
        <w:spacing w:line="580" w:lineRule="exact"/>
        <w:ind w:firstLine="560" w:firstLineChars="200"/>
        <w:rPr>
          <w:rFonts w:hint="eastAsia"/>
        </w:rPr>
      </w:pPr>
      <w:r>
        <w:rPr>
          <w:rFonts w:hint="eastAsia" w:ascii="仿宋_GB2312" w:eastAsia="仿宋_GB2312"/>
          <w:sz w:val="28"/>
          <w:szCs w:val="28"/>
        </w:rPr>
        <w:t>1.财政拨款收入</w:t>
      </w:r>
      <w:r>
        <w:rPr>
          <w:rFonts w:ascii="仿宋_GB2312" w:eastAsia="仿宋_GB2312"/>
          <w:sz w:val="28"/>
          <w:szCs w:val="28"/>
        </w:rPr>
        <w:t>302.32</w:t>
      </w:r>
      <w:r>
        <w:rPr>
          <w:rFonts w:hint="eastAsia" w:ascii="仿宋_GB2312" w:eastAsia="仿宋_GB2312"/>
          <w:sz w:val="28"/>
          <w:szCs w:val="28"/>
        </w:rPr>
        <w:t>万元，占收入合计的</w:t>
      </w:r>
      <w:r>
        <w:rPr>
          <w:rFonts w:ascii="仿宋_GB2312" w:eastAsia="仿宋_GB2312"/>
          <w:sz w:val="28"/>
          <w:szCs w:val="28"/>
        </w:rPr>
        <w:t>100</w:t>
      </w:r>
      <w:r>
        <w:rPr>
          <w:rFonts w:hint="eastAsia" w:ascii="仿宋_GB2312" w:eastAsia="仿宋_GB2312"/>
          <w:sz w:val="28"/>
          <w:szCs w:val="28"/>
        </w:rPr>
        <w:t>%。其中：一般公共预算财政拨款收入</w:t>
      </w:r>
      <w:r>
        <w:rPr>
          <w:rFonts w:ascii="仿宋_GB2312" w:eastAsia="仿宋_GB2312"/>
          <w:sz w:val="28"/>
          <w:szCs w:val="28"/>
        </w:rPr>
        <w:t>302.32</w:t>
      </w:r>
      <w:r>
        <w:rPr>
          <w:rFonts w:hint="eastAsia" w:ascii="仿宋_GB2312" w:eastAsia="仿宋_GB2312"/>
          <w:sz w:val="28"/>
          <w:szCs w:val="28"/>
        </w:rPr>
        <w:t>万元，占收入合计的</w:t>
      </w:r>
      <w:r>
        <w:rPr>
          <w:rFonts w:ascii="仿宋_GB2312" w:eastAsia="仿宋_GB2312"/>
          <w:sz w:val="28"/>
          <w:szCs w:val="28"/>
        </w:rPr>
        <w:t>100</w:t>
      </w:r>
      <w:r>
        <w:rPr>
          <w:rFonts w:hint="eastAsia" w:ascii="仿宋_GB2312" w:eastAsia="仿宋_GB2312"/>
          <w:sz w:val="28"/>
          <w:szCs w:val="28"/>
        </w:rPr>
        <w:t>%；政府性基金预算财政拨款收入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%；国有资本经营预算财政拨款收入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2.上级补助收入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3.事业收入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4.经营收入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5.附属单位上缴收入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tabs>
          <w:tab w:val="center" w:pos="6979"/>
        </w:tabs>
        <w:spacing w:line="580" w:lineRule="exact"/>
        <w:ind w:firstLine="560" w:firstLineChars="200"/>
        <w:rPr>
          <w:rFonts w:ascii="仿宋_GB2312" w:eastAsia="仿宋_GB2312"/>
          <w:sz w:val="28"/>
          <w:szCs w:val="28"/>
        </w:rPr>
      </w:pPr>
      <w:r>
        <w:rPr>
          <w:rFonts w:hint="eastAsia" w:ascii="仿宋_GB2312" w:eastAsia="仿宋_GB2312"/>
          <w:sz w:val="28"/>
          <w:szCs w:val="28"/>
        </w:rPr>
        <w:t>6.其他收入</w:t>
      </w:r>
      <w:r>
        <w:rPr>
          <w:rFonts w:ascii="仿宋_GB2312" w:eastAsia="仿宋_GB2312"/>
          <w:sz w:val="28"/>
          <w:szCs w:val="28"/>
        </w:rPr>
        <w:t>0</w:t>
      </w:r>
      <w:r>
        <w:rPr>
          <w:rFonts w:hint="eastAsia" w:ascii="仿宋_GB2312" w:eastAsia="仿宋_GB2312"/>
          <w:sz w:val="28"/>
          <w:szCs w:val="28"/>
        </w:rPr>
        <w:t>万元，占收入合计的</w:t>
      </w:r>
      <w:r>
        <w:rPr>
          <w:rFonts w:ascii="仿宋_GB2312" w:eastAsia="仿宋_GB2312"/>
          <w:sz w:val="28"/>
          <w:szCs w:val="28"/>
        </w:rPr>
        <w:t>0</w:t>
      </w:r>
      <w:r>
        <w:rPr>
          <w:rFonts w:hint="eastAsia" w:ascii="仿宋_GB2312" w:eastAsia="仿宋_GB2312"/>
          <w:sz w:val="28"/>
          <w:szCs w:val="28"/>
        </w:rPr>
        <w:t>%。</w:t>
      </w:r>
    </w:p>
    <w:p>
      <w:pPr>
        <w:spacing w:line="560" w:lineRule="exact"/>
        <w:ind w:firstLine="640"/>
        <w:rPr>
          <w:rFonts w:hint="eastAsia" w:ascii="仿宋_GB2312" w:eastAsia="仿宋_GB2312" w:cs="Droid Sans"/>
          <w:color w:val="000000"/>
          <w:sz w:val="32"/>
          <w:szCs w:val="32"/>
          <w:highlight w:val="none"/>
          <w:lang w:eastAsia="zh-CN"/>
        </w:rPr>
      </w:pPr>
      <w:r>
        <w:rPr>
          <w:rFonts w:hint="eastAsia" w:ascii="仿宋_GB2312" w:eastAsia="仿宋_GB2312" w:cs="Droid Sans"/>
          <w:color w:val="000000"/>
          <w:sz w:val="32"/>
          <w:szCs w:val="32"/>
          <w:highlight w:val="none"/>
          <w:lang w:eastAsia="zh-CN"/>
        </w:rPr>
        <w:t>（此处插入图表，用上述</w:t>
      </w:r>
      <w:r>
        <w:rPr>
          <w:rFonts w:hint="eastAsia" w:ascii="仿宋_GB2312" w:eastAsia="仿宋_GB2312" w:cs="Droid Sans"/>
          <w:color w:val="000000"/>
          <w:sz w:val="32"/>
          <w:szCs w:val="32"/>
          <w:highlight w:val="none"/>
          <w:lang w:val="en-US" w:eastAsia="zh-CN"/>
        </w:rPr>
        <w:t>收入</w:t>
      </w:r>
      <w:r>
        <w:rPr>
          <w:rFonts w:hint="eastAsia" w:ascii="仿宋_GB2312" w:eastAsia="仿宋_GB2312" w:cs="Droid Sans"/>
          <w:color w:val="000000"/>
          <w:sz w:val="32"/>
          <w:szCs w:val="32"/>
          <w:highlight w:val="none"/>
          <w:lang w:eastAsia="zh-CN"/>
        </w:rPr>
        <w:t>金额制作饼状图，示例如下，无金额类型不必制图）</w:t>
      </w:r>
    </w:p>
    <w:p>
      <w:pPr>
        <w:pStyle w:val="3"/>
        <w:ind w:firstLine="0"/>
        <w:jc w:val="center"/>
        <w:rPr>
          <w:rFonts w:hint="default"/>
          <w:lang w:val="en-US"/>
        </w:rPr>
      </w:pPr>
      <w:r>
        <w:rPr>
          <w:rFonts w:hint="eastAsia" w:ascii="仿宋_GB2312" w:eastAsia="仿宋_GB2312"/>
          <w:color w:val="000000"/>
          <w:sz w:val="32"/>
          <w:szCs w:val="32"/>
          <w:highlight w:val="none"/>
          <w:lang w:val="en-US" w:eastAsia="zh-CN"/>
        </w:rPr>
        <w:t>图1：收入决算</w:t>
      </w:r>
    </w:p>
    <w:p>
      <w:pPr>
        <w:bidi w:val="0"/>
        <w:jc w:val="center"/>
        <w:rPr>
          <w:rFonts w:hint="eastAsia"/>
          <w:lang w:val="en-US" w:eastAsia="zh-CN"/>
        </w:rPr>
      </w:pPr>
      <w:r>
        <w:rPr>
          <w:rFonts w:hint="eastAsia"/>
          <w:lang w:val="en-US" w:eastAsia="zh-CN"/>
        </w:rPr>
        <w:drawing>
          <wp:inline distT="0" distB="0" distL="114300" distR="114300">
            <wp:extent cx="4408805" cy="2477770"/>
            <wp:effectExtent l="4445" t="5080" r="6350" b="12700"/>
            <wp:docPr id="2" name="图表 2" title="{{pieChar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（二</w:t>
      </w:r>
      <w:r>
        <w:rPr>
          <w:rFonts w:ascii="仿宋_GB2312" w:eastAsia="仿宋_GB2312"/>
          <w:sz w:val="28"/>
          <w:szCs w:val="28"/>
        </w:rPr>
        <w:t>）</w:t>
      </w:r>
      <w:r>
        <w:rPr>
          <w:rFonts w:hint="eastAsia" w:ascii="仿宋_GB2312" w:eastAsia="仿宋_GB2312"/>
          <w:sz w:val="28"/>
          <w:szCs w:val="28"/>
        </w:rPr>
        <w:t>支出决算</w:t>
      </w:r>
      <w:r>
        <w:rPr>
          <w:rFonts w:ascii="仿宋_GB2312" w:eastAsia="仿宋_GB2312"/>
          <w:sz w:val="28"/>
          <w:szCs w:val="28"/>
        </w:rPr>
        <w:t>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年度本年支出合计</w:t>
      </w:r>
      <w:r>
        <w:rPr>
          <w:rFonts w:ascii="仿宋_GB2312" w:eastAsia="仿宋_GB2312"/>
          <w:sz w:val="28"/>
          <w:szCs w:val="28"/>
        </w:rPr>
        <w:t>346.81</w:t>
      </w:r>
      <w:r>
        <w:rPr>
          <w:rFonts w:hint="eastAsia" w:ascii="仿宋_GB2312" w:eastAsia="仿宋_GB2312"/>
          <w:sz w:val="28"/>
          <w:szCs w:val="28"/>
        </w:rPr>
        <w:t>万元，</w:t>
      </w:r>
      <w:r>
        <w:rPr>
          <w:rFonts w:ascii="仿宋_GB2312" w:eastAsia="仿宋_GB2312"/>
          <w:sz w:val="28"/>
          <w:szCs w:val="28"/>
        </w:rPr>
        <w:t>比上年</w:t>
      </w:r>
      <w:r>
        <w:rPr>
          <w:rFonts w:hint="eastAsia" w:ascii="仿宋_GB2312" w:eastAsia="仿宋_GB2312"/>
          <w:sz w:val="28"/>
          <w:szCs w:val="28"/>
        </w:rPr>
        <w:t>减少</w:t>
      </w:r>
      <w:r>
        <w:rPr>
          <w:rFonts w:hint="eastAsia" w:ascii="仿宋_GB2312" w:eastAsia="仿宋_GB2312"/>
          <w:sz w:val="28"/>
          <w:szCs w:val="28"/>
          <w:lang w:val="en-US" w:eastAsia="zh-CN"/>
        </w:rPr>
        <w:t>63.76</w:t>
      </w:r>
      <w:r>
        <w:rPr>
          <w:rFonts w:hint="eastAsia" w:ascii="仿宋_GB2312" w:eastAsia="仿宋_GB2312"/>
          <w:sz w:val="28"/>
          <w:szCs w:val="28"/>
        </w:rPr>
        <w:t>万元，下降</w:t>
      </w:r>
      <w:r>
        <w:rPr>
          <w:rFonts w:hint="eastAsia" w:ascii="仿宋_GB2312" w:eastAsia="仿宋_GB2312"/>
          <w:sz w:val="28"/>
          <w:szCs w:val="28"/>
          <w:lang w:val="en-US" w:eastAsia="zh-CN"/>
        </w:rPr>
        <w:t>15.53</w:t>
      </w:r>
      <w:r>
        <w:rPr>
          <w:rFonts w:hint="eastAsia" w:ascii="仿宋_GB2312" w:eastAsia="仿宋_GB2312"/>
          <w:sz w:val="28"/>
          <w:szCs w:val="28"/>
        </w:rPr>
        <w:t>%，其中：基本支出</w:t>
      </w:r>
      <w:r>
        <w:rPr>
          <w:rFonts w:ascii="仿宋_GB2312" w:eastAsia="仿宋_GB2312"/>
          <w:sz w:val="28"/>
          <w:szCs w:val="28"/>
        </w:rPr>
        <w:t>346.81</w:t>
      </w:r>
      <w:r>
        <w:rPr>
          <w:rFonts w:hint="eastAsia" w:ascii="仿宋_GB2312" w:eastAsia="仿宋_GB2312"/>
          <w:sz w:val="28"/>
          <w:szCs w:val="28"/>
        </w:rPr>
        <w:t>万元，占支出合计的</w:t>
      </w:r>
      <w:r>
        <w:rPr>
          <w:rFonts w:ascii="仿宋_GB2312" w:eastAsia="仿宋_GB2312"/>
          <w:sz w:val="28"/>
          <w:szCs w:val="28"/>
        </w:rPr>
        <w:t>100</w:t>
      </w:r>
      <w:r>
        <w:rPr>
          <w:rFonts w:hint="eastAsia" w:ascii="仿宋_GB2312" w:eastAsia="仿宋_GB2312"/>
          <w:sz w:val="28"/>
          <w:szCs w:val="28"/>
        </w:rPr>
        <w:t>%；项目支出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%;上缴上级支出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%；经营支出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%；对附属单位补助支出</w:t>
      </w:r>
      <w:r>
        <w:rPr>
          <w:rFonts w:ascii="仿宋_GB2312" w:eastAsia="仿宋_GB2312"/>
          <w:sz w:val="28"/>
          <w:szCs w:val="28"/>
        </w:rPr>
        <w:t>0</w:t>
      </w:r>
      <w:r>
        <w:rPr>
          <w:rFonts w:hint="eastAsia" w:ascii="仿宋_GB2312" w:eastAsia="仿宋_GB2312"/>
          <w:sz w:val="28"/>
          <w:szCs w:val="28"/>
        </w:rPr>
        <w:t>万元，占支出合计的</w:t>
      </w:r>
      <w:r>
        <w:rPr>
          <w:rFonts w:ascii="仿宋_GB2312" w:eastAsia="仿宋_GB2312"/>
          <w:sz w:val="28"/>
          <w:szCs w:val="28"/>
        </w:rPr>
        <w:t>0</w:t>
      </w:r>
      <w:r>
        <w:rPr>
          <w:rFonts w:hint="eastAsia" w:ascii="仿宋_GB2312" w:eastAsia="仿宋_GB2312"/>
          <w:sz w:val="28"/>
          <w:szCs w:val="28"/>
        </w:rPr>
        <w:t>%。</w:t>
      </w:r>
    </w:p>
    <w:p>
      <w:pPr>
        <w:spacing w:line="560" w:lineRule="exact"/>
        <w:ind w:firstLine="640"/>
        <w:rPr>
          <w:rFonts w:hint="eastAsia" w:ascii="仿宋_GB2312" w:eastAsia="仿宋_GB2312" w:cs="Droid Sans"/>
          <w:color w:val="000000"/>
          <w:sz w:val="32"/>
          <w:szCs w:val="32"/>
          <w:highlight w:val="none"/>
          <w:lang w:eastAsia="zh-CN"/>
        </w:rPr>
      </w:pPr>
      <w:r>
        <w:rPr>
          <w:rFonts w:hint="eastAsia" w:ascii="仿宋_GB2312" w:eastAsia="仿宋_GB2312" w:cs="Droid Sans"/>
          <w:color w:val="000000"/>
          <w:sz w:val="32"/>
          <w:szCs w:val="32"/>
          <w:highlight w:val="none"/>
          <w:lang w:eastAsia="zh-CN"/>
        </w:rPr>
        <w:t>（此处插入图表，用上述</w:t>
      </w:r>
      <w:r>
        <w:rPr>
          <w:rFonts w:hint="eastAsia" w:ascii="仿宋_GB2312" w:eastAsia="仿宋_GB2312" w:cs="Droid Sans"/>
          <w:color w:val="000000"/>
          <w:sz w:val="32"/>
          <w:szCs w:val="32"/>
          <w:highlight w:val="none"/>
          <w:lang w:val="en-US" w:eastAsia="zh-CN"/>
        </w:rPr>
        <w:t>支出</w:t>
      </w:r>
      <w:r>
        <w:rPr>
          <w:rFonts w:hint="eastAsia" w:ascii="仿宋_GB2312" w:eastAsia="仿宋_GB2312" w:cs="Droid Sans"/>
          <w:color w:val="000000"/>
          <w:sz w:val="32"/>
          <w:szCs w:val="32"/>
          <w:highlight w:val="none"/>
          <w:lang w:eastAsia="zh-CN"/>
        </w:rPr>
        <w:t>金额制作饼状图，示例如下，无金额类型不必制图）</w:t>
      </w:r>
    </w:p>
    <w:p>
      <w:pPr>
        <w:pStyle w:val="3"/>
        <w:ind w:firstLine="642"/>
        <w:jc w:val="center"/>
      </w:pPr>
      <w:r>
        <w:rPr>
          <w:rFonts w:hint="eastAsia" w:ascii="仿宋_GB2312" w:eastAsia="仿宋_GB2312"/>
          <w:color w:val="000000"/>
          <w:sz w:val="32"/>
          <w:szCs w:val="32"/>
          <w:highlight w:val="none"/>
          <w:lang w:val="en-US" w:eastAsia="zh-CN"/>
        </w:rPr>
        <w:t>图2：基本支出和项目支出情况</w:t>
      </w:r>
    </w:p>
    <w:p>
      <w:pPr>
        <w:pStyle w:val="4"/>
        <w:rPr>
          <w:rFonts w:hint="eastAsia"/>
        </w:rPr>
      </w:pPr>
      <w:r>
        <w:rPr>
          <w:rFonts w:hint="eastAsia"/>
          <w:lang w:val="en-US" w:eastAsia="zh-CN"/>
        </w:rPr>
        <w:t xml:space="preserve">                          </w:t>
      </w:r>
      <w:r>
        <w:rPr>
          <w:rFonts w:hint="eastAsia"/>
          <w:lang w:val="en-US" w:eastAsia="zh-CN"/>
        </w:rPr>
        <w:drawing>
          <wp:inline distT="0" distB="0" distL="114300" distR="114300">
            <wp:extent cx="4408805" cy="2477770"/>
            <wp:effectExtent l="4445" t="5080" r="6350" b="12700"/>
            <wp:docPr id="3" name="图表 3" title="{{pieChar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pPr>
        <w:tabs>
          <w:tab w:val="center" w:pos="6979"/>
        </w:tabs>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三</w:t>
      </w:r>
      <w:r>
        <w:rPr>
          <w:rFonts w:ascii="黑体" w:eastAsia="黑体"/>
          <w:b w:val="0"/>
          <w:bCs/>
          <w:sz w:val="28"/>
          <w:szCs w:val="28"/>
        </w:rPr>
        <w:t>、财政拨款</w:t>
      </w:r>
      <w:r>
        <w:rPr>
          <w:rFonts w:hint="eastAsia" w:ascii="黑体" w:eastAsia="黑体"/>
          <w:b w:val="0"/>
          <w:bCs/>
          <w:sz w:val="28"/>
          <w:szCs w:val="28"/>
        </w:rPr>
        <w:t>收入支出决算</w:t>
      </w:r>
      <w:r>
        <w:rPr>
          <w:rFonts w:ascii="黑体" w:eastAsia="黑体"/>
          <w:b w:val="0"/>
          <w:bCs/>
          <w:sz w:val="28"/>
          <w:szCs w:val="28"/>
        </w:rPr>
        <w:t>总体情况说明</w:t>
      </w:r>
    </w:p>
    <w:p>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年度财政拨款收、</w:t>
      </w:r>
      <w:r>
        <w:rPr>
          <w:rFonts w:ascii="仿宋_GB2312" w:eastAsia="仿宋_GB2312"/>
          <w:sz w:val="28"/>
          <w:szCs w:val="28"/>
        </w:rPr>
        <w:t>支</w:t>
      </w:r>
      <w:r>
        <w:rPr>
          <w:rFonts w:hint="eastAsia" w:ascii="仿宋_GB2312" w:eastAsia="仿宋_GB2312"/>
          <w:sz w:val="28"/>
          <w:szCs w:val="28"/>
        </w:rPr>
        <w:t>总计</w:t>
      </w:r>
      <w:r>
        <w:rPr>
          <w:rFonts w:ascii="仿宋_GB2312" w:eastAsia="仿宋_GB2312"/>
          <w:sz w:val="28"/>
          <w:szCs w:val="28"/>
        </w:rPr>
        <w:t>346.81</w:t>
      </w:r>
      <w:r>
        <w:rPr>
          <w:rFonts w:hint="eastAsia" w:ascii="仿宋_GB2312" w:eastAsia="仿宋_GB2312"/>
          <w:sz w:val="28"/>
          <w:szCs w:val="28"/>
        </w:rPr>
        <w:t>万元，比上年减少</w:t>
      </w:r>
      <w:r>
        <w:rPr>
          <w:rFonts w:hint="eastAsia" w:ascii="仿宋_GB2312" w:eastAsia="仿宋_GB2312"/>
          <w:sz w:val="28"/>
          <w:szCs w:val="28"/>
          <w:lang w:val="en-US" w:eastAsia="zh-CN"/>
        </w:rPr>
        <w:t>12.74</w:t>
      </w:r>
      <w:r>
        <w:rPr>
          <w:rFonts w:hint="eastAsia" w:ascii="仿宋_GB2312" w:eastAsia="仿宋_GB2312"/>
          <w:sz w:val="28"/>
          <w:szCs w:val="28"/>
        </w:rPr>
        <w:t>万元下降</w:t>
      </w:r>
      <w:r>
        <w:rPr>
          <w:rFonts w:hint="eastAsia" w:ascii="仿宋_GB2312" w:eastAsia="仿宋_GB2312"/>
          <w:sz w:val="28"/>
          <w:szCs w:val="28"/>
          <w:lang w:val="en-US" w:eastAsia="zh-CN"/>
        </w:rPr>
        <w:t>3.54</w:t>
      </w:r>
      <w:r>
        <w:rPr>
          <w:rFonts w:hint="eastAsia" w:ascii="仿宋_GB2312" w:eastAsia="仿宋_GB2312"/>
          <w:sz w:val="28"/>
          <w:szCs w:val="28"/>
        </w:rPr>
        <w:t>%。主要原因：</w:t>
      </w:r>
      <w:r>
        <w:rPr>
          <w:rFonts w:hint="eastAsia" w:ascii="仿宋_GB2312" w:eastAsia="仿宋_GB2312"/>
          <w:sz w:val="28"/>
          <w:szCs w:val="28"/>
          <w:lang w:eastAsia="zh-CN"/>
        </w:rPr>
        <w:t>有年初结转结余。</w:t>
      </w:r>
    </w:p>
    <w:p>
      <w:pPr>
        <w:tabs>
          <w:tab w:val="center" w:pos="6979"/>
        </w:tabs>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四、一般公共预算财政拨款支出决算情况说明</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（一）一般公共预算财政拨款支出决算总体情况</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年度一般公共预算财政拨款支出</w:t>
      </w:r>
      <w:r>
        <w:rPr>
          <w:rFonts w:ascii="仿宋_GB2312" w:eastAsia="仿宋_GB2312"/>
          <w:sz w:val="28"/>
          <w:szCs w:val="28"/>
        </w:rPr>
        <w:t>346.81</w:t>
      </w:r>
      <w:r>
        <w:rPr>
          <w:rFonts w:hint="eastAsia" w:ascii="仿宋_GB2312" w:eastAsia="仿宋_GB2312"/>
          <w:sz w:val="28"/>
          <w:szCs w:val="28"/>
        </w:rPr>
        <w:t>万元，主要用于以下方面（按大类）：</w:t>
      </w:r>
      <w:r>
        <w:rPr>
          <w:rFonts w:hint="eastAsia" w:ascii="仿宋_GB2312" w:eastAsia="仿宋_GB2312"/>
          <w:sz w:val="28"/>
          <w:szCs w:val="28"/>
          <w:lang w:val="en-US" w:eastAsia="zh-CN"/>
        </w:rPr>
        <w:t>社会保障和就业支出67.07万元，</w:t>
      </w:r>
      <w:r>
        <w:rPr>
          <w:rFonts w:hint="eastAsia" w:ascii="仿宋_GB2312" w:eastAsia="仿宋_GB2312"/>
          <w:sz w:val="28"/>
          <w:szCs w:val="28"/>
        </w:rPr>
        <w:t>占本年财政拨款支出</w:t>
      </w:r>
      <w:r>
        <w:rPr>
          <w:rFonts w:hint="eastAsia" w:ascii="仿宋_GB2312" w:eastAsia="仿宋_GB2312"/>
          <w:sz w:val="28"/>
          <w:szCs w:val="28"/>
          <w:lang w:val="en-US" w:eastAsia="zh-CN"/>
        </w:rPr>
        <w:t>19.34%；卫生健康支出20.81万元，</w:t>
      </w:r>
      <w:r>
        <w:rPr>
          <w:rFonts w:hint="eastAsia" w:ascii="仿宋_GB2312" w:eastAsia="仿宋_GB2312"/>
          <w:sz w:val="28"/>
          <w:szCs w:val="28"/>
        </w:rPr>
        <w:t>占本年财政拨款支出</w:t>
      </w:r>
      <w:r>
        <w:rPr>
          <w:rFonts w:hint="eastAsia" w:ascii="仿宋_GB2312" w:eastAsia="仿宋_GB2312"/>
          <w:sz w:val="28"/>
          <w:szCs w:val="28"/>
          <w:lang w:val="en-US" w:eastAsia="zh-CN"/>
        </w:rPr>
        <w:t>6.0%；城乡社区支出258.92万元，</w:t>
      </w:r>
      <w:r>
        <w:rPr>
          <w:rFonts w:hint="eastAsia" w:ascii="仿宋_GB2312" w:eastAsia="仿宋_GB2312"/>
          <w:sz w:val="28"/>
          <w:szCs w:val="28"/>
        </w:rPr>
        <w:t>占本年财政拨款支出</w:t>
      </w:r>
      <w:r>
        <w:rPr>
          <w:rFonts w:hint="eastAsia" w:ascii="仿宋_GB2312" w:eastAsia="仿宋_GB2312"/>
          <w:sz w:val="28"/>
          <w:szCs w:val="28"/>
          <w:lang w:val="en-US" w:eastAsia="zh-CN"/>
        </w:rPr>
        <w:t>74.66%</w:t>
      </w:r>
      <w:r>
        <w:rPr>
          <w:rFonts w:hint="eastAsia" w:ascii="仿宋_GB2312" w:eastAsia="仿宋_GB2312"/>
          <w:sz w:val="28"/>
          <w:szCs w:val="28"/>
        </w:rPr>
        <w:t>。</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（二）一般公共预算财政拨款支出决算具体情况</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1、“</w:t>
      </w:r>
      <w:r>
        <w:rPr>
          <w:rFonts w:hint="eastAsia" w:ascii="仿宋_GB2312" w:eastAsia="仿宋_GB2312"/>
          <w:sz w:val="28"/>
          <w:szCs w:val="28"/>
          <w:lang w:val="en-US" w:eastAsia="zh-CN"/>
        </w:rPr>
        <w:t>社会保障和就业支出</w:t>
      </w:r>
      <w:r>
        <w:rPr>
          <w:rFonts w:hint="eastAsia" w:ascii="仿宋_GB2312" w:eastAsia="仿宋_GB2312"/>
          <w:sz w:val="28"/>
          <w:szCs w:val="28"/>
        </w:rPr>
        <w:t>”（类）202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67.07</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年年初预算增加</w:t>
      </w:r>
      <w:r>
        <w:rPr>
          <w:rFonts w:hint="eastAsia" w:ascii="仿宋_GB2312" w:eastAsia="仿宋_GB2312"/>
          <w:sz w:val="28"/>
          <w:szCs w:val="28"/>
          <w:lang w:val="en-US" w:eastAsia="zh-CN"/>
        </w:rPr>
        <w:t>25.51</w:t>
      </w:r>
      <w:r>
        <w:rPr>
          <w:rFonts w:hint="eastAsia" w:ascii="仿宋_GB2312" w:eastAsia="仿宋_GB2312"/>
          <w:sz w:val="28"/>
          <w:szCs w:val="28"/>
        </w:rPr>
        <w:t>万元，增长</w:t>
      </w:r>
      <w:r>
        <w:rPr>
          <w:rFonts w:hint="eastAsia" w:ascii="仿宋_GB2312" w:eastAsia="仿宋_GB2312"/>
          <w:sz w:val="28"/>
          <w:szCs w:val="28"/>
          <w:lang w:val="en-US" w:eastAsia="zh-CN"/>
        </w:rPr>
        <w:t>61.38</w:t>
      </w:r>
      <w:r>
        <w:rPr>
          <w:rFonts w:hint="eastAsia" w:ascii="仿宋_GB2312" w:eastAsia="仿宋_GB2312"/>
          <w:sz w:val="28"/>
          <w:szCs w:val="28"/>
        </w:rPr>
        <w:t>%。其中：“行政事业单位养老支出”202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67.07</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年年初预算增加增加</w:t>
      </w:r>
      <w:r>
        <w:rPr>
          <w:rFonts w:hint="eastAsia" w:ascii="仿宋_GB2312" w:eastAsia="仿宋_GB2312"/>
          <w:sz w:val="28"/>
          <w:szCs w:val="28"/>
          <w:lang w:val="en-US" w:eastAsia="zh-CN"/>
        </w:rPr>
        <w:t>25.51</w:t>
      </w:r>
      <w:r>
        <w:rPr>
          <w:rFonts w:hint="eastAsia" w:ascii="仿宋_GB2312" w:eastAsia="仿宋_GB2312"/>
          <w:sz w:val="28"/>
          <w:szCs w:val="28"/>
        </w:rPr>
        <w:t>万元，增长</w:t>
      </w:r>
      <w:r>
        <w:rPr>
          <w:rFonts w:hint="eastAsia" w:ascii="仿宋_GB2312" w:eastAsia="仿宋_GB2312"/>
          <w:sz w:val="28"/>
          <w:szCs w:val="28"/>
          <w:lang w:val="en-US" w:eastAsia="zh-CN"/>
        </w:rPr>
        <w:t>61.38</w:t>
      </w:r>
      <w:r>
        <w:rPr>
          <w:rFonts w:hint="eastAsia" w:ascii="仿宋_GB2312" w:eastAsia="仿宋_GB2312"/>
          <w:sz w:val="28"/>
          <w:szCs w:val="28"/>
        </w:rPr>
        <w:t>%。</w:t>
      </w:r>
    </w:p>
    <w:p>
      <w:pPr>
        <w:tabs>
          <w:tab w:val="center" w:pos="6979"/>
        </w:tabs>
        <w:spacing w:line="580" w:lineRule="exact"/>
        <w:ind w:firstLine="560" w:firstLineChars="200"/>
        <w:rPr>
          <w:rFonts w:hint="eastAsia" w:ascii="仿宋_GB2312" w:eastAsia="仿宋_GB2312"/>
          <w:sz w:val="28"/>
          <w:szCs w:val="28"/>
          <w:lang w:val="en-US" w:eastAsia="zh-CN"/>
        </w:rPr>
      </w:pPr>
      <w:r>
        <w:rPr>
          <w:rFonts w:hint="eastAsia" w:ascii="仿宋_GB2312" w:eastAsia="仿宋_GB2312"/>
          <w:sz w:val="28"/>
          <w:szCs w:val="28"/>
          <w:lang w:eastAsia="zh-CN"/>
        </w:rPr>
        <w:t>事业单位离退休支出</w:t>
      </w:r>
      <w:r>
        <w:rPr>
          <w:rFonts w:hint="eastAsia" w:ascii="仿宋_GB2312" w:eastAsia="仿宋_GB2312"/>
          <w:sz w:val="28"/>
          <w:szCs w:val="28"/>
          <w:lang w:val="en-US" w:eastAsia="zh-CN"/>
        </w:rPr>
        <w:t>32.87万元，比2023年年初预算增加23.98万元，增长269.74%。主要原因：1.有一退休人员去世抚恤金17.37万元放在退休费里发放；2.在职转退休2人；3.退休人员补发以前年度的绩效工资。</w:t>
      </w:r>
    </w:p>
    <w:p>
      <w:pPr>
        <w:tabs>
          <w:tab w:val="center" w:pos="6979"/>
        </w:tabs>
        <w:spacing w:line="580" w:lineRule="exact"/>
        <w:ind w:firstLine="560" w:firstLineChars="200"/>
        <w:rPr>
          <w:rFonts w:hint="eastAsia" w:ascii="仿宋_GB2312" w:hAnsi="仿宋_GB2312" w:eastAsia="仿宋_GB2312" w:cs="仿宋_GB2312"/>
          <w:i w:val="0"/>
          <w:color w:val="000000"/>
          <w:kern w:val="0"/>
          <w:sz w:val="28"/>
          <w:szCs w:val="28"/>
          <w:u w:val="none"/>
          <w:lang w:val="en-US" w:eastAsia="zh-CN" w:bidi="ar"/>
        </w:rPr>
      </w:pPr>
      <w:r>
        <w:rPr>
          <w:rFonts w:hint="eastAsia" w:ascii="仿宋_GB2312" w:hAnsi="仿宋_GB2312" w:eastAsia="仿宋_GB2312" w:cs="仿宋_GB2312"/>
          <w:i w:val="0"/>
          <w:color w:val="000000"/>
          <w:kern w:val="0"/>
          <w:sz w:val="28"/>
          <w:szCs w:val="28"/>
          <w:u w:val="none"/>
          <w:lang w:val="en-US" w:eastAsia="zh-CN" w:bidi="ar"/>
        </w:rPr>
        <w:t>机关事业单位基本养老保险缴费支出</w:t>
      </w:r>
      <w:r>
        <w:rPr>
          <w:rFonts w:hint="eastAsia" w:ascii="仿宋_GB2312" w:hAnsi="仿宋_GB2312" w:eastAsia="仿宋_GB2312" w:cs="仿宋_GB2312"/>
          <w:sz w:val="28"/>
          <w:szCs w:val="28"/>
          <w:lang w:val="en-US" w:eastAsia="zh-CN"/>
        </w:rPr>
        <w:t>22.8万元，比2023年年初预算增加1.01万元，增长4.6%</w:t>
      </w:r>
      <w:r>
        <w:rPr>
          <w:rFonts w:hint="eastAsia" w:ascii="仿宋_GB2312" w:eastAsia="仿宋_GB2312"/>
          <w:sz w:val="28"/>
          <w:szCs w:val="28"/>
          <w:lang w:val="en-US" w:eastAsia="zh-CN"/>
        </w:rPr>
        <w:t>。</w:t>
      </w:r>
      <w:r>
        <w:rPr>
          <w:rFonts w:hint="eastAsia" w:ascii="仿宋_GB2312" w:hAnsi="仿宋_GB2312" w:eastAsia="仿宋_GB2312" w:cs="仿宋_GB2312"/>
          <w:i w:val="0"/>
          <w:color w:val="000000"/>
          <w:kern w:val="0"/>
          <w:sz w:val="28"/>
          <w:szCs w:val="28"/>
          <w:u w:val="none"/>
          <w:lang w:val="en-US" w:eastAsia="zh-CN" w:bidi="ar"/>
        </w:rPr>
        <w:t xml:space="preserve"> </w:t>
      </w:r>
    </w:p>
    <w:p>
      <w:pPr>
        <w:tabs>
          <w:tab w:val="center" w:pos="6979"/>
        </w:tabs>
        <w:spacing w:line="580" w:lineRule="exact"/>
        <w:ind w:firstLine="560" w:firstLineChars="200"/>
        <w:rPr>
          <w:rFonts w:hint="default" w:ascii="仿宋_GB2312" w:hAnsi="仿宋_GB2312" w:eastAsia="仿宋_GB2312" w:cs="仿宋_GB2312"/>
          <w:sz w:val="28"/>
          <w:szCs w:val="28"/>
          <w:lang w:val="en-US" w:eastAsia="zh-CN"/>
        </w:rPr>
      </w:pPr>
      <w:r>
        <w:rPr>
          <w:rFonts w:hint="eastAsia" w:ascii="仿宋_GB2312" w:hAnsi="仿宋_GB2312" w:eastAsia="仿宋_GB2312" w:cs="仿宋_GB2312"/>
          <w:i w:val="0"/>
          <w:color w:val="000000"/>
          <w:kern w:val="0"/>
          <w:sz w:val="28"/>
          <w:szCs w:val="28"/>
          <w:u w:val="none"/>
          <w:lang w:val="en-US" w:eastAsia="zh-CN" w:bidi="ar"/>
        </w:rPr>
        <w:t>机关事业单位职业年金缴费支出11.4</w:t>
      </w:r>
      <w:r>
        <w:rPr>
          <w:rFonts w:hint="eastAsia" w:ascii="仿宋_GB2312" w:hAnsi="仿宋_GB2312" w:eastAsia="仿宋_GB2312" w:cs="仿宋_GB2312"/>
          <w:sz w:val="28"/>
          <w:szCs w:val="28"/>
          <w:lang w:val="en-US" w:eastAsia="zh-CN"/>
        </w:rPr>
        <w:t>万元，比2023年年初预算增加0.51万元，增长4.68%。</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lang w:val="en-US" w:eastAsia="zh-CN"/>
        </w:rPr>
        <w:t>2、卫生健康支出</w:t>
      </w:r>
      <w:r>
        <w:rPr>
          <w:rFonts w:hint="eastAsia" w:ascii="仿宋_GB2312" w:eastAsia="仿宋_GB2312"/>
          <w:sz w:val="28"/>
          <w:szCs w:val="28"/>
        </w:rPr>
        <w:t>”(类)202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20.81</w:t>
      </w:r>
      <w:r>
        <w:rPr>
          <w:rFonts w:hint="eastAsia" w:ascii="仿宋_GB2312" w:eastAsia="仿宋_GB2312"/>
          <w:sz w:val="28"/>
          <w:szCs w:val="28"/>
        </w:rPr>
        <w:t>万元，比</w:t>
      </w:r>
      <w:r>
        <w:rPr>
          <w:rFonts w:hint="eastAsia" w:ascii="仿宋_GB2312" w:eastAsia="仿宋_GB2312"/>
          <w:sz w:val="28"/>
          <w:szCs w:val="28"/>
          <w:lang w:val="en-US" w:eastAsia="zh-CN"/>
        </w:rPr>
        <w:t>2023</w:t>
      </w:r>
      <w:r>
        <w:rPr>
          <w:rFonts w:hint="eastAsia" w:ascii="仿宋_GB2312" w:eastAsia="仿宋_GB2312"/>
          <w:sz w:val="28"/>
          <w:szCs w:val="28"/>
        </w:rPr>
        <w:t>年年初预算</w:t>
      </w:r>
      <w:r>
        <w:rPr>
          <w:rFonts w:hint="eastAsia" w:ascii="仿宋_GB2312" w:eastAsia="仿宋_GB2312"/>
          <w:sz w:val="28"/>
          <w:szCs w:val="28"/>
          <w:lang w:eastAsia="zh-CN"/>
        </w:rPr>
        <w:t>增加</w:t>
      </w:r>
      <w:r>
        <w:rPr>
          <w:rFonts w:hint="eastAsia" w:ascii="仿宋_GB2312" w:eastAsia="仿宋_GB2312"/>
          <w:sz w:val="28"/>
          <w:szCs w:val="28"/>
          <w:lang w:val="en-US" w:eastAsia="zh-CN"/>
        </w:rPr>
        <w:t>1.17</w:t>
      </w:r>
      <w:r>
        <w:rPr>
          <w:rFonts w:hint="eastAsia" w:ascii="仿宋_GB2312" w:eastAsia="仿宋_GB2312"/>
          <w:sz w:val="28"/>
          <w:szCs w:val="28"/>
        </w:rPr>
        <w:t>万元，</w:t>
      </w:r>
      <w:r>
        <w:rPr>
          <w:rFonts w:hint="eastAsia" w:ascii="仿宋_GB2312" w:eastAsia="仿宋_GB2312"/>
          <w:sz w:val="28"/>
          <w:szCs w:val="28"/>
          <w:lang w:eastAsia="zh-CN"/>
        </w:rPr>
        <w:t>增长</w:t>
      </w:r>
      <w:r>
        <w:rPr>
          <w:rFonts w:hint="eastAsia" w:ascii="仿宋_GB2312" w:eastAsia="仿宋_GB2312"/>
          <w:sz w:val="28"/>
          <w:szCs w:val="28"/>
          <w:lang w:val="en-US" w:eastAsia="zh-CN"/>
        </w:rPr>
        <w:t>0.6</w:t>
      </w:r>
      <w:r>
        <w:rPr>
          <w:rFonts w:hint="eastAsia" w:ascii="仿宋_GB2312" w:eastAsia="仿宋_GB2312"/>
          <w:sz w:val="28"/>
          <w:szCs w:val="28"/>
        </w:rPr>
        <w:t>%。</w:t>
      </w:r>
    </w:p>
    <w:p>
      <w:pPr>
        <w:numPr>
          <w:ilvl w:val="0"/>
          <w:numId w:val="0"/>
        </w:numPr>
        <w:tabs>
          <w:tab w:val="center" w:pos="6979"/>
        </w:tabs>
        <w:spacing w:line="580" w:lineRule="exact"/>
        <w:rPr>
          <w:rFonts w:hint="eastAsia" w:ascii="仿宋_GB2312" w:eastAsia="仿宋_GB2312"/>
          <w:sz w:val="28"/>
          <w:szCs w:val="28"/>
        </w:rPr>
      </w:pPr>
      <w:r>
        <w:rPr>
          <w:rFonts w:hint="eastAsia" w:ascii="仿宋_GB2312" w:eastAsia="仿宋_GB2312"/>
          <w:sz w:val="28"/>
          <w:szCs w:val="28"/>
        </w:rPr>
        <w:t>其中：</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w:t>
      </w:r>
      <w:r>
        <w:rPr>
          <w:rFonts w:hint="eastAsia" w:ascii="仿宋_GB2312" w:eastAsia="仿宋_GB2312"/>
          <w:sz w:val="28"/>
          <w:szCs w:val="28"/>
          <w:lang w:val="en-US" w:eastAsia="zh-CN"/>
        </w:rPr>
        <w:t>行政事业单位医疗</w:t>
      </w:r>
      <w:r>
        <w:rPr>
          <w:rFonts w:hint="eastAsia" w:ascii="仿宋_GB2312" w:eastAsia="仿宋_GB2312"/>
          <w:sz w:val="28"/>
          <w:szCs w:val="28"/>
        </w:rPr>
        <w:t>”（款）202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20.81</w:t>
      </w:r>
      <w:r>
        <w:rPr>
          <w:rFonts w:hint="eastAsia" w:ascii="仿宋_GB2312" w:eastAsia="仿宋_GB2312"/>
          <w:sz w:val="28"/>
          <w:szCs w:val="28"/>
        </w:rPr>
        <w:t>万元，比</w:t>
      </w:r>
      <w:r>
        <w:rPr>
          <w:rFonts w:hint="eastAsia" w:ascii="仿宋_GB2312" w:eastAsia="仿宋_GB2312"/>
          <w:sz w:val="28"/>
          <w:szCs w:val="28"/>
          <w:lang w:val="en-US" w:eastAsia="zh-CN"/>
        </w:rPr>
        <w:t>2023</w:t>
      </w:r>
      <w:r>
        <w:rPr>
          <w:rFonts w:hint="eastAsia" w:ascii="仿宋_GB2312" w:eastAsia="仿宋_GB2312"/>
          <w:sz w:val="28"/>
          <w:szCs w:val="28"/>
        </w:rPr>
        <w:t>年年初预算</w:t>
      </w:r>
      <w:r>
        <w:rPr>
          <w:rFonts w:hint="eastAsia" w:ascii="仿宋_GB2312" w:eastAsia="仿宋_GB2312"/>
          <w:sz w:val="28"/>
          <w:szCs w:val="28"/>
          <w:lang w:eastAsia="zh-CN"/>
        </w:rPr>
        <w:t>增加</w:t>
      </w:r>
      <w:r>
        <w:rPr>
          <w:rFonts w:hint="eastAsia" w:ascii="仿宋_GB2312" w:eastAsia="仿宋_GB2312"/>
          <w:sz w:val="28"/>
          <w:szCs w:val="28"/>
          <w:lang w:val="en-US" w:eastAsia="zh-CN"/>
        </w:rPr>
        <w:t>1.17</w:t>
      </w:r>
      <w:r>
        <w:rPr>
          <w:rFonts w:hint="eastAsia" w:ascii="仿宋_GB2312" w:eastAsia="仿宋_GB2312"/>
          <w:sz w:val="28"/>
          <w:szCs w:val="28"/>
        </w:rPr>
        <w:t>万元，</w:t>
      </w:r>
      <w:r>
        <w:rPr>
          <w:rFonts w:hint="eastAsia" w:ascii="仿宋_GB2312" w:eastAsia="仿宋_GB2312"/>
          <w:sz w:val="28"/>
          <w:szCs w:val="28"/>
          <w:lang w:eastAsia="zh-CN"/>
        </w:rPr>
        <w:t>增长</w:t>
      </w:r>
      <w:r>
        <w:rPr>
          <w:rFonts w:hint="eastAsia" w:ascii="仿宋_GB2312" w:eastAsia="仿宋_GB2312"/>
          <w:sz w:val="28"/>
          <w:szCs w:val="28"/>
          <w:lang w:val="en-US" w:eastAsia="zh-CN"/>
        </w:rPr>
        <w:t>0.6</w:t>
      </w:r>
      <w:r>
        <w:rPr>
          <w:rFonts w:hint="eastAsia" w:ascii="仿宋_GB2312" w:eastAsia="仿宋_GB2312"/>
          <w:sz w:val="28"/>
          <w:szCs w:val="28"/>
        </w:rPr>
        <w:t>%。主要原因：</w:t>
      </w:r>
      <w:r>
        <w:rPr>
          <w:rFonts w:hint="eastAsia" w:ascii="仿宋_GB2312" w:eastAsia="仿宋_GB2312"/>
          <w:sz w:val="28"/>
          <w:szCs w:val="28"/>
          <w:lang w:val="en-US" w:eastAsia="zh-CN"/>
        </w:rPr>
        <w:t>2023年基数正常调整</w:t>
      </w:r>
      <w:r>
        <w:rPr>
          <w:rFonts w:hint="eastAsia" w:ascii="仿宋_GB2312" w:eastAsia="仿宋_GB2312"/>
          <w:sz w:val="28"/>
          <w:szCs w:val="28"/>
        </w:rPr>
        <w:t>。</w:t>
      </w:r>
    </w:p>
    <w:p>
      <w:pPr>
        <w:numPr>
          <w:ilvl w:val="0"/>
          <w:numId w:val="0"/>
        </w:numPr>
        <w:tabs>
          <w:tab w:val="center" w:pos="6979"/>
        </w:tabs>
        <w:spacing w:line="580" w:lineRule="exact"/>
        <w:ind w:firstLine="560" w:firstLineChars="200"/>
        <w:rPr>
          <w:rFonts w:hint="eastAsia" w:ascii="仿宋_GB2312" w:eastAsia="仿宋_GB2312"/>
          <w:sz w:val="28"/>
          <w:szCs w:val="28"/>
          <w:lang w:val="en-US" w:eastAsia="zh-CN"/>
        </w:rPr>
      </w:pPr>
      <w:r>
        <w:rPr>
          <w:rFonts w:hint="eastAsia" w:ascii="仿宋_GB2312" w:eastAsia="仿宋_GB2312"/>
          <w:sz w:val="28"/>
          <w:szCs w:val="28"/>
          <w:lang w:val="en-US" w:eastAsia="zh-CN"/>
        </w:rPr>
        <w:t>3、“城乡社区支出”(类)2023年度决算258.92万元，比2023年年初预算增加68.23万元，增长35.78%。</w:t>
      </w:r>
    </w:p>
    <w:p>
      <w:pPr>
        <w:numPr>
          <w:ilvl w:val="0"/>
          <w:numId w:val="0"/>
        </w:numPr>
        <w:tabs>
          <w:tab w:val="center" w:pos="6979"/>
        </w:tabs>
        <w:spacing w:line="580" w:lineRule="exact"/>
        <w:rPr>
          <w:rFonts w:hint="eastAsia" w:ascii="仿宋_GB2312" w:eastAsia="仿宋_GB2312"/>
          <w:sz w:val="28"/>
          <w:szCs w:val="28"/>
          <w:lang w:val="en-US" w:eastAsia="zh-CN"/>
        </w:rPr>
      </w:pPr>
      <w:r>
        <w:rPr>
          <w:rFonts w:hint="eastAsia" w:ascii="仿宋_GB2312" w:eastAsia="仿宋_GB2312"/>
          <w:sz w:val="28"/>
          <w:szCs w:val="28"/>
          <w:lang w:val="en-US" w:eastAsia="zh-CN"/>
        </w:rPr>
        <w:t>其中：</w:t>
      </w:r>
    </w:p>
    <w:p>
      <w:pPr>
        <w:tabs>
          <w:tab w:val="center" w:pos="6979"/>
        </w:tabs>
        <w:spacing w:line="580" w:lineRule="exact"/>
        <w:ind w:firstLine="560" w:firstLineChars="200"/>
        <w:rPr>
          <w:rFonts w:hint="eastAsia" w:ascii="仿宋_GB2312" w:eastAsia="仿宋_GB2312"/>
          <w:sz w:val="28"/>
          <w:szCs w:val="28"/>
          <w:lang w:eastAsia="zh-CN"/>
        </w:rPr>
      </w:pPr>
      <w:r>
        <w:rPr>
          <w:rFonts w:hint="eastAsia" w:ascii="仿宋_GB2312" w:eastAsia="仿宋_GB2312"/>
          <w:sz w:val="28"/>
          <w:szCs w:val="28"/>
          <w:lang w:val="en-US" w:eastAsia="zh-CN"/>
        </w:rPr>
        <w:t>“城乡社区管理事务”（款）2023年度决算258.92万元，比2023年年初预算增加68.23万元，增长35.78%。主要原因：</w:t>
      </w:r>
      <w:r>
        <w:rPr>
          <w:rFonts w:hint="eastAsia" w:ascii="仿宋_GB2312" w:eastAsia="仿宋_GB2312"/>
          <w:sz w:val="28"/>
          <w:szCs w:val="28"/>
        </w:rPr>
        <w:t>一是</w:t>
      </w:r>
      <w:r>
        <w:rPr>
          <w:rFonts w:hint="eastAsia" w:ascii="仿宋_GB2312" w:eastAsia="仿宋_GB2312"/>
          <w:sz w:val="28"/>
          <w:szCs w:val="28"/>
          <w:lang w:val="en-US" w:eastAsia="zh-CN"/>
        </w:rPr>
        <w:t>2022</w:t>
      </w:r>
      <w:r>
        <w:rPr>
          <w:rFonts w:hint="eastAsia" w:ascii="仿宋_GB2312" w:eastAsia="仿宋_GB2312"/>
          <w:sz w:val="28"/>
          <w:szCs w:val="28"/>
        </w:rPr>
        <w:t>年</w:t>
      </w:r>
      <w:r>
        <w:rPr>
          <w:rFonts w:hint="eastAsia" w:ascii="仿宋_GB2312" w:eastAsia="仿宋_GB2312"/>
          <w:sz w:val="28"/>
          <w:szCs w:val="28"/>
          <w:lang w:val="en-US" w:eastAsia="zh-CN"/>
        </w:rPr>
        <w:t>10月新录用2人，2024年</w:t>
      </w:r>
      <w:r>
        <w:rPr>
          <w:rFonts w:hint="eastAsia" w:ascii="仿宋_GB2312" w:eastAsia="仿宋_GB2312"/>
          <w:sz w:val="28"/>
          <w:szCs w:val="28"/>
          <w:lang w:eastAsia="zh-CN"/>
        </w:rPr>
        <w:t>新录用</w:t>
      </w:r>
      <w:r>
        <w:rPr>
          <w:rFonts w:hint="eastAsia" w:ascii="仿宋_GB2312" w:eastAsia="仿宋_GB2312"/>
          <w:sz w:val="28"/>
          <w:szCs w:val="28"/>
          <w:lang w:val="en-US" w:eastAsia="zh-CN"/>
        </w:rPr>
        <w:t>3人，增加了工资福利支出且2023年均无年初预算数；二是2023年</w:t>
      </w:r>
      <w:r>
        <w:rPr>
          <w:rFonts w:hint="eastAsia" w:ascii="仿宋_GB2312" w:eastAsia="仿宋_GB2312"/>
          <w:sz w:val="28"/>
          <w:szCs w:val="28"/>
          <w:lang w:eastAsia="zh-CN"/>
        </w:rPr>
        <w:t>增加了事业单位绩效奖励。</w:t>
      </w:r>
    </w:p>
    <w:p>
      <w:pPr>
        <w:numPr>
          <w:ilvl w:val="0"/>
          <w:numId w:val="1"/>
        </w:numPr>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政府性基金预算财政拨款支出决算情况说明</w:t>
      </w:r>
    </w:p>
    <w:p>
      <w:pPr>
        <w:numPr>
          <w:ilvl w:val="0"/>
          <w:numId w:val="0"/>
        </w:numPr>
        <w:spacing w:line="580" w:lineRule="exact"/>
        <w:ind w:firstLine="560" w:firstLineChars="200"/>
        <w:rPr>
          <w:rFonts w:hint="eastAsia" w:ascii="仿宋_GB2312" w:eastAsia="仿宋_GB2312"/>
          <w:b w:val="0"/>
          <w:bCs/>
          <w:sz w:val="28"/>
          <w:szCs w:val="28"/>
        </w:rPr>
      </w:pPr>
      <w:r>
        <w:rPr>
          <w:rFonts w:hint="eastAsia" w:ascii="仿宋_GB2312" w:eastAsia="仿宋_GB2312"/>
          <w:sz w:val="28"/>
          <w:szCs w:val="28"/>
        </w:rPr>
        <w:t>本年度此项支出</w:t>
      </w:r>
      <w:r>
        <w:rPr>
          <w:rFonts w:hint="eastAsia" w:ascii="仿宋_GB2312" w:eastAsia="仿宋_GB2312"/>
          <w:sz w:val="28"/>
          <w:szCs w:val="28"/>
          <w:lang w:eastAsia="zh-CN"/>
        </w:rPr>
        <w:t>为</w:t>
      </w:r>
      <w:r>
        <w:rPr>
          <w:rFonts w:hint="eastAsia" w:ascii="仿宋_GB2312" w:eastAsia="仿宋_GB2312"/>
          <w:sz w:val="28"/>
          <w:szCs w:val="28"/>
          <w:lang w:val="en-US" w:eastAsia="zh-CN"/>
        </w:rPr>
        <w:t>0万元</w:t>
      </w:r>
      <w:r>
        <w:rPr>
          <w:rFonts w:hint="eastAsia" w:ascii="仿宋_GB2312" w:eastAsia="仿宋_GB2312"/>
          <w:sz w:val="28"/>
          <w:szCs w:val="28"/>
          <w:lang w:eastAsia="zh-CN"/>
        </w:rPr>
        <w:t>。</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（一）政府性基金预算财政拨款支出决算总体情况</w:t>
      </w:r>
    </w:p>
    <w:p>
      <w:pPr>
        <w:tabs>
          <w:tab w:val="center" w:pos="6979"/>
        </w:tabs>
        <w:spacing w:line="580" w:lineRule="exact"/>
        <w:ind w:firstLine="560" w:firstLineChars="20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年度政府性基金预算财政拨款支出</w:t>
      </w:r>
      <w:r>
        <w:rPr>
          <w:rFonts w:hint="eastAsia" w:ascii="仿宋_GB2312" w:eastAsia="仿宋_GB2312"/>
          <w:sz w:val="28"/>
          <w:szCs w:val="28"/>
          <w:lang w:val="en-US" w:eastAsia="zh-CN"/>
        </w:rPr>
        <w:t>0</w:t>
      </w:r>
      <w:r>
        <w:rPr>
          <w:rFonts w:hint="eastAsia" w:ascii="仿宋_GB2312" w:eastAsia="仿宋_GB2312"/>
          <w:sz w:val="28"/>
          <w:szCs w:val="28"/>
        </w:rPr>
        <w:t>万元，主要用于以下方面（按大类）：城乡社区支出</w:t>
      </w:r>
      <w:r>
        <w:rPr>
          <w:rFonts w:hint="eastAsia" w:ascii="仿宋_GB2312" w:eastAsia="仿宋_GB2312"/>
          <w:sz w:val="28"/>
          <w:szCs w:val="28"/>
          <w:lang w:val="en-US" w:eastAsia="zh-CN"/>
        </w:rPr>
        <w:t>0</w:t>
      </w:r>
      <w:r>
        <w:rPr>
          <w:rFonts w:hint="eastAsia" w:ascii="仿宋_GB2312" w:eastAsia="仿宋_GB2312"/>
          <w:sz w:val="28"/>
          <w:szCs w:val="28"/>
        </w:rPr>
        <w:t>万元，占本年财政拨款支出</w:t>
      </w:r>
      <w:r>
        <w:rPr>
          <w:rFonts w:hint="eastAsia" w:ascii="仿宋_GB2312" w:eastAsia="仿宋_GB2312"/>
          <w:sz w:val="28"/>
          <w:szCs w:val="28"/>
          <w:lang w:val="en-US" w:eastAsia="zh-CN"/>
        </w:rPr>
        <w:t>0万元</w:t>
      </w:r>
      <w:r>
        <w:rPr>
          <w:rFonts w:hint="eastAsia" w:ascii="仿宋_GB2312" w:eastAsia="仿宋_GB2312"/>
          <w:sz w:val="28"/>
          <w:szCs w:val="28"/>
        </w:rPr>
        <w:t>；</w:t>
      </w:r>
    </w:p>
    <w:p>
      <w:pPr>
        <w:autoSpaceDE w:val="0"/>
        <w:autoSpaceDN w:val="0"/>
        <w:adjustRightInd w:val="0"/>
        <w:spacing w:line="580" w:lineRule="exact"/>
        <w:ind w:firstLine="560" w:firstLineChars="200"/>
        <w:jc w:val="left"/>
        <w:rPr>
          <w:rFonts w:hint="eastAsia" w:ascii="仿宋_GB2312" w:eastAsia="仿宋_GB2312"/>
          <w:sz w:val="28"/>
          <w:szCs w:val="28"/>
        </w:rPr>
      </w:pPr>
      <w:r>
        <w:rPr>
          <w:rFonts w:hint="eastAsia" w:ascii="仿宋_GB2312" w:eastAsia="仿宋_GB2312"/>
          <w:sz w:val="28"/>
          <w:szCs w:val="28"/>
        </w:rPr>
        <w:t>（二）政府性基金预算财政拨款支出决算具体情况</w:t>
      </w:r>
    </w:p>
    <w:p>
      <w:pPr>
        <w:autoSpaceDE w:val="0"/>
        <w:autoSpaceDN w:val="0"/>
        <w:adjustRightInd w:val="0"/>
        <w:spacing w:line="580" w:lineRule="exact"/>
        <w:ind w:firstLine="700" w:firstLineChars="250"/>
        <w:jc w:val="left"/>
        <w:rPr>
          <w:rFonts w:hint="eastAsia" w:ascii="仿宋_GB2312" w:eastAsia="仿宋_GB2312"/>
          <w:sz w:val="28"/>
          <w:szCs w:val="28"/>
          <w:lang w:eastAsia="zh-CN"/>
        </w:rPr>
      </w:pPr>
      <w:r>
        <w:rPr>
          <w:rFonts w:hint="eastAsia" w:ascii="仿宋_GB2312" w:eastAsia="仿宋_GB2312"/>
          <w:sz w:val="28"/>
          <w:szCs w:val="28"/>
        </w:rPr>
        <w:t>“城乡社区支出”（类，下同）202</w:t>
      </w:r>
      <w:r>
        <w:rPr>
          <w:rFonts w:hint="eastAsia" w:ascii="仿宋_GB2312" w:eastAsia="仿宋_GB2312"/>
          <w:sz w:val="28"/>
          <w:szCs w:val="28"/>
          <w:lang w:val="en-US" w:eastAsia="zh-CN"/>
        </w:rPr>
        <w:t>3</w:t>
      </w:r>
      <w:r>
        <w:rPr>
          <w:rFonts w:hint="eastAsia" w:ascii="仿宋_GB2312" w:eastAsia="仿宋_GB2312"/>
          <w:sz w:val="28"/>
          <w:szCs w:val="28"/>
        </w:rPr>
        <w:t>年度决算</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lang w:eastAsia="zh-CN"/>
        </w:rPr>
        <w:t>。</w:t>
      </w:r>
    </w:p>
    <w:p>
      <w:pPr>
        <w:spacing w:line="580" w:lineRule="exact"/>
        <w:ind w:firstLine="560" w:firstLineChars="200"/>
        <w:rPr>
          <w:rFonts w:hint="eastAsia" w:ascii="黑体" w:eastAsia="黑体"/>
          <w:b w:val="0"/>
          <w:bCs/>
          <w:sz w:val="28"/>
          <w:szCs w:val="28"/>
        </w:rPr>
      </w:pPr>
      <w:r>
        <w:rPr>
          <w:rFonts w:hint="eastAsia" w:ascii="黑体" w:eastAsia="黑体"/>
          <w:b w:val="0"/>
          <w:bCs/>
          <w:sz w:val="28"/>
          <w:szCs w:val="28"/>
        </w:rPr>
        <w:t>六、国有资本经营预算财</w:t>
      </w:r>
      <w:r>
        <w:rPr>
          <w:rFonts w:ascii="黑体" w:eastAsia="黑体"/>
          <w:b w:val="0"/>
          <w:bCs/>
          <w:sz w:val="28"/>
          <w:szCs w:val="28"/>
        </w:rPr>
        <w:t>政拨款</w:t>
      </w:r>
      <w:r>
        <w:rPr>
          <w:rFonts w:hint="eastAsia" w:ascii="黑体" w:eastAsia="黑体"/>
          <w:b w:val="0"/>
          <w:bCs/>
          <w:sz w:val="28"/>
          <w:szCs w:val="28"/>
        </w:rPr>
        <w:t>收支情况</w:t>
      </w:r>
    </w:p>
    <w:p>
      <w:pPr>
        <w:ind w:firstLine="537" w:firstLineChars="192"/>
        <w:rPr>
          <w:rFonts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年度国有资本经营预算财政</w:t>
      </w:r>
      <w:r>
        <w:rPr>
          <w:rFonts w:ascii="仿宋_GB2312" w:eastAsia="仿宋_GB2312"/>
          <w:sz w:val="28"/>
          <w:szCs w:val="28"/>
        </w:rPr>
        <w:t>拨款</w:t>
      </w:r>
      <w:r>
        <w:rPr>
          <w:rFonts w:hint="eastAsia" w:ascii="仿宋_GB2312" w:eastAsia="仿宋_GB2312"/>
          <w:sz w:val="28"/>
          <w:szCs w:val="28"/>
        </w:rPr>
        <w:t>收入总</w:t>
      </w:r>
      <w:r>
        <w:rPr>
          <w:rFonts w:ascii="仿宋_GB2312" w:eastAsia="仿宋_GB2312"/>
          <w:sz w:val="28"/>
          <w:szCs w:val="28"/>
        </w:rPr>
        <w:t>计0</w:t>
      </w:r>
      <w:r>
        <w:rPr>
          <w:rFonts w:hint="eastAsia" w:ascii="仿宋_GB2312" w:eastAsia="仿宋_GB2312"/>
          <w:sz w:val="28"/>
          <w:szCs w:val="28"/>
        </w:rPr>
        <w:t>万元，国有资本经营预算财政</w:t>
      </w:r>
      <w:r>
        <w:rPr>
          <w:rFonts w:ascii="仿宋_GB2312" w:eastAsia="仿宋_GB2312"/>
          <w:sz w:val="28"/>
          <w:szCs w:val="28"/>
        </w:rPr>
        <w:t>拨款</w:t>
      </w:r>
      <w:r>
        <w:rPr>
          <w:rFonts w:hint="eastAsia" w:ascii="仿宋_GB2312" w:eastAsia="仿宋_GB2312"/>
          <w:sz w:val="28"/>
          <w:szCs w:val="28"/>
        </w:rPr>
        <w:t>支出总</w:t>
      </w:r>
      <w:r>
        <w:rPr>
          <w:rFonts w:ascii="仿宋_GB2312" w:eastAsia="仿宋_GB2312"/>
          <w:sz w:val="28"/>
          <w:szCs w:val="28"/>
        </w:rPr>
        <w:t>计0</w:t>
      </w:r>
      <w:r>
        <w:rPr>
          <w:rFonts w:hint="eastAsia" w:ascii="仿宋_GB2312" w:eastAsia="仿宋_GB2312"/>
          <w:sz w:val="28"/>
          <w:szCs w:val="28"/>
        </w:rPr>
        <w:t>万元。</w:t>
      </w:r>
    </w:p>
    <w:p>
      <w:pPr>
        <w:spacing w:line="580" w:lineRule="exact"/>
        <w:ind w:firstLine="548" w:firstLineChars="196"/>
        <w:rPr>
          <w:rFonts w:hint="eastAsia" w:ascii="黑体" w:eastAsia="黑体"/>
          <w:b w:val="0"/>
          <w:bCs/>
          <w:sz w:val="28"/>
          <w:szCs w:val="28"/>
        </w:rPr>
      </w:pPr>
      <w:r>
        <w:rPr>
          <w:rFonts w:hint="eastAsia" w:ascii="黑体" w:eastAsia="黑体"/>
          <w:b w:val="0"/>
          <w:bCs/>
          <w:sz w:val="28"/>
          <w:szCs w:val="28"/>
        </w:rPr>
        <w:t>七、财政拨款基本支出决算情况说明</w:t>
      </w:r>
    </w:p>
    <w:p>
      <w:pPr>
        <w:tabs>
          <w:tab w:val="center" w:pos="6979"/>
        </w:tabs>
        <w:spacing w:line="580" w:lineRule="exact"/>
        <w:ind w:firstLine="548" w:firstLineChars="196"/>
        <w:rPr>
          <w:rFonts w:hint="eastAsia" w:ascii="黑体" w:eastAsia="黑体"/>
          <w:b/>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年度使用一般公共预算财政拨款安排基本支出</w:t>
      </w:r>
      <w:r>
        <w:rPr>
          <w:rFonts w:ascii="仿宋_GB2312" w:eastAsia="仿宋_GB2312"/>
          <w:sz w:val="28"/>
          <w:szCs w:val="28"/>
        </w:rPr>
        <w:t>346.81</w:t>
      </w:r>
      <w:r>
        <w:rPr>
          <w:rFonts w:hint="eastAsia" w:ascii="仿宋_GB2312" w:eastAsia="仿宋_GB2312"/>
          <w:sz w:val="28"/>
          <w:szCs w:val="28"/>
        </w:rPr>
        <w:t>万元，使用政府性基金财政拨款安排基本支出</w:t>
      </w:r>
      <w:r>
        <w:rPr>
          <w:rFonts w:ascii="仿宋_GB2312" w:eastAsia="仿宋_GB2312"/>
          <w:sz w:val="28"/>
          <w:szCs w:val="28"/>
        </w:rPr>
        <w:t>0</w:t>
      </w:r>
      <w:r>
        <w:rPr>
          <w:rFonts w:hint="eastAsia" w:ascii="仿宋_GB2312" w:eastAsia="仿宋_GB2312"/>
          <w:sz w:val="28"/>
          <w:szCs w:val="28"/>
        </w:rPr>
        <w:t>万元，其中：（1）工资福利支出</w:t>
      </w:r>
      <w:r>
        <w:rPr>
          <w:rFonts w:hint="eastAsia" w:ascii="仿宋_GB2312" w:eastAsia="仿宋_GB2312"/>
          <w:sz w:val="28"/>
          <w:szCs w:val="28"/>
          <w:lang w:val="en-US" w:eastAsia="zh-CN"/>
        </w:rPr>
        <w:t>299.79万元：</w:t>
      </w:r>
      <w:r>
        <w:rPr>
          <w:rFonts w:hint="eastAsia" w:ascii="仿宋_GB2312" w:eastAsia="仿宋_GB2312"/>
          <w:sz w:val="28"/>
          <w:szCs w:val="28"/>
        </w:rPr>
        <w:t>包括基本工资</w:t>
      </w:r>
      <w:r>
        <w:rPr>
          <w:rFonts w:hint="eastAsia" w:ascii="仿宋_GB2312" w:eastAsia="仿宋_GB2312"/>
          <w:sz w:val="28"/>
          <w:szCs w:val="28"/>
          <w:lang w:val="en-US" w:eastAsia="zh-CN"/>
        </w:rPr>
        <w:t>41.55万元</w:t>
      </w:r>
      <w:r>
        <w:rPr>
          <w:rFonts w:ascii="仿宋_GB2312" w:eastAsia="仿宋_GB2312"/>
          <w:sz w:val="28"/>
          <w:szCs w:val="28"/>
        </w:rPr>
        <w:t>、津贴补贴</w:t>
      </w:r>
      <w:r>
        <w:rPr>
          <w:rFonts w:hint="eastAsia" w:ascii="仿宋_GB2312" w:eastAsia="仿宋_GB2312"/>
          <w:sz w:val="28"/>
          <w:szCs w:val="28"/>
          <w:lang w:val="en-US" w:eastAsia="zh-CN"/>
        </w:rPr>
        <w:t>5.61万元</w:t>
      </w:r>
      <w:r>
        <w:rPr>
          <w:rFonts w:ascii="仿宋_GB2312" w:eastAsia="仿宋_GB2312"/>
          <w:sz w:val="28"/>
          <w:szCs w:val="28"/>
        </w:rPr>
        <w:t>、奖金</w:t>
      </w:r>
      <w:r>
        <w:rPr>
          <w:rFonts w:hint="eastAsia" w:ascii="仿宋_GB2312" w:eastAsia="仿宋_GB2312"/>
          <w:sz w:val="28"/>
          <w:szCs w:val="28"/>
          <w:lang w:val="en-US" w:eastAsia="zh-CN"/>
        </w:rPr>
        <w:t>0万元</w:t>
      </w:r>
      <w:r>
        <w:rPr>
          <w:rFonts w:ascii="仿宋_GB2312" w:eastAsia="仿宋_GB2312"/>
          <w:sz w:val="28"/>
          <w:szCs w:val="28"/>
        </w:rPr>
        <w:t>、伙食补助费</w:t>
      </w:r>
      <w:r>
        <w:rPr>
          <w:rFonts w:hint="eastAsia" w:ascii="仿宋_GB2312" w:eastAsia="仿宋_GB2312"/>
          <w:sz w:val="28"/>
          <w:szCs w:val="28"/>
          <w:lang w:val="en-US" w:eastAsia="zh-CN"/>
        </w:rPr>
        <w:t>0万元</w:t>
      </w:r>
      <w:r>
        <w:rPr>
          <w:rFonts w:ascii="仿宋_GB2312" w:eastAsia="仿宋_GB2312"/>
          <w:sz w:val="28"/>
          <w:szCs w:val="28"/>
        </w:rPr>
        <w:t>、绩效工资</w:t>
      </w:r>
      <w:r>
        <w:rPr>
          <w:rFonts w:hint="eastAsia" w:ascii="仿宋_GB2312" w:eastAsia="仿宋_GB2312"/>
          <w:sz w:val="28"/>
          <w:szCs w:val="28"/>
          <w:lang w:val="en-US" w:eastAsia="zh-CN"/>
        </w:rPr>
        <w:t>176.26万元</w:t>
      </w:r>
      <w:r>
        <w:rPr>
          <w:rFonts w:ascii="仿宋_GB2312" w:eastAsia="仿宋_GB2312"/>
          <w:sz w:val="28"/>
          <w:szCs w:val="28"/>
        </w:rPr>
        <w:t>、</w:t>
      </w:r>
      <w:r>
        <w:rPr>
          <w:rFonts w:hint="eastAsia" w:ascii="仿宋_GB2312" w:eastAsia="仿宋_GB2312"/>
          <w:sz w:val="28"/>
          <w:szCs w:val="28"/>
          <w:lang w:eastAsia="zh-CN"/>
        </w:rPr>
        <w:t>机关事业单位基本养老保险缴费</w:t>
      </w:r>
      <w:r>
        <w:rPr>
          <w:rFonts w:hint="eastAsia" w:ascii="仿宋_GB2312" w:eastAsia="仿宋_GB2312"/>
          <w:sz w:val="28"/>
          <w:szCs w:val="28"/>
          <w:lang w:val="en-US" w:eastAsia="zh-CN"/>
        </w:rPr>
        <w:t>22.80万元、职业年金缴费11.40万元、职工基本医疗保险缴费20.81万元、</w:t>
      </w:r>
      <w:r>
        <w:rPr>
          <w:rFonts w:hint="eastAsia" w:ascii="仿宋_GB2312" w:eastAsia="仿宋_GB2312"/>
          <w:sz w:val="28"/>
          <w:szCs w:val="28"/>
        </w:rPr>
        <w:t>其他</w:t>
      </w:r>
      <w:r>
        <w:rPr>
          <w:rFonts w:ascii="仿宋_GB2312" w:eastAsia="仿宋_GB2312"/>
          <w:sz w:val="28"/>
          <w:szCs w:val="28"/>
        </w:rPr>
        <w:t>社会保障缴费</w:t>
      </w:r>
      <w:r>
        <w:rPr>
          <w:rFonts w:hint="eastAsia" w:ascii="仿宋_GB2312" w:eastAsia="仿宋_GB2312"/>
          <w:sz w:val="28"/>
          <w:szCs w:val="28"/>
          <w:lang w:val="en-US" w:eastAsia="zh-CN"/>
        </w:rPr>
        <w:t>1.14万元</w:t>
      </w:r>
      <w:r>
        <w:rPr>
          <w:rFonts w:ascii="仿宋_GB2312" w:eastAsia="仿宋_GB2312"/>
          <w:sz w:val="28"/>
          <w:szCs w:val="28"/>
        </w:rPr>
        <w:t>、</w:t>
      </w:r>
      <w:r>
        <w:rPr>
          <w:rFonts w:hint="eastAsia" w:ascii="仿宋_GB2312" w:eastAsia="仿宋_GB2312"/>
          <w:sz w:val="28"/>
          <w:szCs w:val="28"/>
          <w:lang w:eastAsia="zh-CN"/>
        </w:rPr>
        <w:t>住房公积金</w:t>
      </w:r>
      <w:r>
        <w:rPr>
          <w:rFonts w:hint="eastAsia" w:ascii="仿宋_GB2312" w:eastAsia="仿宋_GB2312"/>
          <w:sz w:val="28"/>
          <w:szCs w:val="28"/>
          <w:lang w:val="en-US" w:eastAsia="zh-CN"/>
        </w:rPr>
        <w:t>20.21万元、</w:t>
      </w:r>
      <w:r>
        <w:rPr>
          <w:rFonts w:ascii="仿宋_GB2312" w:eastAsia="仿宋_GB2312"/>
          <w:sz w:val="28"/>
          <w:szCs w:val="28"/>
        </w:rPr>
        <w:t>其他工资福利</w:t>
      </w:r>
      <w:r>
        <w:rPr>
          <w:rFonts w:hint="eastAsia" w:ascii="仿宋_GB2312" w:eastAsia="仿宋_GB2312"/>
          <w:sz w:val="28"/>
          <w:szCs w:val="28"/>
          <w:lang w:eastAsia="zh-CN"/>
        </w:rPr>
        <w:t>支出</w:t>
      </w:r>
      <w:r>
        <w:rPr>
          <w:rFonts w:hint="eastAsia" w:ascii="仿宋_GB2312" w:eastAsia="仿宋_GB2312"/>
          <w:sz w:val="28"/>
          <w:szCs w:val="28"/>
          <w:lang w:val="en-US" w:eastAsia="zh-CN"/>
        </w:rPr>
        <w:t>0.01万元</w:t>
      </w:r>
      <w:r>
        <w:rPr>
          <w:rFonts w:hint="eastAsia" w:ascii="仿宋_GB2312" w:eastAsia="仿宋_GB2312"/>
          <w:sz w:val="28"/>
          <w:szCs w:val="28"/>
        </w:rPr>
        <w:t>；（2）商品和服务支出</w:t>
      </w:r>
      <w:r>
        <w:rPr>
          <w:rFonts w:hint="eastAsia" w:ascii="仿宋_GB2312" w:eastAsia="仿宋_GB2312"/>
          <w:sz w:val="28"/>
          <w:szCs w:val="28"/>
          <w:lang w:val="en-US" w:eastAsia="zh-CN"/>
        </w:rPr>
        <w:t>14.14万元，</w:t>
      </w:r>
      <w:r>
        <w:rPr>
          <w:rFonts w:hint="eastAsia" w:ascii="仿宋_GB2312" w:eastAsia="仿宋_GB2312"/>
          <w:sz w:val="28"/>
          <w:szCs w:val="28"/>
        </w:rPr>
        <w:t>包括</w:t>
      </w:r>
      <w:r>
        <w:rPr>
          <w:rFonts w:ascii="仿宋_GB2312" w:eastAsia="仿宋_GB2312"/>
          <w:sz w:val="28"/>
          <w:szCs w:val="28"/>
        </w:rPr>
        <w:t>办公费</w:t>
      </w:r>
      <w:r>
        <w:rPr>
          <w:rFonts w:hint="eastAsia" w:ascii="仿宋_GB2312" w:eastAsia="仿宋_GB2312"/>
          <w:sz w:val="28"/>
          <w:szCs w:val="28"/>
          <w:lang w:val="en-US" w:eastAsia="zh-CN"/>
        </w:rPr>
        <w:t>1.96万元</w:t>
      </w:r>
      <w:r>
        <w:rPr>
          <w:rFonts w:ascii="仿宋_GB2312" w:eastAsia="仿宋_GB2312"/>
          <w:sz w:val="28"/>
          <w:szCs w:val="28"/>
        </w:rPr>
        <w:t>、印刷费</w:t>
      </w:r>
      <w:r>
        <w:rPr>
          <w:rFonts w:hint="eastAsia" w:ascii="仿宋_GB2312" w:eastAsia="仿宋_GB2312"/>
          <w:sz w:val="28"/>
          <w:szCs w:val="28"/>
          <w:lang w:val="en-US" w:eastAsia="zh-CN"/>
        </w:rPr>
        <w:t>0万元</w:t>
      </w:r>
      <w:r>
        <w:rPr>
          <w:rFonts w:ascii="仿宋_GB2312" w:eastAsia="仿宋_GB2312"/>
          <w:sz w:val="28"/>
          <w:szCs w:val="28"/>
        </w:rPr>
        <w:t>、手续费</w:t>
      </w:r>
      <w:r>
        <w:rPr>
          <w:rFonts w:hint="eastAsia" w:ascii="仿宋_GB2312" w:eastAsia="仿宋_GB2312"/>
          <w:sz w:val="28"/>
          <w:szCs w:val="28"/>
          <w:lang w:val="en-US" w:eastAsia="zh-CN"/>
        </w:rPr>
        <w:t>0.02万元</w:t>
      </w:r>
      <w:r>
        <w:rPr>
          <w:rFonts w:ascii="仿宋_GB2312" w:eastAsia="仿宋_GB2312"/>
          <w:sz w:val="28"/>
          <w:szCs w:val="28"/>
        </w:rPr>
        <w:t>、水费</w:t>
      </w:r>
      <w:r>
        <w:rPr>
          <w:rFonts w:hint="eastAsia" w:ascii="仿宋_GB2312" w:eastAsia="仿宋_GB2312"/>
          <w:sz w:val="28"/>
          <w:szCs w:val="28"/>
          <w:lang w:val="en-US" w:eastAsia="zh-CN"/>
        </w:rPr>
        <w:t>0万元</w:t>
      </w:r>
      <w:r>
        <w:rPr>
          <w:rFonts w:ascii="仿宋_GB2312" w:eastAsia="仿宋_GB2312"/>
          <w:sz w:val="28"/>
          <w:szCs w:val="28"/>
        </w:rPr>
        <w:t>、电费</w:t>
      </w:r>
      <w:r>
        <w:rPr>
          <w:rFonts w:hint="eastAsia" w:ascii="仿宋_GB2312" w:eastAsia="仿宋_GB2312"/>
          <w:sz w:val="28"/>
          <w:szCs w:val="28"/>
          <w:lang w:val="en-US" w:eastAsia="zh-CN"/>
        </w:rPr>
        <w:t>0万元</w:t>
      </w:r>
      <w:r>
        <w:rPr>
          <w:rFonts w:ascii="仿宋_GB2312" w:eastAsia="仿宋_GB2312"/>
          <w:sz w:val="28"/>
          <w:szCs w:val="28"/>
        </w:rPr>
        <w:t>、邮电费</w:t>
      </w:r>
      <w:r>
        <w:rPr>
          <w:rFonts w:hint="eastAsia" w:ascii="仿宋_GB2312" w:eastAsia="仿宋_GB2312"/>
          <w:sz w:val="28"/>
          <w:szCs w:val="28"/>
          <w:lang w:val="en-US" w:eastAsia="zh-CN"/>
        </w:rPr>
        <w:t>0.25万元</w:t>
      </w:r>
      <w:r>
        <w:rPr>
          <w:rFonts w:ascii="仿宋_GB2312" w:eastAsia="仿宋_GB2312"/>
          <w:sz w:val="28"/>
          <w:szCs w:val="28"/>
        </w:rPr>
        <w:t>、取暖费</w:t>
      </w:r>
      <w:r>
        <w:rPr>
          <w:rFonts w:hint="eastAsia" w:ascii="仿宋_GB2312" w:eastAsia="仿宋_GB2312"/>
          <w:sz w:val="28"/>
          <w:szCs w:val="28"/>
          <w:lang w:val="en-US" w:eastAsia="zh-CN"/>
        </w:rPr>
        <w:t>0万元</w:t>
      </w:r>
      <w:r>
        <w:rPr>
          <w:rFonts w:ascii="仿宋_GB2312" w:eastAsia="仿宋_GB2312"/>
          <w:sz w:val="28"/>
          <w:szCs w:val="28"/>
        </w:rPr>
        <w:t>、物业管理费</w:t>
      </w:r>
      <w:r>
        <w:rPr>
          <w:rFonts w:hint="eastAsia" w:ascii="仿宋_GB2312" w:eastAsia="仿宋_GB2312"/>
          <w:sz w:val="28"/>
          <w:szCs w:val="28"/>
          <w:lang w:val="en-US" w:eastAsia="zh-CN"/>
        </w:rPr>
        <w:t>0万元</w:t>
      </w:r>
      <w:r>
        <w:rPr>
          <w:rFonts w:ascii="仿宋_GB2312" w:eastAsia="仿宋_GB2312"/>
          <w:sz w:val="28"/>
          <w:szCs w:val="28"/>
        </w:rPr>
        <w:t>、差旅费</w:t>
      </w:r>
      <w:r>
        <w:rPr>
          <w:rFonts w:hint="eastAsia" w:ascii="仿宋_GB2312" w:eastAsia="仿宋_GB2312"/>
          <w:sz w:val="28"/>
          <w:szCs w:val="28"/>
          <w:lang w:val="en-US" w:eastAsia="zh-CN"/>
        </w:rPr>
        <w:t>0万元</w:t>
      </w:r>
      <w:r>
        <w:rPr>
          <w:rFonts w:ascii="仿宋_GB2312" w:eastAsia="仿宋_GB2312"/>
          <w:sz w:val="28"/>
          <w:szCs w:val="28"/>
        </w:rPr>
        <w:t>、因公出国（境）费</w:t>
      </w:r>
      <w:r>
        <w:rPr>
          <w:rFonts w:hint="eastAsia" w:ascii="仿宋_GB2312" w:eastAsia="仿宋_GB2312"/>
          <w:sz w:val="28"/>
          <w:szCs w:val="28"/>
          <w:lang w:val="en-US" w:eastAsia="zh-CN"/>
        </w:rPr>
        <w:t>0万元</w:t>
      </w:r>
      <w:r>
        <w:rPr>
          <w:rFonts w:ascii="仿宋_GB2312" w:eastAsia="仿宋_GB2312"/>
          <w:sz w:val="28"/>
          <w:szCs w:val="28"/>
        </w:rPr>
        <w:t>、维修（护）费</w:t>
      </w:r>
      <w:r>
        <w:rPr>
          <w:rFonts w:hint="eastAsia" w:ascii="仿宋_GB2312" w:eastAsia="仿宋_GB2312"/>
          <w:sz w:val="28"/>
          <w:szCs w:val="28"/>
          <w:lang w:val="en-US" w:eastAsia="zh-CN"/>
        </w:rPr>
        <w:t>0.33万元</w:t>
      </w:r>
      <w:r>
        <w:rPr>
          <w:rFonts w:ascii="仿宋_GB2312" w:eastAsia="仿宋_GB2312"/>
          <w:sz w:val="28"/>
          <w:szCs w:val="28"/>
        </w:rPr>
        <w:t>、租赁费</w:t>
      </w:r>
      <w:r>
        <w:rPr>
          <w:rFonts w:hint="eastAsia" w:ascii="仿宋_GB2312" w:eastAsia="仿宋_GB2312"/>
          <w:sz w:val="28"/>
          <w:szCs w:val="28"/>
          <w:lang w:val="en-US" w:eastAsia="zh-CN"/>
        </w:rPr>
        <w:t>0万元</w:t>
      </w:r>
      <w:r>
        <w:rPr>
          <w:rFonts w:ascii="仿宋_GB2312" w:eastAsia="仿宋_GB2312"/>
          <w:sz w:val="28"/>
          <w:szCs w:val="28"/>
        </w:rPr>
        <w:t>、会议费</w:t>
      </w:r>
      <w:r>
        <w:rPr>
          <w:rFonts w:hint="eastAsia" w:ascii="仿宋_GB2312" w:eastAsia="仿宋_GB2312"/>
          <w:sz w:val="28"/>
          <w:szCs w:val="28"/>
          <w:lang w:val="en-US" w:eastAsia="zh-CN"/>
        </w:rPr>
        <w:t>0万元</w:t>
      </w:r>
      <w:r>
        <w:rPr>
          <w:rFonts w:ascii="仿宋_GB2312" w:eastAsia="仿宋_GB2312"/>
          <w:sz w:val="28"/>
          <w:szCs w:val="28"/>
        </w:rPr>
        <w:t>、培训费</w:t>
      </w:r>
      <w:r>
        <w:rPr>
          <w:rFonts w:hint="eastAsia" w:ascii="仿宋_GB2312" w:eastAsia="仿宋_GB2312"/>
          <w:sz w:val="28"/>
          <w:szCs w:val="28"/>
          <w:lang w:val="en-US" w:eastAsia="zh-CN"/>
        </w:rPr>
        <w:t>0.31万元</w:t>
      </w:r>
      <w:r>
        <w:rPr>
          <w:rFonts w:ascii="仿宋_GB2312" w:eastAsia="仿宋_GB2312"/>
          <w:sz w:val="28"/>
          <w:szCs w:val="28"/>
        </w:rPr>
        <w:t>、公务接待费</w:t>
      </w:r>
      <w:r>
        <w:rPr>
          <w:rFonts w:hint="eastAsia" w:ascii="仿宋_GB2312" w:eastAsia="仿宋_GB2312"/>
          <w:sz w:val="28"/>
          <w:szCs w:val="28"/>
          <w:lang w:val="en-US" w:eastAsia="zh-CN"/>
        </w:rPr>
        <w:t>0万元</w:t>
      </w:r>
      <w:r>
        <w:rPr>
          <w:rFonts w:ascii="仿宋_GB2312" w:eastAsia="仿宋_GB2312"/>
          <w:sz w:val="28"/>
          <w:szCs w:val="28"/>
        </w:rPr>
        <w:t>、专用材料费</w:t>
      </w:r>
      <w:r>
        <w:rPr>
          <w:rFonts w:hint="eastAsia" w:ascii="仿宋_GB2312" w:eastAsia="仿宋_GB2312"/>
          <w:sz w:val="28"/>
          <w:szCs w:val="28"/>
          <w:lang w:val="en-US" w:eastAsia="zh-CN"/>
        </w:rPr>
        <w:t>0万元</w:t>
      </w:r>
      <w:r>
        <w:rPr>
          <w:rFonts w:ascii="仿宋_GB2312" w:eastAsia="仿宋_GB2312"/>
          <w:sz w:val="28"/>
          <w:szCs w:val="28"/>
        </w:rPr>
        <w:t>、劳务费</w:t>
      </w:r>
      <w:r>
        <w:rPr>
          <w:rFonts w:hint="eastAsia" w:ascii="仿宋_GB2312" w:eastAsia="仿宋_GB2312"/>
          <w:sz w:val="28"/>
          <w:szCs w:val="28"/>
          <w:lang w:val="en-US" w:eastAsia="zh-CN"/>
        </w:rPr>
        <w:t>0万元</w:t>
      </w:r>
      <w:r>
        <w:rPr>
          <w:rFonts w:ascii="仿宋_GB2312" w:eastAsia="仿宋_GB2312"/>
          <w:sz w:val="28"/>
          <w:szCs w:val="28"/>
        </w:rPr>
        <w:t>、委托业务费</w:t>
      </w:r>
      <w:r>
        <w:rPr>
          <w:rFonts w:hint="eastAsia" w:ascii="仿宋_GB2312" w:eastAsia="仿宋_GB2312"/>
          <w:sz w:val="28"/>
          <w:szCs w:val="28"/>
          <w:lang w:val="en-US" w:eastAsia="zh-CN"/>
        </w:rPr>
        <w:t>0万元</w:t>
      </w:r>
      <w:r>
        <w:rPr>
          <w:rFonts w:ascii="仿宋_GB2312" w:eastAsia="仿宋_GB2312"/>
          <w:sz w:val="28"/>
          <w:szCs w:val="28"/>
        </w:rPr>
        <w:t>、工会经费</w:t>
      </w:r>
      <w:r>
        <w:rPr>
          <w:rFonts w:hint="eastAsia" w:ascii="仿宋_GB2312" w:eastAsia="仿宋_GB2312"/>
          <w:sz w:val="28"/>
          <w:szCs w:val="28"/>
          <w:lang w:val="en-US" w:eastAsia="zh-CN"/>
        </w:rPr>
        <w:t>1.91万元</w:t>
      </w:r>
      <w:r>
        <w:rPr>
          <w:rFonts w:ascii="仿宋_GB2312" w:eastAsia="仿宋_GB2312"/>
          <w:sz w:val="28"/>
          <w:szCs w:val="28"/>
        </w:rPr>
        <w:t>、福利费</w:t>
      </w:r>
      <w:r>
        <w:rPr>
          <w:rFonts w:hint="eastAsia" w:ascii="仿宋_GB2312" w:eastAsia="仿宋_GB2312"/>
          <w:sz w:val="28"/>
          <w:szCs w:val="28"/>
          <w:lang w:val="en-US" w:eastAsia="zh-CN"/>
        </w:rPr>
        <w:t>4.62万元</w:t>
      </w:r>
      <w:r>
        <w:rPr>
          <w:rFonts w:ascii="仿宋_GB2312" w:eastAsia="仿宋_GB2312"/>
          <w:sz w:val="28"/>
          <w:szCs w:val="28"/>
        </w:rPr>
        <w:t>、公务用车运行维护费</w:t>
      </w:r>
      <w:r>
        <w:rPr>
          <w:rFonts w:hint="eastAsia" w:ascii="仿宋_GB2312" w:eastAsia="仿宋_GB2312"/>
          <w:sz w:val="28"/>
          <w:szCs w:val="28"/>
          <w:lang w:val="en-US" w:eastAsia="zh-CN"/>
        </w:rPr>
        <w:t>4.08万元、</w:t>
      </w:r>
      <w:r>
        <w:rPr>
          <w:rFonts w:ascii="仿宋_GB2312" w:eastAsia="仿宋_GB2312"/>
          <w:sz w:val="28"/>
          <w:szCs w:val="28"/>
        </w:rPr>
        <w:t>其他交通费</w:t>
      </w:r>
      <w:r>
        <w:rPr>
          <w:rFonts w:hint="eastAsia" w:ascii="仿宋_GB2312" w:eastAsia="仿宋_GB2312"/>
          <w:sz w:val="28"/>
          <w:szCs w:val="28"/>
          <w:lang w:val="en-US" w:eastAsia="zh-CN"/>
        </w:rPr>
        <w:t>0万元</w:t>
      </w:r>
      <w:r>
        <w:rPr>
          <w:rFonts w:ascii="仿宋_GB2312" w:eastAsia="仿宋_GB2312"/>
          <w:sz w:val="28"/>
          <w:szCs w:val="28"/>
        </w:rPr>
        <w:t>、</w:t>
      </w:r>
      <w:r>
        <w:rPr>
          <w:rFonts w:hint="eastAsia" w:ascii="仿宋_GB2312" w:eastAsia="仿宋_GB2312"/>
          <w:sz w:val="28"/>
          <w:szCs w:val="28"/>
          <w:lang w:val="en-US" w:eastAsia="zh-CN"/>
        </w:rPr>
        <w:t>其他商品和服务支出0.66万元</w:t>
      </w:r>
      <w:r>
        <w:rPr>
          <w:rFonts w:hint="eastAsia" w:ascii="仿宋_GB2312" w:eastAsia="仿宋_GB2312"/>
          <w:sz w:val="28"/>
          <w:szCs w:val="28"/>
        </w:rPr>
        <w:t>；（3）对个人和家庭补助支出</w:t>
      </w:r>
      <w:r>
        <w:rPr>
          <w:rFonts w:hint="eastAsia" w:ascii="仿宋_GB2312" w:eastAsia="仿宋_GB2312"/>
          <w:sz w:val="28"/>
          <w:szCs w:val="28"/>
          <w:lang w:val="en-US" w:eastAsia="zh-CN"/>
        </w:rPr>
        <w:t>32.87万元，</w:t>
      </w:r>
      <w:r>
        <w:rPr>
          <w:rFonts w:hint="eastAsia" w:ascii="仿宋_GB2312" w:eastAsia="仿宋_GB2312"/>
          <w:sz w:val="28"/>
          <w:szCs w:val="28"/>
        </w:rPr>
        <w:t>包括</w:t>
      </w:r>
      <w:r>
        <w:rPr>
          <w:rFonts w:ascii="仿宋_GB2312" w:eastAsia="仿宋_GB2312"/>
          <w:sz w:val="28"/>
          <w:szCs w:val="28"/>
        </w:rPr>
        <w:t>离休费</w:t>
      </w:r>
      <w:r>
        <w:rPr>
          <w:rFonts w:hint="eastAsia" w:ascii="仿宋_GB2312" w:eastAsia="仿宋_GB2312"/>
          <w:sz w:val="28"/>
          <w:szCs w:val="28"/>
          <w:lang w:val="en-US" w:eastAsia="zh-CN"/>
        </w:rPr>
        <w:t>0万元</w:t>
      </w:r>
      <w:r>
        <w:rPr>
          <w:rFonts w:ascii="仿宋_GB2312" w:eastAsia="仿宋_GB2312"/>
          <w:sz w:val="28"/>
          <w:szCs w:val="28"/>
        </w:rPr>
        <w:t>、退休费</w:t>
      </w:r>
      <w:r>
        <w:rPr>
          <w:rFonts w:hint="eastAsia" w:ascii="仿宋_GB2312" w:eastAsia="仿宋_GB2312"/>
          <w:sz w:val="28"/>
          <w:szCs w:val="28"/>
          <w:lang w:val="en-US" w:eastAsia="zh-CN"/>
        </w:rPr>
        <w:t>32.87万元</w:t>
      </w:r>
      <w:r>
        <w:rPr>
          <w:rFonts w:ascii="仿宋_GB2312" w:eastAsia="仿宋_GB2312"/>
          <w:sz w:val="28"/>
          <w:szCs w:val="28"/>
        </w:rPr>
        <w:t>、抚恤金</w:t>
      </w:r>
      <w:r>
        <w:rPr>
          <w:rFonts w:hint="eastAsia" w:ascii="仿宋_GB2312" w:eastAsia="仿宋_GB2312"/>
          <w:sz w:val="28"/>
          <w:szCs w:val="28"/>
          <w:lang w:val="en-US" w:eastAsia="zh-CN"/>
        </w:rPr>
        <w:t>0万元</w:t>
      </w:r>
      <w:r>
        <w:rPr>
          <w:rFonts w:ascii="仿宋_GB2312" w:eastAsia="仿宋_GB2312"/>
          <w:sz w:val="28"/>
          <w:szCs w:val="28"/>
        </w:rPr>
        <w:t>、生活补助</w:t>
      </w:r>
      <w:r>
        <w:rPr>
          <w:rFonts w:hint="eastAsia" w:ascii="仿宋_GB2312" w:eastAsia="仿宋_GB2312"/>
          <w:sz w:val="28"/>
          <w:szCs w:val="28"/>
          <w:lang w:val="en-US" w:eastAsia="zh-CN"/>
        </w:rPr>
        <w:t>0万元</w:t>
      </w:r>
      <w:r>
        <w:rPr>
          <w:rFonts w:ascii="仿宋_GB2312" w:eastAsia="仿宋_GB2312"/>
          <w:sz w:val="28"/>
          <w:szCs w:val="28"/>
        </w:rPr>
        <w:t>、</w:t>
      </w:r>
      <w:r>
        <w:rPr>
          <w:rFonts w:hint="eastAsia" w:ascii="仿宋_GB2312" w:eastAsia="仿宋_GB2312"/>
          <w:sz w:val="28"/>
          <w:szCs w:val="28"/>
        </w:rPr>
        <w:t>救济费</w:t>
      </w:r>
      <w:r>
        <w:rPr>
          <w:rFonts w:hint="eastAsia" w:ascii="仿宋_GB2312" w:eastAsia="仿宋_GB2312"/>
          <w:sz w:val="28"/>
          <w:szCs w:val="28"/>
          <w:lang w:val="en-US" w:eastAsia="zh-CN"/>
        </w:rPr>
        <w:t>0万元</w:t>
      </w:r>
      <w:r>
        <w:rPr>
          <w:rFonts w:ascii="仿宋_GB2312" w:eastAsia="仿宋_GB2312"/>
          <w:sz w:val="28"/>
          <w:szCs w:val="28"/>
        </w:rPr>
        <w:t>、医疗费</w:t>
      </w:r>
      <w:r>
        <w:rPr>
          <w:rFonts w:hint="eastAsia" w:ascii="仿宋_GB2312" w:eastAsia="仿宋_GB2312"/>
          <w:sz w:val="28"/>
          <w:szCs w:val="28"/>
        </w:rPr>
        <w:t>补助</w:t>
      </w:r>
      <w:r>
        <w:rPr>
          <w:rFonts w:hint="eastAsia" w:ascii="仿宋_GB2312" w:eastAsia="仿宋_GB2312"/>
          <w:sz w:val="28"/>
          <w:szCs w:val="28"/>
          <w:lang w:val="en-US" w:eastAsia="zh-CN"/>
        </w:rPr>
        <w:t>0万元</w:t>
      </w:r>
      <w:r>
        <w:rPr>
          <w:rFonts w:ascii="仿宋_GB2312" w:eastAsia="仿宋_GB2312"/>
          <w:sz w:val="28"/>
          <w:szCs w:val="28"/>
        </w:rPr>
        <w:t>、助学金</w:t>
      </w:r>
      <w:r>
        <w:rPr>
          <w:rFonts w:hint="eastAsia" w:ascii="仿宋_GB2312" w:eastAsia="仿宋_GB2312"/>
          <w:sz w:val="28"/>
          <w:szCs w:val="28"/>
          <w:lang w:val="en-US" w:eastAsia="zh-CN"/>
        </w:rPr>
        <w:t>0万元</w:t>
      </w:r>
      <w:r>
        <w:rPr>
          <w:rFonts w:ascii="仿宋_GB2312" w:eastAsia="仿宋_GB2312"/>
          <w:sz w:val="28"/>
          <w:szCs w:val="28"/>
        </w:rPr>
        <w:t>、奖励金</w:t>
      </w:r>
      <w:r>
        <w:rPr>
          <w:rFonts w:hint="eastAsia" w:ascii="仿宋_GB2312" w:eastAsia="仿宋_GB2312"/>
          <w:sz w:val="28"/>
          <w:szCs w:val="28"/>
          <w:lang w:val="en-US" w:eastAsia="zh-CN"/>
        </w:rPr>
        <w:t>0万元</w:t>
      </w:r>
      <w:r>
        <w:rPr>
          <w:rFonts w:hint="eastAsia" w:ascii="仿宋_GB2312" w:eastAsia="仿宋_GB2312"/>
          <w:sz w:val="28"/>
          <w:szCs w:val="28"/>
        </w:rPr>
        <w:t>、</w:t>
      </w:r>
      <w:r>
        <w:rPr>
          <w:rFonts w:ascii="仿宋_GB2312" w:eastAsia="仿宋_GB2312"/>
          <w:sz w:val="28"/>
          <w:szCs w:val="28"/>
        </w:rPr>
        <w:t>其他对个人和家庭的补助</w:t>
      </w:r>
      <w:r>
        <w:rPr>
          <w:rFonts w:hint="eastAsia" w:ascii="仿宋_GB2312" w:eastAsia="仿宋_GB2312"/>
          <w:sz w:val="28"/>
          <w:szCs w:val="28"/>
          <w:lang w:val="en-US" w:eastAsia="zh-CN"/>
        </w:rPr>
        <w:t>0万元</w:t>
      </w:r>
      <w:r>
        <w:rPr>
          <w:rFonts w:hint="eastAsia" w:ascii="仿宋_GB2312" w:eastAsia="仿宋_GB2312"/>
          <w:sz w:val="28"/>
          <w:szCs w:val="28"/>
        </w:rPr>
        <w:t>等</w:t>
      </w:r>
      <w:r>
        <w:rPr>
          <w:rFonts w:ascii="仿宋_GB2312" w:eastAsia="仿宋_GB2312"/>
          <w:sz w:val="28"/>
          <w:szCs w:val="28"/>
        </w:rPr>
        <w:t>支出</w:t>
      </w:r>
      <w:r>
        <w:rPr>
          <w:rFonts w:hint="eastAsia" w:ascii="仿宋_GB2312" w:eastAsia="仿宋_GB2312"/>
          <w:sz w:val="28"/>
          <w:szCs w:val="28"/>
        </w:rPr>
        <w:t>。（4）其他资本性支出包括</w:t>
      </w:r>
      <w:r>
        <w:rPr>
          <w:rFonts w:ascii="仿宋_GB2312" w:eastAsia="仿宋_GB2312"/>
          <w:sz w:val="28"/>
          <w:szCs w:val="28"/>
        </w:rPr>
        <w:t>办公设备购置</w:t>
      </w:r>
      <w:r>
        <w:rPr>
          <w:rFonts w:hint="eastAsia" w:ascii="仿宋_GB2312" w:eastAsia="仿宋_GB2312"/>
          <w:sz w:val="28"/>
          <w:szCs w:val="28"/>
          <w:lang w:val="en-US" w:eastAsia="zh-CN"/>
        </w:rPr>
        <w:t>0万元</w:t>
      </w:r>
      <w:r>
        <w:rPr>
          <w:rFonts w:ascii="仿宋_GB2312" w:eastAsia="仿宋_GB2312"/>
          <w:sz w:val="28"/>
          <w:szCs w:val="28"/>
        </w:rPr>
        <w:t>、专用设备购置</w:t>
      </w:r>
      <w:r>
        <w:rPr>
          <w:rFonts w:hint="eastAsia" w:ascii="仿宋_GB2312" w:eastAsia="仿宋_GB2312"/>
          <w:sz w:val="28"/>
          <w:szCs w:val="28"/>
          <w:lang w:val="en-US" w:eastAsia="zh-CN"/>
        </w:rPr>
        <w:t>0万元</w:t>
      </w:r>
      <w:r>
        <w:rPr>
          <w:rFonts w:hint="eastAsia" w:ascii="仿宋_GB2312" w:eastAsia="仿宋_GB2312"/>
          <w:sz w:val="28"/>
          <w:szCs w:val="28"/>
        </w:rPr>
        <w:t>等</w:t>
      </w:r>
      <w:r>
        <w:rPr>
          <w:rFonts w:ascii="仿宋_GB2312" w:eastAsia="仿宋_GB2312"/>
          <w:sz w:val="28"/>
          <w:szCs w:val="28"/>
        </w:rPr>
        <w:t>。</w:t>
      </w:r>
    </w:p>
    <w:p>
      <w:pPr>
        <w:tabs>
          <w:tab w:val="center" w:pos="6979"/>
        </w:tabs>
        <w:spacing w:line="580" w:lineRule="exact"/>
        <w:ind w:firstLine="548" w:firstLineChars="196"/>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pStyle w:val="2"/>
        <w:rPr>
          <w:rFonts w:hint="eastAsia" w:ascii="仿宋_GB2312" w:eastAsia="仿宋_GB2312"/>
          <w:sz w:val="28"/>
          <w:szCs w:val="28"/>
        </w:rPr>
      </w:pPr>
    </w:p>
    <w:p>
      <w:pPr>
        <w:autoSpaceDE w:val="0"/>
        <w:autoSpaceDN w:val="0"/>
        <w:adjustRightInd w:val="0"/>
        <w:spacing w:line="580" w:lineRule="exact"/>
        <w:jc w:val="center"/>
        <w:rPr>
          <w:rFonts w:hint="eastAsia" w:ascii="宋体" w:hAnsi="宋体" w:cs="宋体"/>
          <w:b/>
          <w:spacing w:val="40"/>
          <w:kern w:val="0"/>
          <w:sz w:val="32"/>
          <w:szCs w:val="32"/>
        </w:rPr>
      </w:pPr>
      <w:r>
        <w:rPr>
          <w:rFonts w:hint="eastAsia" w:ascii="宋体" w:hAnsi="宋体" w:cs="宋体"/>
          <w:b/>
          <w:bCs/>
          <w:spacing w:val="40"/>
          <w:kern w:val="0"/>
          <w:sz w:val="32"/>
          <w:szCs w:val="32"/>
        </w:rPr>
        <w:t>第三部分</w:t>
      </w:r>
      <w:r>
        <w:rPr>
          <w:rFonts w:hint="eastAsia" w:ascii="宋体" w:hAnsi="宋体"/>
          <w:b/>
          <w:spacing w:val="40"/>
          <w:sz w:val="32"/>
          <w:szCs w:val="32"/>
        </w:rPr>
        <w:t>202</w:t>
      </w:r>
      <w:r>
        <w:rPr>
          <w:rFonts w:hint="eastAsia" w:ascii="宋体" w:hAnsi="宋体"/>
          <w:b/>
          <w:spacing w:val="40"/>
          <w:sz w:val="32"/>
          <w:szCs w:val="32"/>
          <w:lang w:val="en-US" w:eastAsia="zh-CN"/>
        </w:rPr>
        <w:t>3</w:t>
      </w:r>
      <w:r>
        <w:rPr>
          <w:rFonts w:hint="eastAsia" w:ascii="宋体" w:hAnsi="宋体"/>
          <w:b/>
          <w:spacing w:val="40"/>
          <w:sz w:val="32"/>
          <w:szCs w:val="32"/>
        </w:rPr>
        <w:t>年度</w:t>
      </w:r>
      <w:r>
        <w:rPr>
          <w:rFonts w:hint="eastAsia" w:ascii="宋体" w:hAnsi="宋体" w:cs="宋体"/>
          <w:b/>
          <w:spacing w:val="40"/>
          <w:kern w:val="0"/>
          <w:sz w:val="32"/>
          <w:szCs w:val="32"/>
        </w:rPr>
        <w:t>其他重要事项的情况说明</w:t>
      </w:r>
    </w:p>
    <w:p>
      <w:pPr>
        <w:spacing w:line="560" w:lineRule="exact"/>
        <w:ind w:firstLine="560" w:firstLineChars="200"/>
        <w:rPr>
          <w:rFonts w:hint="eastAsia" w:ascii="黑体" w:eastAsia="黑体"/>
          <w:sz w:val="28"/>
          <w:szCs w:val="28"/>
        </w:rPr>
      </w:pPr>
      <w:r>
        <w:rPr>
          <w:rFonts w:hint="eastAsia" w:ascii="黑体" w:eastAsia="黑体"/>
          <w:sz w:val="28"/>
          <w:szCs w:val="28"/>
        </w:rPr>
        <w:t>一、“三公”经费财政拨款决算情况</w:t>
      </w:r>
    </w:p>
    <w:p>
      <w:pPr>
        <w:spacing w:line="560" w:lineRule="exact"/>
        <w:ind w:firstLine="600"/>
        <w:rPr>
          <w:rFonts w:hint="eastAsia" w:ascii="仿宋_GB2312" w:eastAsia="仿宋_GB2312"/>
          <w:sz w:val="28"/>
          <w:szCs w:val="28"/>
        </w:rPr>
      </w:pPr>
      <w:r>
        <w:rPr>
          <w:rFonts w:hint="eastAsia" w:ascii="仿宋_GB2312" w:eastAsia="仿宋_GB2312"/>
          <w:sz w:val="28"/>
          <w:szCs w:val="28"/>
        </w:rPr>
        <w:t>“三公”经费包括本单位所属</w:t>
      </w:r>
      <w:r>
        <w:rPr>
          <w:rFonts w:hint="eastAsia" w:ascii="仿宋_GB2312" w:eastAsia="仿宋_GB2312"/>
          <w:sz w:val="28"/>
          <w:szCs w:val="28"/>
          <w:lang w:val="en-US" w:eastAsia="zh-CN"/>
        </w:rPr>
        <w:t>1</w:t>
      </w:r>
      <w:r>
        <w:rPr>
          <w:rFonts w:hint="eastAsia" w:ascii="仿宋_GB2312" w:eastAsia="仿宋_GB2312"/>
          <w:bCs/>
          <w:sz w:val="28"/>
          <w:szCs w:val="28"/>
        </w:rPr>
        <w:t>个</w:t>
      </w:r>
      <w:r>
        <w:rPr>
          <w:rFonts w:hint="eastAsia" w:ascii="仿宋_GB2312" w:eastAsia="仿宋_GB2312"/>
          <w:sz w:val="28"/>
          <w:szCs w:val="28"/>
        </w:rPr>
        <w:t>事业单位。202</w:t>
      </w:r>
      <w:r>
        <w:rPr>
          <w:rFonts w:hint="eastAsia" w:ascii="仿宋_GB2312" w:eastAsia="仿宋_GB2312"/>
          <w:sz w:val="28"/>
          <w:szCs w:val="28"/>
          <w:lang w:val="en-US" w:eastAsia="zh-CN"/>
        </w:rPr>
        <w:t>3</w:t>
      </w:r>
      <w:r>
        <w:rPr>
          <w:rFonts w:hint="eastAsia" w:ascii="仿宋_GB2312" w:eastAsia="仿宋_GB2312"/>
          <w:sz w:val="28"/>
          <w:szCs w:val="28"/>
        </w:rPr>
        <w:t>年度“三公”经费财政拨款决算数</w:t>
      </w:r>
      <w:r>
        <w:rPr>
          <w:rFonts w:ascii="仿宋_GB2312" w:eastAsia="仿宋_GB2312"/>
          <w:sz w:val="28"/>
          <w:szCs w:val="28"/>
        </w:rPr>
        <w:t>4.08</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年度“三公”经费财政拨款年初预算</w:t>
      </w:r>
      <w:r>
        <w:rPr>
          <w:rFonts w:ascii="仿宋_GB2312" w:eastAsia="仿宋_GB2312"/>
          <w:sz w:val="28"/>
          <w:szCs w:val="28"/>
        </w:rPr>
        <w:t>6.64</w:t>
      </w:r>
      <w:r>
        <w:rPr>
          <w:rFonts w:hint="eastAsia" w:ascii="仿宋_GB2312" w:eastAsia="仿宋_GB2312"/>
          <w:sz w:val="28"/>
          <w:szCs w:val="28"/>
        </w:rPr>
        <w:t>万元减少</w:t>
      </w:r>
      <w:r>
        <w:rPr>
          <w:rFonts w:ascii="仿宋_GB2312" w:eastAsia="仿宋_GB2312"/>
          <w:sz w:val="28"/>
          <w:szCs w:val="28"/>
        </w:rPr>
        <w:t>2.56</w:t>
      </w:r>
      <w:r>
        <w:rPr>
          <w:rFonts w:hint="eastAsia" w:ascii="仿宋_GB2312" w:eastAsia="仿宋_GB2312"/>
          <w:sz w:val="28"/>
          <w:szCs w:val="28"/>
        </w:rPr>
        <w:t>万元。其中：</w:t>
      </w:r>
    </w:p>
    <w:p>
      <w:pPr>
        <w:spacing w:line="560" w:lineRule="exact"/>
        <w:ind w:firstLine="600"/>
        <w:rPr>
          <w:rFonts w:hint="eastAsia" w:ascii="仿宋_GB2312" w:eastAsia="仿宋_GB2312"/>
          <w:sz w:val="28"/>
          <w:szCs w:val="28"/>
        </w:rPr>
      </w:pPr>
      <w:r>
        <w:rPr>
          <w:rFonts w:hint="eastAsia" w:ascii="仿宋_GB2312" w:eastAsia="仿宋_GB2312"/>
          <w:sz w:val="28"/>
          <w:szCs w:val="28"/>
        </w:rPr>
        <w:t>1.因公出国（境）费用。202</w:t>
      </w:r>
      <w:r>
        <w:rPr>
          <w:rFonts w:hint="eastAsia" w:ascii="仿宋_GB2312" w:eastAsia="仿宋_GB2312"/>
          <w:sz w:val="28"/>
          <w:szCs w:val="28"/>
          <w:lang w:val="en-US" w:eastAsia="zh-CN"/>
        </w:rPr>
        <w:t>3</w:t>
      </w:r>
      <w:r>
        <w:rPr>
          <w:rFonts w:hint="eastAsia" w:ascii="仿宋_GB2312" w:eastAsia="仿宋_GB2312"/>
          <w:sz w:val="28"/>
          <w:szCs w:val="28"/>
        </w:rPr>
        <w:t>年</w:t>
      </w:r>
      <w:r>
        <w:rPr>
          <w:rFonts w:hint="eastAsia" w:ascii="仿宋_GB2312" w:eastAsia="仿宋_GB2312"/>
          <w:sz w:val="28"/>
          <w:szCs w:val="28"/>
          <w:lang w:eastAsia="zh-CN"/>
        </w:rPr>
        <w:t>预算数与</w:t>
      </w:r>
      <w:r>
        <w:rPr>
          <w:rFonts w:hint="eastAsia" w:ascii="仿宋_GB2312" w:eastAsia="仿宋_GB2312"/>
          <w:sz w:val="28"/>
          <w:szCs w:val="28"/>
        </w:rPr>
        <w:t>决算数</w:t>
      </w:r>
      <w:r>
        <w:rPr>
          <w:rFonts w:hint="eastAsia" w:ascii="仿宋_GB2312" w:eastAsia="仿宋_GB2312"/>
          <w:sz w:val="28"/>
          <w:szCs w:val="28"/>
          <w:lang w:eastAsia="zh-CN"/>
        </w:rPr>
        <w:t>均为</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lang w:eastAsia="zh-CN"/>
        </w:rPr>
        <w:t>。</w:t>
      </w:r>
    </w:p>
    <w:p>
      <w:pPr>
        <w:spacing w:line="560" w:lineRule="exact"/>
        <w:ind w:firstLine="600"/>
        <w:rPr>
          <w:rFonts w:hint="eastAsia" w:ascii="仿宋_GB2312" w:eastAsia="仿宋_GB2312"/>
          <w:sz w:val="28"/>
          <w:szCs w:val="28"/>
        </w:rPr>
      </w:pPr>
      <w:r>
        <w:rPr>
          <w:rFonts w:hint="eastAsia" w:ascii="仿宋_GB2312" w:eastAsia="仿宋_GB2312"/>
          <w:sz w:val="28"/>
          <w:szCs w:val="28"/>
        </w:rPr>
        <w:t>2.公务接待费。202</w:t>
      </w:r>
      <w:r>
        <w:rPr>
          <w:rFonts w:hint="eastAsia" w:ascii="仿宋_GB2312" w:eastAsia="仿宋_GB2312"/>
          <w:sz w:val="28"/>
          <w:szCs w:val="28"/>
          <w:lang w:val="en-US" w:eastAsia="zh-CN"/>
        </w:rPr>
        <w:t>3</w:t>
      </w:r>
      <w:r>
        <w:rPr>
          <w:rFonts w:hint="eastAsia" w:ascii="仿宋_GB2312" w:eastAsia="仿宋_GB2312"/>
          <w:sz w:val="28"/>
          <w:szCs w:val="28"/>
        </w:rPr>
        <w:t>年</w:t>
      </w:r>
      <w:r>
        <w:rPr>
          <w:rFonts w:hint="eastAsia" w:ascii="仿宋_GB2312" w:eastAsia="仿宋_GB2312"/>
          <w:sz w:val="28"/>
          <w:szCs w:val="28"/>
          <w:lang w:eastAsia="zh-CN"/>
        </w:rPr>
        <w:t>预算数与</w:t>
      </w:r>
      <w:r>
        <w:rPr>
          <w:rFonts w:hint="eastAsia" w:ascii="仿宋_GB2312" w:eastAsia="仿宋_GB2312"/>
          <w:sz w:val="28"/>
          <w:szCs w:val="28"/>
        </w:rPr>
        <w:t>决算数</w:t>
      </w:r>
      <w:r>
        <w:rPr>
          <w:rFonts w:hint="eastAsia" w:ascii="仿宋_GB2312" w:eastAsia="仿宋_GB2312"/>
          <w:sz w:val="28"/>
          <w:szCs w:val="28"/>
          <w:lang w:eastAsia="zh-CN"/>
        </w:rPr>
        <w:t>均为</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lang w:eastAsia="zh-CN"/>
        </w:rPr>
        <w:t>。</w:t>
      </w:r>
    </w:p>
    <w:p>
      <w:pPr>
        <w:spacing w:line="560" w:lineRule="exact"/>
        <w:ind w:firstLine="560" w:firstLineChars="200"/>
        <w:rPr>
          <w:rFonts w:hint="eastAsia" w:ascii="仿宋_GB2312" w:eastAsia="仿宋_GB2312"/>
          <w:sz w:val="28"/>
          <w:szCs w:val="28"/>
        </w:rPr>
      </w:pPr>
      <w:r>
        <w:rPr>
          <w:rFonts w:hint="eastAsia" w:ascii="仿宋_GB2312" w:eastAsia="仿宋_GB2312"/>
          <w:sz w:val="28"/>
          <w:szCs w:val="28"/>
        </w:rPr>
        <w:t>3.公务用车购置及运行维护费。其中，公务用车购置费202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hint="eastAsia" w:ascii="仿宋_GB2312" w:eastAsia="仿宋_GB2312"/>
          <w:sz w:val="28"/>
          <w:szCs w:val="28"/>
          <w:lang w:eastAsia="zh-CN"/>
        </w:rPr>
        <w:t>与</w:t>
      </w:r>
      <w:r>
        <w:rPr>
          <w:rFonts w:hint="eastAsia" w:ascii="仿宋_GB2312" w:eastAsia="仿宋_GB2312"/>
          <w:sz w:val="28"/>
          <w:szCs w:val="28"/>
        </w:rPr>
        <w:t>年初预算数</w:t>
      </w:r>
      <w:r>
        <w:rPr>
          <w:rFonts w:hint="eastAsia" w:ascii="仿宋_GB2312" w:eastAsia="仿宋_GB2312"/>
          <w:sz w:val="28"/>
          <w:szCs w:val="28"/>
          <w:lang w:eastAsia="zh-CN"/>
        </w:rPr>
        <w:t>均为</w:t>
      </w:r>
      <w:r>
        <w:rPr>
          <w:rFonts w:ascii="仿宋_GB2312" w:eastAsia="仿宋_GB2312"/>
          <w:sz w:val="28"/>
          <w:szCs w:val="28"/>
        </w:rPr>
        <w:t>0</w:t>
      </w:r>
      <w:r>
        <w:rPr>
          <w:rFonts w:hint="eastAsia" w:ascii="仿宋_GB2312" w:eastAsia="仿宋_GB2312"/>
          <w:sz w:val="28"/>
          <w:szCs w:val="28"/>
        </w:rPr>
        <w:t>万元。202</w:t>
      </w:r>
      <w:r>
        <w:rPr>
          <w:rFonts w:hint="eastAsia" w:ascii="仿宋_GB2312" w:eastAsia="仿宋_GB2312"/>
          <w:sz w:val="28"/>
          <w:szCs w:val="28"/>
          <w:lang w:val="en-US" w:eastAsia="zh-CN"/>
        </w:rPr>
        <w:t>3</w:t>
      </w:r>
      <w:r>
        <w:rPr>
          <w:rFonts w:hint="eastAsia" w:ascii="仿宋_GB2312" w:eastAsia="仿宋_GB2312"/>
          <w:sz w:val="28"/>
          <w:szCs w:val="28"/>
        </w:rPr>
        <w:t>年度购置（更新）</w:t>
      </w:r>
      <w:r>
        <w:rPr>
          <w:rFonts w:hint="eastAsia" w:ascii="仿宋_GB2312" w:eastAsia="仿宋_GB2312"/>
          <w:sz w:val="28"/>
          <w:szCs w:val="28"/>
          <w:lang w:val="en-US" w:eastAsia="zh-CN"/>
        </w:rPr>
        <w:t>0</w:t>
      </w:r>
      <w:r>
        <w:rPr>
          <w:rFonts w:hint="eastAsia" w:ascii="仿宋_GB2312" w:eastAsia="仿宋_GB2312"/>
          <w:sz w:val="28"/>
          <w:szCs w:val="28"/>
        </w:rPr>
        <w:t>辆，车均购置费</w:t>
      </w:r>
      <w:r>
        <w:rPr>
          <w:rFonts w:hint="eastAsia" w:ascii="仿宋_GB2312" w:eastAsia="仿宋_GB2312"/>
          <w:sz w:val="28"/>
          <w:szCs w:val="28"/>
          <w:lang w:val="en-US" w:eastAsia="zh-CN"/>
        </w:rPr>
        <w:t>0</w:t>
      </w:r>
      <w:r>
        <w:rPr>
          <w:rFonts w:hint="eastAsia" w:ascii="仿宋_GB2312" w:eastAsia="仿宋_GB2312"/>
          <w:sz w:val="28"/>
          <w:szCs w:val="28"/>
        </w:rPr>
        <w:t>万元。公务用车运行维护费202</w:t>
      </w:r>
      <w:r>
        <w:rPr>
          <w:rFonts w:hint="eastAsia" w:ascii="仿宋_GB2312" w:eastAsia="仿宋_GB2312"/>
          <w:sz w:val="28"/>
          <w:szCs w:val="28"/>
          <w:lang w:val="en-US" w:eastAsia="zh-CN"/>
        </w:rPr>
        <w:t>3</w:t>
      </w:r>
      <w:r>
        <w:rPr>
          <w:rFonts w:hint="eastAsia" w:ascii="仿宋_GB2312" w:eastAsia="仿宋_GB2312"/>
          <w:sz w:val="28"/>
          <w:szCs w:val="28"/>
        </w:rPr>
        <w:t>年度决算数</w:t>
      </w:r>
      <w:r>
        <w:rPr>
          <w:rFonts w:ascii="仿宋_GB2312" w:eastAsia="仿宋_GB2312"/>
          <w:sz w:val="28"/>
          <w:szCs w:val="28"/>
          <w:highlight w:val="none"/>
        </w:rPr>
        <w:t>4.08</w:t>
      </w:r>
      <w:r>
        <w:rPr>
          <w:rFonts w:hint="eastAsia" w:ascii="仿宋_GB2312" w:eastAsia="仿宋_GB2312"/>
          <w:sz w:val="28"/>
          <w:szCs w:val="28"/>
        </w:rPr>
        <w:t>万元，比202</w:t>
      </w:r>
      <w:r>
        <w:rPr>
          <w:rFonts w:hint="eastAsia" w:ascii="仿宋_GB2312" w:eastAsia="仿宋_GB2312"/>
          <w:sz w:val="28"/>
          <w:szCs w:val="28"/>
          <w:lang w:val="en-US" w:eastAsia="zh-CN"/>
        </w:rPr>
        <w:t>3</w:t>
      </w:r>
      <w:r>
        <w:rPr>
          <w:rFonts w:hint="eastAsia" w:ascii="仿宋_GB2312" w:eastAsia="仿宋_GB2312"/>
          <w:sz w:val="28"/>
          <w:szCs w:val="28"/>
        </w:rPr>
        <w:t>年度年初预算数</w:t>
      </w:r>
      <w:r>
        <w:rPr>
          <w:rFonts w:ascii="仿宋_GB2312" w:eastAsia="仿宋_GB2312"/>
          <w:sz w:val="28"/>
          <w:szCs w:val="28"/>
          <w:highlight w:val="none"/>
        </w:rPr>
        <w:t>6.64</w:t>
      </w:r>
      <w:r>
        <w:rPr>
          <w:rFonts w:hint="eastAsia" w:ascii="仿宋_GB2312" w:eastAsia="仿宋_GB2312"/>
          <w:sz w:val="28"/>
          <w:szCs w:val="28"/>
        </w:rPr>
        <w:t>万元减少</w:t>
      </w:r>
      <w:r>
        <w:rPr>
          <w:rFonts w:hint="eastAsia" w:ascii="仿宋_GB2312" w:eastAsia="仿宋_GB2312"/>
          <w:sz w:val="28"/>
          <w:szCs w:val="28"/>
          <w:highlight w:val="none"/>
          <w:lang w:val="en-US" w:eastAsia="zh-CN"/>
        </w:rPr>
        <w:t>2.56</w:t>
      </w:r>
      <w:r>
        <w:rPr>
          <w:rFonts w:hint="eastAsia" w:ascii="仿宋_GB2312" w:eastAsia="仿宋_GB2312"/>
          <w:sz w:val="28"/>
          <w:szCs w:val="28"/>
        </w:rPr>
        <w:t>万元，主要原因：</w:t>
      </w:r>
      <w:r>
        <w:rPr>
          <w:rFonts w:hint="eastAsia" w:ascii="仿宋_GB2312" w:eastAsia="仿宋_GB2312"/>
          <w:sz w:val="28"/>
          <w:szCs w:val="28"/>
          <w:lang w:val="en-US" w:eastAsia="zh-CN"/>
        </w:rPr>
        <w:t>单位有一辆车超出使用年限，车况不好，使用频率较低，运行费用减少</w:t>
      </w: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年度公务用车运行维护费中，公务用车加油</w:t>
      </w:r>
      <w:r>
        <w:rPr>
          <w:rFonts w:hint="eastAsia" w:ascii="仿宋_GB2312" w:eastAsia="仿宋_GB2312"/>
          <w:sz w:val="28"/>
          <w:szCs w:val="28"/>
          <w:highlight w:val="none"/>
          <w:lang w:val="en-US" w:eastAsia="zh-CN"/>
        </w:rPr>
        <w:t>1.66</w:t>
      </w:r>
      <w:r>
        <w:rPr>
          <w:rFonts w:hint="eastAsia" w:ascii="仿宋_GB2312" w:eastAsia="仿宋_GB2312"/>
          <w:sz w:val="28"/>
          <w:szCs w:val="28"/>
        </w:rPr>
        <w:t>万元，公务用车维修</w:t>
      </w:r>
      <w:r>
        <w:rPr>
          <w:rFonts w:hint="eastAsia" w:ascii="仿宋_GB2312" w:eastAsia="仿宋_GB2312"/>
          <w:sz w:val="28"/>
          <w:szCs w:val="28"/>
          <w:highlight w:val="none"/>
          <w:lang w:val="en-US" w:eastAsia="zh-CN"/>
        </w:rPr>
        <w:t>1.18</w:t>
      </w:r>
      <w:r>
        <w:rPr>
          <w:rFonts w:hint="eastAsia" w:ascii="仿宋_GB2312" w:eastAsia="仿宋_GB2312"/>
          <w:sz w:val="28"/>
          <w:szCs w:val="28"/>
        </w:rPr>
        <w:t>万元，公务用车保险</w:t>
      </w:r>
      <w:r>
        <w:rPr>
          <w:rFonts w:hint="eastAsia" w:ascii="仿宋_GB2312" w:eastAsia="仿宋_GB2312"/>
          <w:sz w:val="28"/>
          <w:szCs w:val="28"/>
          <w:lang w:val="en-US" w:eastAsia="zh-CN"/>
        </w:rPr>
        <w:t>1.02</w:t>
      </w:r>
      <w:r>
        <w:rPr>
          <w:rFonts w:hint="eastAsia" w:ascii="仿宋_GB2312" w:eastAsia="仿宋_GB2312"/>
          <w:sz w:val="28"/>
          <w:szCs w:val="28"/>
        </w:rPr>
        <w:t>万元，公务用车其他支出</w:t>
      </w:r>
      <w:r>
        <w:rPr>
          <w:rFonts w:hint="eastAsia" w:ascii="仿宋_GB2312" w:eastAsia="仿宋_GB2312"/>
          <w:sz w:val="28"/>
          <w:szCs w:val="28"/>
          <w:highlight w:val="none"/>
          <w:lang w:val="en-US" w:eastAsia="zh-CN"/>
        </w:rPr>
        <w:t>0.22</w:t>
      </w:r>
      <w:r>
        <w:rPr>
          <w:rFonts w:hint="eastAsia" w:ascii="仿宋_GB2312" w:eastAsia="仿宋_GB2312"/>
          <w:sz w:val="28"/>
          <w:szCs w:val="28"/>
        </w:rPr>
        <w:t>万元。202</w:t>
      </w:r>
      <w:r>
        <w:rPr>
          <w:rFonts w:hint="eastAsia" w:ascii="仿宋_GB2312" w:eastAsia="仿宋_GB2312"/>
          <w:sz w:val="28"/>
          <w:szCs w:val="28"/>
          <w:lang w:val="en-US" w:eastAsia="zh-CN"/>
        </w:rPr>
        <w:t>3</w:t>
      </w:r>
      <w:r>
        <w:rPr>
          <w:rFonts w:hint="eastAsia" w:ascii="仿宋_GB2312" w:eastAsia="仿宋_GB2312"/>
          <w:sz w:val="28"/>
          <w:szCs w:val="28"/>
        </w:rPr>
        <w:t>年度公务用车保有量</w:t>
      </w:r>
      <w:r>
        <w:rPr>
          <w:rFonts w:hint="eastAsia" w:ascii="仿宋_GB2312" w:eastAsia="仿宋_GB2312"/>
          <w:sz w:val="28"/>
          <w:szCs w:val="28"/>
          <w:lang w:val="en-US" w:eastAsia="zh-CN"/>
        </w:rPr>
        <w:t>3</w:t>
      </w:r>
      <w:r>
        <w:rPr>
          <w:rFonts w:hint="eastAsia" w:ascii="仿宋_GB2312" w:eastAsia="仿宋_GB2312"/>
          <w:sz w:val="28"/>
          <w:szCs w:val="28"/>
        </w:rPr>
        <w:t>辆，车均运行维护费</w:t>
      </w:r>
      <w:r>
        <w:rPr>
          <w:rFonts w:hint="eastAsia" w:ascii="仿宋_GB2312" w:eastAsia="仿宋_GB2312"/>
          <w:sz w:val="28"/>
          <w:szCs w:val="28"/>
          <w:lang w:val="en-US" w:eastAsia="zh-CN"/>
        </w:rPr>
        <w:t>1.36</w:t>
      </w:r>
      <w:r>
        <w:rPr>
          <w:rFonts w:hint="eastAsia" w:ascii="仿宋_GB2312" w:eastAsia="仿宋_GB2312"/>
          <w:sz w:val="28"/>
          <w:szCs w:val="28"/>
        </w:rPr>
        <w:t>万元。</w:t>
      </w:r>
    </w:p>
    <w:p>
      <w:pPr>
        <w:tabs>
          <w:tab w:val="center" w:pos="6979"/>
        </w:tabs>
        <w:ind w:firstLine="554" w:firstLineChars="198"/>
        <w:rPr>
          <w:rFonts w:hint="eastAsia" w:ascii="黑体" w:eastAsia="黑体"/>
          <w:sz w:val="28"/>
          <w:szCs w:val="28"/>
        </w:rPr>
      </w:pPr>
      <w:r>
        <w:rPr>
          <w:rFonts w:hint="eastAsia" w:ascii="黑体" w:eastAsia="黑体"/>
          <w:sz w:val="28"/>
          <w:szCs w:val="28"/>
        </w:rPr>
        <w:t>二、机关运行经费支出情况</w:t>
      </w:r>
    </w:p>
    <w:p>
      <w:pPr>
        <w:ind w:firstLine="537" w:firstLineChars="192"/>
        <w:rPr>
          <w:rFonts w:hint="eastAsia" w:ascii="仿宋_GB2312" w:eastAsia="仿宋_GB2312"/>
          <w:sz w:val="28"/>
          <w:szCs w:val="28"/>
        </w:rPr>
      </w:pPr>
      <w:r>
        <w:rPr>
          <w:rFonts w:hint="eastAsia" w:ascii="仿宋_GB2312" w:eastAsia="仿宋_GB2312"/>
          <w:sz w:val="28"/>
          <w:szCs w:val="28"/>
          <w:lang w:eastAsia="zh-CN"/>
        </w:rPr>
        <w:t>本单位</w:t>
      </w:r>
      <w:r>
        <w:rPr>
          <w:rFonts w:hint="eastAsia" w:ascii="仿宋_GB2312" w:eastAsia="仿宋_GB2312"/>
          <w:sz w:val="28"/>
          <w:szCs w:val="28"/>
        </w:rPr>
        <w:t>不属于机关运行经费统计范围</w:t>
      </w:r>
      <w:r>
        <w:rPr>
          <w:rFonts w:hint="eastAsia" w:ascii="仿宋_GB2312" w:eastAsia="仿宋_GB2312"/>
          <w:sz w:val="28"/>
          <w:szCs w:val="28"/>
          <w:lang w:eastAsia="zh-CN"/>
        </w:rPr>
        <w:t>。</w:t>
      </w:r>
    </w:p>
    <w:p>
      <w:pPr>
        <w:ind w:left="540"/>
        <w:rPr>
          <w:rFonts w:hint="eastAsia" w:ascii="黑体" w:eastAsia="黑体"/>
          <w:sz w:val="28"/>
          <w:szCs w:val="28"/>
        </w:rPr>
      </w:pPr>
      <w:r>
        <w:rPr>
          <w:rFonts w:hint="eastAsia" w:ascii="黑体" w:eastAsia="黑体"/>
          <w:sz w:val="28"/>
          <w:szCs w:val="28"/>
        </w:rPr>
        <w:t>三、政府采购支出情况</w:t>
      </w:r>
    </w:p>
    <w:p>
      <w:pPr>
        <w:ind w:firstLine="537" w:firstLineChars="192"/>
        <w:rPr>
          <w:rFonts w:hint="eastAsia" w:ascii="仿宋_GB2312" w:eastAsia="仿宋_GB2312"/>
          <w:sz w:val="28"/>
          <w:szCs w:val="28"/>
          <w:lang w:eastAsia="zh-CN"/>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年度政府采购支出总额</w:t>
      </w:r>
      <w:r>
        <w:rPr>
          <w:rFonts w:hint="eastAsia" w:ascii="仿宋_GB2312" w:eastAsia="仿宋_GB2312"/>
          <w:sz w:val="28"/>
          <w:szCs w:val="28"/>
          <w:lang w:val="en-US" w:eastAsia="zh-CN"/>
        </w:rPr>
        <w:t>0</w:t>
      </w:r>
      <w:r>
        <w:rPr>
          <w:rFonts w:hint="eastAsia" w:ascii="仿宋_GB2312" w:eastAsia="仿宋_GB2312"/>
          <w:sz w:val="28"/>
          <w:szCs w:val="28"/>
        </w:rPr>
        <w:t>万元，其中：政府采购货物支出</w:t>
      </w:r>
      <w:r>
        <w:rPr>
          <w:rFonts w:hint="eastAsia" w:ascii="仿宋_GB2312" w:eastAsia="仿宋_GB2312"/>
          <w:sz w:val="28"/>
          <w:szCs w:val="28"/>
          <w:lang w:val="en-US" w:eastAsia="zh-CN"/>
        </w:rPr>
        <w:t>0</w:t>
      </w:r>
      <w:r>
        <w:rPr>
          <w:rFonts w:hint="eastAsia" w:ascii="仿宋_GB2312" w:eastAsia="仿宋_GB2312"/>
          <w:sz w:val="28"/>
          <w:szCs w:val="28"/>
        </w:rPr>
        <w:t>万元，政府采购工程支出</w:t>
      </w:r>
      <w:r>
        <w:rPr>
          <w:rFonts w:hint="eastAsia" w:ascii="仿宋_GB2312" w:eastAsia="仿宋_GB2312"/>
          <w:sz w:val="28"/>
          <w:szCs w:val="28"/>
          <w:lang w:val="en-US" w:eastAsia="zh-CN"/>
        </w:rPr>
        <w:t>0</w:t>
      </w:r>
      <w:r>
        <w:rPr>
          <w:rFonts w:hint="eastAsia" w:ascii="仿宋_GB2312" w:eastAsia="仿宋_GB2312"/>
          <w:sz w:val="28"/>
          <w:szCs w:val="28"/>
        </w:rPr>
        <w:t>万元，政府采购服务支出</w:t>
      </w:r>
      <w:r>
        <w:rPr>
          <w:rFonts w:hint="eastAsia" w:ascii="仿宋_GB2312" w:eastAsia="仿宋_GB2312"/>
          <w:sz w:val="28"/>
          <w:szCs w:val="28"/>
          <w:lang w:val="en-US" w:eastAsia="zh-CN"/>
        </w:rPr>
        <w:t>0</w:t>
      </w:r>
      <w:r>
        <w:rPr>
          <w:rFonts w:hint="eastAsia" w:ascii="仿宋_GB2312" w:eastAsia="仿宋_GB2312"/>
          <w:sz w:val="28"/>
          <w:szCs w:val="28"/>
        </w:rPr>
        <w:t>万元。授予中小企业合同金额</w:t>
      </w:r>
      <w:r>
        <w:rPr>
          <w:rFonts w:hint="eastAsia" w:ascii="仿宋_GB2312" w:eastAsia="仿宋_GB2312"/>
          <w:sz w:val="28"/>
          <w:szCs w:val="28"/>
          <w:highlight w:val="none"/>
          <w:lang w:val="en-US" w:eastAsia="zh-CN"/>
        </w:rPr>
        <w:t>0</w:t>
      </w:r>
      <w:r>
        <w:rPr>
          <w:rFonts w:hint="eastAsia" w:ascii="仿宋_GB2312" w:eastAsia="仿宋_GB2312"/>
          <w:sz w:val="28"/>
          <w:szCs w:val="28"/>
        </w:rPr>
        <w:t>万元，占政府采购支出总额的</w:t>
      </w:r>
      <w:r>
        <w:rPr>
          <w:rFonts w:hint="eastAsia" w:ascii="仿宋_GB2312" w:eastAsia="仿宋_GB2312"/>
          <w:sz w:val="28"/>
          <w:szCs w:val="28"/>
          <w:highlight w:val="none"/>
          <w:lang w:val="en-US" w:eastAsia="zh-CN"/>
        </w:rPr>
        <w:t>0</w:t>
      </w:r>
      <w:r>
        <w:rPr>
          <w:rFonts w:hint="eastAsia" w:ascii="仿宋_GB2312" w:eastAsia="仿宋_GB2312"/>
          <w:sz w:val="28"/>
          <w:szCs w:val="28"/>
        </w:rPr>
        <w:t>%，其中：授予小微企业合同金额</w:t>
      </w:r>
      <w:r>
        <w:rPr>
          <w:rFonts w:hint="eastAsia" w:ascii="仿宋_GB2312" w:eastAsia="仿宋_GB2312"/>
          <w:sz w:val="28"/>
          <w:szCs w:val="28"/>
          <w:highlight w:val="none"/>
          <w:lang w:val="en-US" w:eastAsia="zh-CN"/>
        </w:rPr>
        <w:t>0</w:t>
      </w:r>
      <w:r>
        <w:rPr>
          <w:rFonts w:hint="eastAsia" w:ascii="仿宋_GB2312" w:eastAsia="仿宋_GB2312"/>
          <w:sz w:val="28"/>
          <w:szCs w:val="28"/>
        </w:rPr>
        <w:t>万元，占政府采购支出总额的</w:t>
      </w:r>
      <w:r>
        <w:rPr>
          <w:rFonts w:hint="eastAsia" w:ascii="仿宋_GB2312" w:eastAsia="仿宋_GB2312"/>
          <w:sz w:val="28"/>
          <w:szCs w:val="28"/>
          <w:highlight w:val="none"/>
          <w:lang w:val="en-US" w:eastAsia="zh-CN"/>
        </w:rPr>
        <w:t>0</w:t>
      </w:r>
      <w:r>
        <w:rPr>
          <w:rFonts w:hint="eastAsia" w:ascii="仿宋_GB2312" w:eastAsia="仿宋_GB2312"/>
          <w:sz w:val="28"/>
          <w:szCs w:val="28"/>
          <w:highlight w:val="none"/>
        </w:rPr>
        <w:t>%</w:t>
      </w:r>
      <w:r>
        <w:rPr>
          <w:rFonts w:hint="eastAsia" w:ascii="仿宋_GB2312" w:eastAsia="仿宋_GB2312"/>
          <w:sz w:val="28"/>
          <w:szCs w:val="28"/>
        </w:rPr>
        <w:t>。</w:t>
      </w:r>
    </w:p>
    <w:p>
      <w:pPr>
        <w:ind w:firstLine="560" w:firstLineChars="200"/>
        <w:rPr>
          <w:rFonts w:hint="eastAsia" w:ascii="黑体" w:eastAsia="黑体"/>
          <w:sz w:val="28"/>
          <w:szCs w:val="28"/>
          <w:highlight w:val="yellow"/>
        </w:rPr>
      </w:pPr>
      <w:r>
        <w:rPr>
          <w:rFonts w:hint="eastAsia" w:ascii="黑体" w:eastAsia="黑体"/>
          <w:sz w:val="28"/>
          <w:szCs w:val="28"/>
          <w:highlight w:val="none"/>
        </w:rPr>
        <w:t>四、国有资产占用情况</w:t>
      </w:r>
    </w:p>
    <w:p>
      <w:pPr>
        <w:ind w:firstLine="560" w:firstLineChars="20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年车辆</w:t>
      </w:r>
      <w:r>
        <w:rPr>
          <w:rFonts w:hint="eastAsia" w:ascii="仿宋_GB2312" w:eastAsia="仿宋_GB2312"/>
          <w:sz w:val="28"/>
          <w:szCs w:val="28"/>
          <w:lang w:val="en-US" w:eastAsia="zh-CN"/>
        </w:rPr>
        <w:t>3</w:t>
      </w:r>
      <w:r>
        <w:rPr>
          <w:rFonts w:hint="eastAsia" w:ascii="仿宋_GB2312" w:eastAsia="仿宋_GB2312"/>
          <w:sz w:val="28"/>
          <w:szCs w:val="28"/>
        </w:rPr>
        <w:t>台，</w:t>
      </w:r>
      <w:r>
        <w:rPr>
          <w:rFonts w:hint="eastAsia" w:ascii="仿宋_GB2312" w:eastAsia="仿宋_GB2312"/>
          <w:sz w:val="28"/>
          <w:szCs w:val="28"/>
          <w:lang w:val="en-US" w:eastAsia="zh-CN"/>
        </w:rPr>
        <w:t>37.38</w:t>
      </w:r>
      <w:r>
        <w:rPr>
          <w:rFonts w:hint="eastAsia" w:ascii="仿宋_GB2312" w:eastAsia="仿宋_GB2312"/>
          <w:sz w:val="28"/>
          <w:szCs w:val="28"/>
        </w:rPr>
        <w:t>万元</w:t>
      </w:r>
      <w:r>
        <w:rPr>
          <w:rFonts w:hint="eastAsia" w:ascii="仿宋_GB2312" w:eastAsia="仿宋_GB2312"/>
          <w:sz w:val="28"/>
          <w:szCs w:val="28"/>
          <w:lang w:eastAsia="zh-CN"/>
        </w:rPr>
        <w:t>（账面净值</w:t>
      </w:r>
      <w:r>
        <w:rPr>
          <w:rFonts w:hint="eastAsia" w:ascii="仿宋_GB2312" w:eastAsia="仿宋_GB2312"/>
          <w:sz w:val="28"/>
          <w:szCs w:val="28"/>
          <w:lang w:val="en-US" w:eastAsia="zh-CN"/>
        </w:rPr>
        <w:t>6.30万元</w:t>
      </w:r>
      <w:r>
        <w:rPr>
          <w:rFonts w:hint="eastAsia" w:ascii="仿宋_GB2312" w:eastAsia="仿宋_GB2312"/>
          <w:sz w:val="28"/>
          <w:szCs w:val="28"/>
          <w:lang w:eastAsia="zh-CN"/>
        </w:rPr>
        <w:t>）</w:t>
      </w:r>
      <w:r>
        <w:rPr>
          <w:rFonts w:hint="eastAsia" w:ascii="仿宋_GB2312" w:eastAsia="仿宋_GB2312"/>
          <w:sz w:val="28"/>
          <w:szCs w:val="28"/>
        </w:rPr>
        <w:t>；单位价值50万元以上的通用设备</w:t>
      </w:r>
      <w:r>
        <w:rPr>
          <w:rFonts w:hint="eastAsia" w:ascii="仿宋_GB2312" w:eastAsia="仿宋_GB2312"/>
          <w:sz w:val="28"/>
          <w:szCs w:val="28"/>
          <w:lang w:val="en-US" w:eastAsia="zh-CN"/>
        </w:rPr>
        <w:t>0</w:t>
      </w:r>
      <w:r>
        <w:rPr>
          <w:rFonts w:hint="eastAsia" w:ascii="仿宋_GB2312" w:eastAsia="仿宋_GB2312"/>
          <w:sz w:val="28"/>
          <w:szCs w:val="28"/>
        </w:rPr>
        <w:t>台（套），单位价值100万元以上的专用设备</w:t>
      </w:r>
      <w:r>
        <w:rPr>
          <w:rFonts w:hint="eastAsia" w:ascii="仿宋_GB2312" w:eastAsia="仿宋_GB2312"/>
          <w:sz w:val="28"/>
          <w:szCs w:val="28"/>
          <w:lang w:val="en-US" w:eastAsia="zh-CN"/>
        </w:rPr>
        <w:t>0</w:t>
      </w:r>
      <w:r>
        <w:rPr>
          <w:rFonts w:hint="eastAsia" w:ascii="仿宋_GB2312" w:eastAsia="仿宋_GB2312"/>
          <w:sz w:val="28"/>
          <w:szCs w:val="28"/>
        </w:rPr>
        <w:t>台（套）。</w:t>
      </w:r>
    </w:p>
    <w:p>
      <w:pPr>
        <w:ind w:firstLine="537" w:firstLineChars="192"/>
        <w:rPr>
          <w:rFonts w:ascii="黑体" w:eastAsia="黑体"/>
          <w:sz w:val="28"/>
          <w:szCs w:val="28"/>
        </w:rPr>
      </w:pPr>
      <w:r>
        <w:rPr>
          <w:rFonts w:hint="eastAsia" w:ascii="黑体" w:eastAsia="黑体"/>
          <w:sz w:val="28"/>
          <w:szCs w:val="28"/>
        </w:rPr>
        <w:t>五</w:t>
      </w:r>
      <w:r>
        <w:rPr>
          <w:rFonts w:ascii="黑体" w:eastAsia="黑体"/>
          <w:sz w:val="28"/>
          <w:szCs w:val="28"/>
        </w:rPr>
        <w:t>、政府购买服务</w:t>
      </w:r>
      <w:r>
        <w:rPr>
          <w:rFonts w:hint="eastAsia" w:ascii="黑体" w:eastAsia="黑体"/>
          <w:sz w:val="28"/>
          <w:szCs w:val="28"/>
        </w:rPr>
        <w:t>支出</w:t>
      </w:r>
      <w:r>
        <w:rPr>
          <w:rFonts w:ascii="黑体" w:eastAsia="黑体"/>
          <w:sz w:val="28"/>
          <w:szCs w:val="28"/>
        </w:rPr>
        <w:t>说明</w:t>
      </w:r>
    </w:p>
    <w:p>
      <w:pPr>
        <w:ind w:firstLine="537" w:firstLineChars="192"/>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3</w:t>
      </w:r>
      <w:r>
        <w:rPr>
          <w:rFonts w:hint="eastAsia" w:ascii="仿宋_GB2312" w:eastAsia="仿宋_GB2312"/>
          <w:sz w:val="28"/>
          <w:szCs w:val="28"/>
        </w:rPr>
        <w:t>年度</w:t>
      </w:r>
      <w:r>
        <w:rPr>
          <w:rFonts w:ascii="仿宋_GB2312" w:eastAsia="仿宋_GB2312"/>
          <w:sz w:val="28"/>
          <w:szCs w:val="28"/>
        </w:rPr>
        <w:t>政府购买服务决算</w:t>
      </w:r>
      <w:r>
        <w:rPr>
          <w:rFonts w:ascii="仿宋_GB2312" w:eastAsia="仿宋_GB2312"/>
          <w:sz w:val="28"/>
          <w:szCs w:val="28"/>
          <w:highlight w:val="none"/>
        </w:rPr>
        <w:t>0</w:t>
      </w:r>
      <w:r>
        <w:rPr>
          <w:rFonts w:hint="eastAsia" w:ascii="仿宋_GB2312" w:eastAsia="仿宋_GB2312"/>
          <w:sz w:val="28"/>
          <w:szCs w:val="28"/>
        </w:rPr>
        <w:t>万元</w:t>
      </w:r>
      <w:r>
        <w:rPr>
          <w:rFonts w:hint="eastAsia" w:ascii="仿宋_GB2312" w:eastAsia="仿宋_GB2312"/>
          <w:sz w:val="28"/>
          <w:szCs w:val="28"/>
          <w:lang w:val="en-US" w:eastAsia="zh-CN"/>
        </w:rPr>
        <w:t>,</w:t>
      </w:r>
      <w:r>
        <w:rPr>
          <w:rFonts w:hint="eastAsia" w:ascii="仿宋_GB2312" w:eastAsia="仿宋_GB2312"/>
          <w:sz w:val="28"/>
          <w:szCs w:val="28"/>
        </w:rPr>
        <w:t>其中：政府采购货物支出</w:t>
      </w:r>
      <w:r>
        <w:rPr>
          <w:rFonts w:ascii="仿宋_GB2312" w:eastAsia="仿宋_GB2312"/>
          <w:sz w:val="28"/>
          <w:szCs w:val="28"/>
        </w:rPr>
        <w:t>0</w:t>
      </w:r>
      <w:r>
        <w:rPr>
          <w:rFonts w:hint="eastAsia" w:ascii="仿宋_GB2312" w:eastAsia="仿宋_GB2312"/>
          <w:sz w:val="28"/>
          <w:szCs w:val="28"/>
        </w:rPr>
        <w:t>万元，政府采购工程支出</w:t>
      </w:r>
      <w:r>
        <w:rPr>
          <w:rFonts w:ascii="仿宋_GB2312" w:eastAsia="仿宋_GB2312"/>
          <w:sz w:val="28"/>
          <w:szCs w:val="28"/>
        </w:rPr>
        <w:t>0</w:t>
      </w:r>
      <w:r>
        <w:rPr>
          <w:rFonts w:hint="eastAsia" w:ascii="仿宋_GB2312" w:eastAsia="仿宋_GB2312"/>
          <w:sz w:val="28"/>
          <w:szCs w:val="28"/>
        </w:rPr>
        <w:t>万元，政府采购服务支出</w:t>
      </w:r>
      <w:r>
        <w:rPr>
          <w:rFonts w:ascii="仿宋_GB2312" w:eastAsia="仿宋_GB2312"/>
          <w:sz w:val="28"/>
          <w:szCs w:val="28"/>
        </w:rPr>
        <w:t>0</w:t>
      </w:r>
      <w:r>
        <w:rPr>
          <w:rFonts w:hint="eastAsia" w:ascii="仿宋_GB2312" w:eastAsia="仿宋_GB2312"/>
          <w:sz w:val="28"/>
          <w:szCs w:val="28"/>
        </w:rPr>
        <w:t>万元。授予中小企业合同金额</w:t>
      </w:r>
      <w:r>
        <w:rPr>
          <w:rFonts w:ascii="仿宋_GB2312" w:eastAsia="仿宋_GB2312"/>
          <w:sz w:val="28"/>
          <w:szCs w:val="28"/>
          <w:highlight w:val="none"/>
        </w:rPr>
        <w:t>0</w:t>
      </w:r>
      <w:r>
        <w:rPr>
          <w:rFonts w:hint="eastAsia" w:ascii="仿宋_GB2312" w:eastAsia="仿宋_GB2312"/>
          <w:sz w:val="28"/>
          <w:szCs w:val="28"/>
        </w:rPr>
        <w:t>万元，占政府采购支出总额的</w:t>
      </w:r>
      <w:r>
        <w:rPr>
          <w:rFonts w:ascii="仿宋_GB2312" w:eastAsia="仿宋_GB2312"/>
          <w:sz w:val="28"/>
          <w:szCs w:val="28"/>
          <w:highlight w:val="none"/>
        </w:rPr>
        <w:t>0</w:t>
      </w:r>
      <w:r>
        <w:rPr>
          <w:rFonts w:hint="eastAsia" w:ascii="仿宋_GB2312" w:eastAsia="仿宋_GB2312"/>
          <w:sz w:val="28"/>
          <w:szCs w:val="28"/>
        </w:rPr>
        <w:t>%，其中：授予小微企业合同金额</w:t>
      </w:r>
      <w:r>
        <w:rPr>
          <w:rFonts w:ascii="仿宋_GB2312" w:eastAsia="仿宋_GB2312"/>
          <w:sz w:val="28"/>
          <w:szCs w:val="28"/>
          <w:highlight w:val="none"/>
        </w:rPr>
        <w:t>0</w:t>
      </w:r>
      <w:r>
        <w:rPr>
          <w:rFonts w:hint="eastAsia" w:ascii="仿宋_GB2312" w:eastAsia="仿宋_GB2312"/>
          <w:sz w:val="28"/>
          <w:szCs w:val="28"/>
        </w:rPr>
        <w:t>万元，占政府采购支出总额的</w:t>
      </w:r>
      <w:r>
        <w:rPr>
          <w:rFonts w:ascii="仿宋_GB2312" w:eastAsia="仿宋_GB2312"/>
          <w:sz w:val="28"/>
          <w:szCs w:val="28"/>
          <w:highlight w:val="none"/>
        </w:rPr>
        <w:t>0</w:t>
      </w:r>
      <w:r>
        <w:rPr>
          <w:rFonts w:hint="eastAsia" w:ascii="仿宋_GB2312" w:eastAsia="仿宋_GB2312"/>
          <w:sz w:val="28"/>
          <w:szCs w:val="28"/>
          <w:highlight w:val="none"/>
        </w:rPr>
        <w:t>%</w:t>
      </w:r>
      <w:r>
        <w:rPr>
          <w:rFonts w:hint="eastAsia" w:ascii="仿宋_GB2312" w:eastAsia="仿宋_GB2312"/>
          <w:sz w:val="28"/>
          <w:szCs w:val="28"/>
        </w:rPr>
        <w:t>。</w:t>
      </w:r>
    </w:p>
    <w:p>
      <w:pPr>
        <w:ind w:firstLine="560" w:firstLineChars="200"/>
        <w:jc w:val="left"/>
        <w:rPr>
          <w:rFonts w:hint="eastAsia" w:ascii="仿宋_GB2312" w:eastAsia="仿宋_GB2312"/>
          <w:color w:val="000000"/>
          <w:sz w:val="32"/>
          <w:szCs w:val="32"/>
        </w:rPr>
      </w:pPr>
      <w:r>
        <w:rPr>
          <w:rFonts w:hint="eastAsia" w:ascii="黑体" w:eastAsia="黑体"/>
          <w:sz w:val="28"/>
          <w:szCs w:val="28"/>
        </w:rPr>
        <w:t>六、</w:t>
      </w:r>
      <w:r>
        <w:rPr>
          <w:rFonts w:ascii="黑体" w:eastAsia="黑体"/>
          <w:sz w:val="28"/>
          <w:szCs w:val="28"/>
        </w:rPr>
        <w:t>专业名词解释</w:t>
      </w:r>
    </w:p>
    <w:p>
      <w:pPr>
        <w:ind w:firstLine="560" w:firstLineChars="200"/>
        <w:rPr>
          <w:rFonts w:hint="eastAsia" w:ascii="仿宋_GB2312" w:eastAsia="仿宋_GB2312"/>
          <w:sz w:val="28"/>
          <w:szCs w:val="28"/>
        </w:rPr>
      </w:pPr>
      <w:r>
        <w:rPr>
          <w:rFonts w:hint="eastAsia" w:ascii="仿宋_GB2312" w:eastAsia="仿宋_GB2312"/>
          <w:sz w:val="28"/>
          <w:szCs w:val="28"/>
        </w:rPr>
        <w:t>1.基本支出：指为保障机构正常运转、完成日常工作任务而发生的人员支出和公用支出。</w:t>
      </w:r>
    </w:p>
    <w:p>
      <w:pPr>
        <w:ind w:firstLine="560" w:firstLineChars="200"/>
        <w:rPr>
          <w:rFonts w:hint="eastAsia" w:ascii="仿宋_GB2312" w:eastAsia="仿宋_GB2312"/>
          <w:sz w:val="28"/>
          <w:szCs w:val="28"/>
        </w:rPr>
      </w:pPr>
      <w:r>
        <w:rPr>
          <w:rFonts w:hint="eastAsia" w:ascii="仿宋_GB2312" w:eastAsia="仿宋_GB2312"/>
          <w:sz w:val="28"/>
          <w:szCs w:val="28"/>
        </w:rPr>
        <w:t>2.项目支出：指在基本支出之外为完成特定行政任务或事业发展目标所发生的支出。</w:t>
      </w:r>
    </w:p>
    <w:p>
      <w:pPr>
        <w:ind w:firstLine="560" w:firstLineChars="200"/>
        <w:rPr>
          <w:rFonts w:hint="eastAsia" w:ascii="仿宋_GB2312" w:hAnsi="宋体" w:eastAsia="仿宋_GB2312"/>
          <w:sz w:val="28"/>
          <w:szCs w:val="28"/>
        </w:rPr>
      </w:pPr>
      <w:r>
        <w:rPr>
          <w:rFonts w:hint="eastAsia" w:ascii="仿宋_GB2312" w:eastAsia="仿宋_GB2312"/>
          <w:sz w:val="28"/>
          <w:szCs w:val="28"/>
        </w:rPr>
        <w:t>3.“三公”经费：</w:t>
      </w:r>
      <w:r>
        <w:rPr>
          <w:rFonts w:hint="eastAsia" w:ascii="仿宋_GB2312" w:hAnsi="宋体" w:eastAsia="仿宋_GB2312"/>
          <w:sz w:val="28"/>
          <w:szCs w:val="28"/>
        </w:rPr>
        <w:t>是指单位通过财政拨款资金安排的因公出国（境）费、公务用车购置及运行费和公务接待费。其中，因公出国（境）费指单位公务出国（境）的国际旅费、国外城市间交通费、住宿费、伙食费、培训费、公杂费等支出；公务用车购置及运行费指单位公务用车购置支出（含车辆购置税、牌照费）及单位按规定保留的公务用车燃料费、维修费、过路过桥费、保险费、安全奖励费等支出；公务接待费指单位按规定开支的各类公务接待（含外宾接待）支出。</w:t>
      </w:r>
    </w:p>
    <w:p>
      <w:pPr>
        <w:ind w:firstLine="560" w:firstLineChars="200"/>
        <w:rPr>
          <w:rFonts w:hint="eastAsia" w:ascii="仿宋_GB2312" w:hAnsi="宋体" w:eastAsia="仿宋_GB2312"/>
          <w:sz w:val="28"/>
          <w:szCs w:val="28"/>
        </w:rPr>
      </w:pPr>
      <w:r>
        <w:rPr>
          <w:rFonts w:hint="eastAsia" w:ascii="仿宋_GB2312" w:eastAsia="仿宋_GB2312"/>
          <w:sz w:val="28"/>
          <w:szCs w:val="28"/>
        </w:rPr>
        <w:t>4</w:t>
      </w:r>
      <w:r>
        <w:rPr>
          <w:rFonts w:ascii="仿宋_GB2312" w:eastAsia="仿宋_GB2312"/>
          <w:sz w:val="28"/>
          <w:szCs w:val="28"/>
        </w:rPr>
        <w:t>.</w:t>
      </w:r>
      <w:r>
        <w:rPr>
          <w:rFonts w:hint="eastAsia" w:ascii="仿宋_GB2312" w:eastAsia="仿宋_GB2312"/>
          <w:sz w:val="28"/>
          <w:szCs w:val="28"/>
        </w:rPr>
        <w:t>机关运行经费：</w:t>
      </w:r>
      <w:r>
        <w:rPr>
          <w:rFonts w:hint="eastAsia" w:ascii="仿宋_GB2312" w:hAnsi="宋体" w:eastAsia="仿宋_GB2312"/>
          <w:sz w:val="28"/>
          <w:szCs w:val="28"/>
        </w:rPr>
        <w:t>指为</w:t>
      </w:r>
      <w:r>
        <w:rPr>
          <w:rFonts w:ascii="仿宋_GB2312" w:hAnsi="宋体" w:eastAsia="仿宋_GB2312"/>
          <w:sz w:val="28"/>
          <w:szCs w:val="28"/>
        </w:rPr>
        <w:t>保障</w:t>
      </w:r>
      <w:r>
        <w:rPr>
          <w:rFonts w:hint="eastAsia" w:ascii="仿宋_GB2312" w:hAnsi="宋体" w:eastAsia="仿宋_GB2312"/>
          <w:sz w:val="28"/>
          <w:szCs w:val="28"/>
        </w:rPr>
        <w:t>行政单位（含参照公务员法管理事业单位）运行用于</w:t>
      </w:r>
      <w:r>
        <w:rPr>
          <w:rFonts w:ascii="仿宋_GB2312" w:hAnsi="宋体" w:eastAsia="仿宋_GB2312"/>
          <w:sz w:val="28"/>
          <w:szCs w:val="28"/>
        </w:rPr>
        <w:t>购买货物和服务的各项资金</w:t>
      </w:r>
      <w:r>
        <w:rPr>
          <w:rFonts w:hint="eastAsia" w:ascii="仿宋_GB2312" w:hAnsi="宋体" w:eastAsia="仿宋_GB2312"/>
          <w:sz w:val="28"/>
          <w:szCs w:val="28"/>
        </w:rPr>
        <w:t>，包括办公及印刷费、邮电费、差旅费、会议费、福利费、日常维修费、专用材料及一般设备购置费、办公用房水电费、办公用房取暖费、办公用房物业管理费、公务用车运行维护费以及其他费用。</w:t>
      </w:r>
    </w:p>
    <w:p>
      <w:pPr>
        <w:ind w:firstLine="420" w:firstLineChars="150"/>
        <w:rPr>
          <w:rFonts w:hint="eastAsia" w:ascii="仿宋_GB2312" w:eastAsia="仿宋_GB2312"/>
          <w:sz w:val="28"/>
          <w:szCs w:val="28"/>
        </w:rPr>
      </w:pPr>
      <w:r>
        <w:rPr>
          <w:rFonts w:hint="eastAsia" w:ascii="仿宋_GB2312" w:eastAsia="仿宋_GB2312"/>
          <w:sz w:val="28"/>
          <w:szCs w:val="28"/>
        </w:rPr>
        <w:t>5</w:t>
      </w:r>
      <w:r>
        <w:rPr>
          <w:rFonts w:ascii="仿宋_GB2312" w:eastAsia="仿宋_GB2312"/>
          <w:sz w:val="28"/>
          <w:szCs w:val="28"/>
        </w:rPr>
        <w:t>.</w:t>
      </w:r>
      <w:r>
        <w:rPr>
          <w:rFonts w:hint="eastAsia" w:ascii="仿宋_GB2312" w:eastAsia="仿宋_GB2312"/>
          <w:sz w:val="28"/>
          <w:szCs w:val="28"/>
        </w:rPr>
        <w:t>政府采购</w:t>
      </w:r>
      <w:r>
        <w:rPr>
          <w:rFonts w:ascii="仿宋_GB2312" w:eastAsia="仿宋_GB2312"/>
          <w:sz w:val="28"/>
          <w:szCs w:val="28"/>
        </w:rPr>
        <w:t>：</w:t>
      </w:r>
      <w:r>
        <w:rPr>
          <w:rFonts w:hint="eastAsia" w:ascii="仿宋_GB2312" w:eastAsia="仿宋_GB2312"/>
          <w:sz w:val="28"/>
          <w:szCs w:val="28"/>
        </w:rPr>
        <w:t>指</w:t>
      </w:r>
      <w:r>
        <w:rPr>
          <w:rFonts w:ascii="仿宋_GB2312" w:eastAsia="仿宋_GB2312"/>
          <w:sz w:val="28"/>
          <w:szCs w:val="28"/>
        </w:rPr>
        <w:t>各级国家机关、事业单位和团体组织，使用</w:t>
      </w:r>
      <w:r>
        <w:rPr>
          <w:rFonts w:hint="eastAsia" w:ascii="仿宋_GB2312" w:eastAsia="仿宋_GB2312"/>
          <w:sz w:val="28"/>
          <w:szCs w:val="28"/>
        </w:rPr>
        <w:t>财政性</w:t>
      </w:r>
      <w:r>
        <w:rPr>
          <w:rFonts w:ascii="仿宋_GB2312" w:eastAsia="仿宋_GB2312"/>
          <w:sz w:val="28"/>
          <w:szCs w:val="28"/>
        </w:rPr>
        <w:t>资金采购依法制定的集中目录以内的或者采购限额标准以上的货物、工程和服务的行为</w:t>
      </w:r>
      <w:r>
        <w:rPr>
          <w:rFonts w:hint="eastAsia" w:ascii="仿宋_GB2312" w:eastAsia="仿宋_GB2312"/>
          <w:sz w:val="28"/>
          <w:szCs w:val="28"/>
        </w:rPr>
        <w:t>，</w:t>
      </w:r>
      <w:r>
        <w:rPr>
          <w:rFonts w:ascii="仿宋_GB2312" w:eastAsia="仿宋_GB2312"/>
          <w:sz w:val="28"/>
          <w:szCs w:val="28"/>
        </w:rPr>
        <w:t>是规范财政支出管理和强化预算约束的有效措施。</w:t>
      </w:r>
    </w:p>
    <w:p>
      <w:pPr>
        <w:ind w:firstLine="420" w:firstLineChars="150"/>
        <w:rPr>
          <w:rFonts w:hint="eastAsia" w:ascii="仿宋_GB2312" w:eastAsia="仿宋_GB2312"/>
          <w:sz w:val="28"/>
          <w:szCs w:val="28"/>
        </w:rPr>
      </w:pPr>
      <w:r>
        <w:rPr>
          <w:rFonts w:hint="eastAsia" w:ascii="仿宋_GB2312" w:eastAsia="仿宋_GB2312"/>
          <w:sz w:val="28"/>
          <w:szCs w:val="28"/>
        </w:rPr>
        <w:t>6</w:t>
      </w:r>
      <w:r>
        <w:rPr>
          <w:rFonts w:ascii="仿宋_GB2312" w:eastAsia="仿宋_GB2312"/>
          <w:sz w:val="28"/>
          <w:szCs w:val="28"/>
        </w:rPr>
        <w:t>.政府购买服务：</w:t>
      </w:r>
      <w:r>
        <w:rPr>
          <w:rFonts w:hint="eastAsia" w:ascii="仿宋_GB2312" w:eastAsia="仿宋_GB2312"/>
          <w:sz w:val="28"/>
          <w:szCs w:val="28"/>
        </w:rPr>
        <w:t>是指各级国家机关将属于自身职责范围且适合通过市场化方式提供的服务事项，按照政府采购方式和程序，交由符合条件的服务供应商承担，并根据服务数量和质量等因素向其支付费用的行为。</w:t>
      </w:r>
    </w:p>
    <w:p>
      <w:pPr>
        <w:ind w:firstLine="420" w:firstLineChars="150"/>
        <w:rPr>
          <w:rFonts w:hint="eastAsia" w:ascii="仿宋_GB2312" w:eastAsia="仿宋_GB2312"/>
          <w:sz w:val="28"/>
          <w:szCs w:val="28"/>
          <w:lang w:eastAsia="zh-CN"/>
        </w:rPr>
      </w:pPr>
      <w:r>
        <w:rPr>
          <w:rFonts w:hint="eastAsia" w:ascii="仿宋_GB2312" w:eastAsia="仿宋_GB2312"/>
          <w:sz w:val="28"/>
          <w:szCs w:val="28"/>
          <w:lang w:val="en-US" w:eastAsia="zh-CN"/>
        </w:rPr>
        <w:t>7.</w:t>
      </w:r>
      <w:r>
        <w:rPr>
          <w:rFonts w:hint="eastAsia" w:ascii="仿宋_GB2312" w:eastAsia="仿宋_GB2312"/>
          <w:sz w:val="28"/>
          <w:szCs w:val="28"/>
        </w:rPr>
        <w:t>各</w:t>
      </w:r>
      <w:r>
        <w:rPr>
          <w:rFonts w:hint="eastAsia" w:ascii="仿宋_GB2312" w:eastAsia="仿宋_GB2312"/>
          <w:sz w:val="28"/>
          <w:szCs w:val="28"/>
          <w:lang w:eastAsia="zh-CN"/>
        </w:rPr>
        <w:t>单位</w:t>
      </w:r>
      <w:r>
        <w:rPr>
          <w:rFonts w:hint="eastAsia" w:ascii="仿宋_GB2312" w:eastAsia="仿宋_GB2312"/>
          <w:sz w:val="28"/>
          <w:szCs w:val="28"/>
        </w:rPr>
        <w:t>需根据自身业务职能，</w:t>
      </w:r>
      <w:r>
        <w:rPr>
          <w:rFonts w:hint="eastAsia" w:ascii="仿宋_GB2312" w:eastAsia="仿宋_GB2312"/>
          <w:sz w:val="28"/>
          <w:szCs w:val="28"/>
          <w:lang w:eastAsia="zh-CN"/>
        </w:rPr>
        <w:t>补充当年</w:t>
      </w:r>
      <w:r>
        <w:rPr>
          <w:rFonts w:hint="eastAsia" w:ascii="仿宋_GB2312" w:eastAsia="仿宋_GB2312"/>
          <w:sz w:val="28"/>
          <w:szCs w:val="28"/>
          <w:lang w:val="en-US" w:eastAsia="zh-CN"/>
        </w:rPr>
        <w:t>使用的所有</w:t>
      </w:r>
      <w:r>
        <w:rPr>
          <w:rFonts w:hint="eastAsia" w:ascii="仿宋_GB2312" w:eastAsia="仿宋_GB2312"/>
          <w:sz w:val="28"/>
          <w:szCs w:val="28"/>
          <w:lang w:eastAsia="zh-CN"/>
        </w:rPr>
        <w:t>支出功能分类项级科目名词解释，例如：</w:t>
      </w:r>
    </w:p>
    <w:p>
      <w:pPr>
        <w:ind w:firstLine="420" w:firstLineChars="150"/>
        <w:rPr>
          <w:rFonts w:hint="eastAsia" w:ascii="仿宋_GB2312" w:eastAsia="仿宋_GB2312"/>
          <w:sz w:val="28"/>
          <w:szCs w:val="28"/>
          <w:lang w:val="en-US" w:eastAsia="zh-CN"/>
        </w:rPr>
      </w:pPr>
      <w:r>
        <w:rPr>
          <w:rFonts w:hint="eastAsia" w:ascii="仿宋_GB2312" w:eastAsia="仿宋_GB2312"/>
          <w:sz w:val="28"/>
          <w:szCs w:val="28"/>
          <w:lang w:val="en-US" w:eastAsia="zh-CN"/>
        </w:rPr>
        <w:t>一般公共服务支出（类）人大事务（款）行政运行（项）：反映行政单位（包括实行公务员管理的事业单位）的基本支出。</w:t>
      </w:r>
    </w:p>
    <w:p>
      <w:pPr>
        <w:numPr>
          <w:ilvl w:val="0"/>
          <w:numId w:val="0"/>
        </w:numPr>
        <w:rPr>
          <w:rFonts w:hint="eastAsia" w:ascii="仿宋_GB2312" w:eastAsia="仿宋_GB2312"/>
          <w:sz w:val="28"/>
          <w:szCs w:val="28"/>
          <w:lang w:val="en-US" w:eastAsia="zh-CN"/>
        </w:rPr>
      </w:pPr>
    </w:p>
    <w:p>
      <w:pPr>
        <w:ind w:firstLine="632" w:firstLineChars="200"/>
        <w:rPr>
          <w:rFonts w:hint="eastAsia" w:ascii="仿宋_GB2312" w:hAnsi="Times New Roman" w:eastAsia="仿宋_GB2312" w:cs="Times New Roman"/>
          <w:b/>
          <w:color w:val="000000"/>
          <w:spacing w:val="-2"/>
          <w:sz w:val="32"/>
          <w:szCs w:val="32"/>
        </w:rPr>
      </w:pPr>
    </w:p>
    <w:p>
      <w:pPr>
        <w:ind w:firstLine="640" w:firstLineChars="200"/>
        <w:jc w:val="center"/>
        <w:rPr>
          <w:rFonts w:ascii="黑体" w:eastAsia="黑体"/>
          <w:sz w:val="32"/>
          <w:szCs w:val="32"/>
        </w:rPr>
      </w:pPr>
    </w:p>
    <w:p>
      <w:pPr>
        <w:pStyle w:val="2"/>
        <w:ind w:left="0" w:leftChars="0" w:firstLine="0" w:firstLineChars="0"/>
        <w:rPr>
          <w:rFonts w:ascii="黑体" w:eastAsia="黑体"/>
          <w:sz w:val="32"/>
          <w:szCs w:val="32"/>
        </w:rPr>
      </w:pPr>
    </w:p>
    <w:p>
      <w:pPr>
        <w:pStyle w:val="2"/>
        <w:rPr>
          <w:rFonts w:ascii="黑体" w:eastAsia="黑体"/>
          <w:sz w:val="32"/>
          <w:szCs w:val="32"/>
        </w:rPr>
      </w:pPr>
    </w:p>
    <w:p>
      <w:pPr>
        <w:pStyle w:val="2"/>
        <w:rPr>
          <w:rFonts w:ascii="黑体" w:eastAsia="黑体"/>
          <w:sz w:val="32"/>
          <w:szCs w:val="32"/>
        </w:rPr>
      </w:pPr>
    </w:p>
    <w:p>
      <w:pPr>
        <w:ind w:firstLine="640" w:firstLineChars="200"/>
        <w:jc w:val="center"/>
        <w:rPr>
          <w:rFonts w:hint="eastAsia" w:ascii="黑体" w:eastAsia="黑体"/>
          <w:sz w:val="32"/>
          <w:szCs w:val="32"/>
        </w:rPr>
      </w:pPr>
    </w:p>
    <w:p>
      <w:pPr>
        <w:ind w:firstLine="640" w:firstLineChars="200"/>
        <w:jc w:val="center"/>
        <w:rPr>
          <w:rFonts w:hint="eastAsia" w:asciiTheme="majorEastAsia" w:hAnsiTheme="majorEastAsia" w:eastAsiaTheme="majorEastAsia" w:cstheme="majorEastAsia"/>
          <w:b/>
          <w:bCs/>
          <w:sz w:val="32"/>
          <w:szCs w:val="32"/>
        </w:rPr>
      </w:pPr>
      <w:r>
        <w:rPr>
          <w:rFonts w:hint="eastAsia" w:asciiTheme="majorEastAsia" w:hAnsiTheme="majorEastAsia" w:eastAsiaTheme="majorEastAsia" w:cstheme="majorEastAsia"/>
          <w:b/>
          <w:bCs/>
          <w:sz w:val="32"/>
          <w:szCs w:val="32"/>
        </w:rPr>
        <w:t>第四部分  202</w:t>
      </w:r>
      <w:r>
        <w:rPr>
          <w:rFonts w:hint="eastAsia" w:asciiTheme="majorEastAsia" w:hAnsiTheme="majorEastAsia" w:eastAsiaTheme="majorEastAsia" w:cstheme="majorEastAsia"/>
          <w:b/>
          <w:bCs/>
          <w:sz w:val="32"/>
          <w:szCs w:val="32"/>
          <w:lang w:val="en-US" w:eastAsia="zh-CN"/>
        </w:rPr>
        <w:t>3</w:t>
      </w:r>
      <w:r>
        <w:rPr>
          <w:rFonts w:hint="eastAsia" w:asciiTheme="majorEastAsia" w:hAnsiTheme="majorEastAsia" w:eastAsiaTheme="majorEastAsia" w:cstheme="majorEastAsia"/>
          <w:b/>
          <w:bCs/>
          <w:sz w:val="32"/>
          <w:szCs w:val="32"/>
        </w:rPr>
        <w:t>年度部门绩效评价情况</w:t>
      </w:r>
    </w:p>
    <w:p>
      <w:pPr>
        <w:ind w:firstLine="560" w:firstLineChars="200"/>
        <w:rPr>
          <w:rFonts w:hint="eastAsia" w:ascii="黑体" w:eastAsia="黑体"/>
          <w:sz w:val="28"/>
          <w:szCs w:val="28"/>
          <w:highlight w:val="yellow"/>
        </w:rPr>
      </w:pPr>
    </w:p>
    <w:p>
      <w:pPr>
        <w:ind w:firstLine="560" w:firstLineChars="200"/>
        <w:rPr>
          <w:rFonts w:hint="eastAsia" w:ascii="黑体" w:eastAsia="黑体"/>
          <w:sz w:val="28"/>
          <w:szCs w:val="28"/>
          <w:lang w:eastAsia="zh-CN"/>
        </w:rPr>
      </w:pPr>
      <w:r>
        <w:rPr>
          <w:rFonts w:hint="eastAsia" w:ascii="黑体" w:eastAsia="黑体"/>
          <w:sz w:val="28"/>
          <w:szCs w:val="28"/>
        </w:rPr>
        <w:t>一、部门整体绩效评价报告</w:t>
      </w:r>
      <w:r>
        <w:rPr>
          <w:rFonts w:hint="eastAsia" w:ascii="黑体" w:eastAsia="黑体"/>
          <w:sz w:val="28"/>
          <w:szCs w:val="28"/>
          <w:lang w:eastAsia="zh-CN"/>
        </w:rPr>
        <w:t>（详见附件）</w:t>
      </w:r>
    </w:p>
    <w:p>
      <w:pPr>
        <w:ind w:firstLine="560" w:firstLineChars="200"/>
        <w:rPr>
          <w:rFonts w:hint="eastAsia" w:ascii="黑体" w:eastAsia="黑体"/>
          <w:sz w:val="28"/>
          <w:szCs w:val="28"/>
        </w:rPr>
      </w:pPr>
      <w:r>
        <w:rPr>
          <w:rFonts w:hint="eastAsia" w:ascii="黑体" w:eastAsia="黑体"/>
          <w:sz w:val="28"/>
          <w:szCs w:val="28"/>
        </w:rPr>
        <w:t>二、项目支出绩效评价报告</w:t>
      </w:r>
      <w:r>
        <w:rPr>
          <w:rFonts w:hint="eastAsia" w:ascii="黑体" w:eastAsia="黑体"/>
          <w:sz w:val="28"/>
          <w:szCs w:val="28"/>
          <w:lang w:eastAsia="zh-CN"/>
        </w:rPr>
        <w:t>（详见附件）</w:t>
      </w:r>
    </w:p>
    <w:p>
      <w:pPr>
        <w:spacing w:line="480" w:lineRule="exact"/>
        <w:ind w:firstLine="560" w:firstLineChars="200"/>
        <w:jc w:val="both"/>
        <w:rPr>
          <w:rFonts w:hint="eastAsia" w:ascii="黑体" w:eastAsia="黑体"/>
          <w:sz w:val="28"/>
          <w:szCs w:val="28"/>
          <w:lang w:eastAsia="zh-CN"/>
        </w:rPr>
      </w:pPr>
      <w:r>
        <w:rPr>
          <w:rFonts w:hint="eastAsia" w:ascii="黑体" w:eastAsia="黑体"/>
          <w:sz w:val="28"/>
          <w:szCs w:val="28"/>
        </w:rPr>
        <w:t>三</w:t>
      </w:r>
      <w:r>
        <w:rPr>
          <w:rFonts w:ascii="黑体" w:eastAsia="黑体"/>
          <w:sz w:val="28"/>
          <w:szCs w:val="28"/>
        </w:rPr>
        <w:t>、</w:t>
      </w:r>
      <w:r>
        <w:rPr>
          <w:rFonts w:hint="eastAsia" w:ascii="黑体" w:eastAsia="黑体"/>
          <w:sz w:val="28"/>
          <w:szCs w:val="28"/>
        </w:rPr>
        <w:t>项目</w:t>
      </w:r>
      <w:r>
        <w:rPr>
          <w:rFonts w:ascii="黑体" w:eastAsia="黑体"/>
          <w:sz w:val="28"/>
          <w:szCs w:val="28"/>
        </w:rPr>
        <w:t>支出绩效自评表</w:t>
      </w:r>
      <w:r>
        <w:rPr>
          <w:rFonts w:hint="eastAsia" w:ascii="黑体" w:eastAsia="黑体"/>
          <w:sz w:val="28"/>
          <w:szCs w:val="28"/>
          <w:lang w:eastAsia="zh-CN"/>
        </w:rPr>
        <w:t>（详见附件）</w:t>
      </w:r>
    </w:p>
    <w:p>
      <w:pPr>
        <w:spacing w:line="480" w:lineRule="exact"/>
        <w:ind w:firstLine="1050" w:firstLineChars="500"/>
        <w:jc w:val="both"/>
        <w:rPr>
          <w:rFonts w:hint="default"/>
          <w:lang w:val="en-US" w:eastAsia="zh-CN"/>
        </w:rPr>
      </w:pPr>
      <w:r>
        <w:rPr>
          <w:rFonts w:hint="eastAsia"/>
          <w:lang w:val="en-US" w:eastAsia="zh-CN"/>
        </w:rPr>
        <w:t xml:space="preserve"> 2023年决算无项目支出</w:t>
      </w:r>
    </w:p>
    <w:p>
      <w:pPr>
        <w:ind w:firstLine="560" w:firstLineChars="200"/>
        <w:rPr>
          <w:rFonts w:hint="eastAsia" w:ascii="黑体" w:hAnsi="Times New Roman" w:eastAsia="黑体" w:cs="Times New Roman"/>
          <w:sz w:val="28"/>
          <w:szCs w:val="28"/>
          <w:lang w:eastAsia="zh-CN"/>
        </w:rPr>
      </w:pPr>
      <w:r>
        <w:rPr>
          <w:rFonts w:hint="eastAsia" w:ascii="黑体" w:hAnsi="Times New Roman" w:eastAsia="黑体" w:cs="Times New Roman"/>
          <w:sz w:val="28"/>
          <w:szCs w:val="28"/>
          <w:lang w:eastAsia="zh-CN"/>
        </w:rPr>
        <w:t>四、</w:t>
      </w:r>
      <w:r>
        <w:rPr>
          <w:rFonts w:hint="eastAsia" w:ascii="黑体" w:hAnsi="Times New Roman" w:eastAsia="黑体" w:cs="Times New Roman"/>
          <w:sz w:val="28"/>
          <w:szCs w:val="28"/>
          <w:lang w:val="en-US" w:eastAsia="zh-CN"/>
        </w:rPr>
        <w:t>中央对北京XX转移支付预算执行情况绩效自评报告</w:t>
      </w:r>
      <w:r>
        <w:rPr>
          <w:rFonts w:hint="eastAsia" w:ascii="黑体" w:eastAsia="黑体"/>
          <w:sz w:val="28"/>
          <w:szCs w:val="28"/>
          <w:lang w:eastAsia="zh-CN"/>
        </w:rPr>
        <w:t>（详见附件）</w:t>
      </w:r>
    </w:p>
    <w:p>
      <w:pPr>
        <w:spacing w:line="480" w:lineRule="exact"/>
        <w:ind w:firstLine="560"/>
        <w:rPr>
          <w:rFonts w:hint="eastAsia" w:ascii="黑体" w:eastAsia="黑体"/>
          <w:sz w:val="28"/>
          <w:szCs w:val="28"/>
        </w:rPr>
      </w:pPr>
      <w:r>
        <w:rPr>
          <w:rFonts w:hint="eastAsia" w:ascii="黑体" w:eastAsia="黑体"/>
          <w:sz w:val="28"/>
          <w:szCs w:val="28"/>
        </w:rPr>
        <w:t>（注：</w:t>
      </w:r>
      <w:r>
        <w:rPr>
          <w:rFonts w:hint="eastAsia" w:ascii="黑体" w:eastAsia="黑体"/>
          <w:color w:val="auto"/>
          <w:sz w:val="28"/>
          <w:szCs w:val="28"/>
        </w:rPr>
        <w:t>有中央转移支付的一级预算部门，公开“一、二、三、四”；没有中央转移支付的一级预算部门，公开“一、二、三”；</w:t>
      </w:r>
      <w:r>
        <w:rPr>
          <w:rFonts w:hint="eastAsia" w:ascii="黑体" w:eastAsia="黑体"/>
          <w:sz w:val="28"/>
          <w:szCs w:val="28"/>
        </w:rPr>
        <w:t>二级预算单位仅公开“三”</w:t>
      </w:r>
      <w:r>
        <w:rPr>
          <w:rFonts w:hint="eastAsia" w:ascii="黑体" w:eastAsia="黑体"/>
          <w:sz w:val="28"/>
          <w:szCs w:val="28"/>
          <w:lang w:eastAsia="zh-CN"/>
        </w:rPr>
        <w:t>。</w:t>
      </w:r>
      <w:r>
        <w:rPr>
          <w:rFonts w:hint="eastAsia" w:ascii="黑体" w:eastAsia="黑体"/>
          <w:sz w:val="28"/>
          <w:szCs w:val="28"/>
        </w:rPr>
        <w:t>）</w:t>
      </w: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p>
    <w:p>
      <w:pPr>
        <w:pStyle w:val="2"/>
        <w:ind w:firstLine="0" w:firstLineChars="0"/>
        <w:rPr>
          <w:rFonts w:hint="eastAsia" w:ascii="黑体" w:hAnsi="黑体" w:eastAsia="黑体" w:cs="黑体"/>
          <w:sz w:val="32"/>
          <w:szCs w:val="32"/>
        </w:rPr>
      </w:pPr>
      <w:r>
        <w:rPr>
          <w:rFonts w:hint="eastAsia" w:ascii="黑体" w:hAnsi="黑体" w:eastAsia="黑体" w:cs="黑体"/>
          <w:sz w:val="32"/>
          <w:szCs w:val="32"/>
        </w:rPr>
        <w:t>附件</w:t>
      </w:r>
    </w:p>
    <w:p>
      <w:pPr>
        <w:spacing w:line="560" w:lineRule="exact"/>
        <w:jc w:val="center"/>
        <w:rPr>
          <w:rFonts w:hint="eastAsia" w:ascii="方正小标宋简体" w:eastAsia="方正小标宋简体"/>
          <w:sz w:val="36"/>
          <w:szCs w:val="36"/>
        </w:rPr>
      </w:pPr>
      <w:r>
        <w:rPr>
          <w:rFonts w:hint="eastAsia" w:ascii="方正小标宋简体" w:eastAsia="方正小标宋简体"/>
          <w:sz w:val="36"/>
          <w:szCs w:val="36"/>
        </w:rPr>
        <w:t>部门整体绩效评价报告</w:t>
      </w:r>
    </w:p>
    <w:p>
      <w:pPr>
        <w:spacing w:line="560" w:lineRule="exact"/>
        <w:jc w:val="center"/>
        <w:rPr>
          <w:rFonts w:hint="eastAsia" w:ascii="方正小标宋简体" w:eastAsia="方正小标宋简体"/>
          <w:sz w:val="36"/>
          <w:szCs w:val="36"/>
        </w:rPr>
      </w:pPr>
      <w:r>
        <w:rPr>
          <w:rFonts w:hint="eastAsia" w:ascii="方正小标宋简体" w:eastAsia="方正小标宋简体"/>
          <w:sz w:val="36"/>
          <w:szCs w:val="36"/>
        </w:rPr>
        <w:t>（参考模版）</w:t>
      </w:r>
    </w:p>
    <w:p>
      <w:pPr>
        <w:jc w:val="center"/>
        <w:rPr>
          <w:rFonts w:ascii="仿宋_GB2312"/>
          <w:szCs w:val="30"/>
        </w:rPr>
      </w:pPr>
    </w:p>
    <w:p>
      <w:pPr>
        <w:spacing w:line="600" w:lineRule="exact"/>
        <w:ind w:firstLine="640" w:firstLineChars="200"/>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一、部门概况</w:t>
      </w:r>
    </w:p>
    <w:p>
      <w:pPr>
        <w:spacing w:line="600" w:lineRule="exact"/>
        <w:ind w:firstLine="640" w:firstLineChars="200"/>
        <w:rPr>
          <w:rFonts w:hint="eastAsia" w:ascii="楷体_GB2312" w:eastAsia="楷体_GB2312"/>
          <w:sz w:val="32"/>
          <w:szCs w:val="32"/>
        </w:rPr>
      </w:pPr>
      <w:r>
        <w:rPr>
          <w:rFonts w:hint="eastAsia" w:ascii="楷体_GB2312" w:eastAsia="楷体_GB2312"/>
          <w:sz w:val="32"/>
          <w:szCs w:val="32"/>
        </w:rPr>
        <w:t>（一）机构设置及职责工作任务情况</w:t>
      </w:r>
    </w:p>
    <w:p>
      <w:pPr>
        <w:spacing w:line="600" w:lineRule="exact"/>
        <w:ind w:firstLine="640" w:firstLineChars="200"/>
        <w:rPr>
          <w:rFonts w:ascii="仿宋_GB2312" w:hAnsi="宋体" w:eastAsia="仿宋_GB2312" w:cs="宋体"/>
          <w:color w:val="000000"/>
          <w:kern w:val="0"/>
          <w:sz w:val="32"/>
          <w:szCs w:val="32"/>
        </w:rPr>
      </w:pPr>
      <w:r>
        <w:rPr>
          <w:rFonts w:hint="eastAsia" w:ascii="楷体_GB2312" w:eastAsia="楷体_GB2312"/>
          <w:sz w:val="32"/>
          <w:szCs w:val="32"/>
        </w:rPr>
        <w:t>（二）部门整体绩效目标设立情况（包括绩效目标设立依据、目标</w:t>
      </w:r>
      <w:r>
        <w:rPr>
          <w:rFonts w:ascii="楷体_GB2312" w:eastAsia="楷体_GB2312"/>
          <w:sz w:val="32"/>
          <w:szCs w:val="32"/>
        </w:rPr>
        <w:t>与</w:t>
      </w:r>
      <w:r>
        <w:rPr>
          <w:rFonts w:hint="eastAsia" w:ascii="楷体_GB2312" w:eastAsia="楷体_GB2312"/>
          <w:sz w:val="32"/>
          <w:szCs w:val="32"/>
        </w:rPr>
        <w:t>职责任务匹配情况、目标合理性等）。</w:t>
      </w:r>
    </w:p>
    <w:p>
      <w:pPr>
        <w:spacing w:line="600" w:lineRule="exact"/>
        <w:ind w:firstLine="640" w:firstLineChars="200"/>
        <w:rPr>
          <w:rFonts w:ascii="黑体" w:hAnsi="黑体" w:eastAsia="黑体" w:cs="宋体"/>
          <w:color w:val="000000"/>
          <w:kern w:val="0"/>
          <w:sz w:val="32"/>
          <w:szCs w:val="32"/>
        </w:rPr>
      </w:pPr>
      <w:r>
        <w:rPr>
          <w:rFonts w:hint="eastAsia" w:ascii="黑体" w:hAnsi="黑体" w:eastAsia="黑体" w:cs="宋体"/>
          <w:color w:val="000000"/>
          <w:kern w:val="0"/>
          <w:sz w:val="32"/>
          <w:szCs w:val="32"/>
        </w:rPr>
        <w:t>二</w:t>
      </w:r>
      <w:r>
        <w:rPr>
          <w:rFonts w:ascii="黑体" w:hAnsi="黑体" w:eastAsia="黑体" w:cs="宋体"/>
          <w:color w:val="000000"/>
          <w:kern w:val="0"/>
          <w:sz w:val="32"/>
          <w:szCs w:val="32"/>
        </w:rPr>
        <w:t>、</w:t>
      </w:r>
      <w:r>
        <w:rPr>
          <w:rFonts w:hint="eastAsia" w:ascii="黑体" w:hAnsi="黑体" w:eastAsia="黑体" w:cs="宋体"/>
          <w:color w:val="000000"/>
          <w:kern w:val="0"/>
          <w:sz w:val="32"/>
          <w:szCs w:val="32"/>
        </w:rPr>
        <w:t>当年</w:t>
      </w:r>
      <w:r>
        <w:rPr>
          <w:rFonts w:ascii="黑体" w:hAnsi="黑体" w:eastAsia="黑体" w:cs="宋体"/>
          <w:color w:val="000000"/>
          <w:kern w:val="0"/>
          <w:sz w:val="32"/>
          <w:szCs w:val="32"/>
        </w:rPr>
        <w:t>预算执行情况</w:t>
      </w:r>
    </w:p>
    <w:p>
      <w:pPr>
        <w:spacing w:line="600" w:lineRule="exact"/>
        <w:ind w:firstLine="640" w:firstLineChars="20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202</w:t>
      </w:r>
      <w:r>
        <w:rPr>
          <w:rFonts w:hint="eastAsia" w:ascii="仿宋_GB2312" w:hAnsi="宋体" w:eastAsia="仿宋_GB2312" w:cs="宋体"/>
          <w:color w:val="000000"/>
          <w:kern w:val="0"/>
          <w:sz w:val="32"/>
          <w:szCs w:val="32"/>
          <w:lang w:val="en-US" w:eastAsia="zh-CN"/>
        </w:rPr>
        <w:t>3</w:t>
      </w:r>
      <w:r>
        <w:rPr>
          <w:rFonts w:hint="eastAsia" w:ascii="仿宋_GB2312" w:hAnsi="宋体" w:eastAsia="仿宋_GB2312" w:cs="宋体"/>
          <w:color w:val="000000"/>
          <w:kern w:val="0"/>
          <w:sz w:val="32"/>
          <w:szCs w:val="32"/>
        </w:rPr>
        <w:t>年</w:t>
      </w:r>
      <w:r>
        <w:rPr>
          <w:rFonts w:ascii="仿宋_GB2312" w:hAnsi="宋体" w:eastAsia="仿宋_GB2312" w:cs="宋体"/>
          <w:color w:val="000000"/>
          <w:kern w:val="0"/>
          <w:sz w:val="32"/>
          <w:szCs w:val="32"/>
        </w:rPr>
        <w:t>全年</w:t>
      </w:r>
      <w:r>
        <w:rPr>
          <w:rFonts w:hint="eastAsia" w:ascii="仿宋_GB2312" w:hAnsi="宋体" w:eastAsia="仿宋_GB2312" w:cs="宋体"/>
          <w:color w:val="000000"/>
          <w:kern w:val="0"/>
          <w:sz w:val="32"/>
          <w:szCs w:val="32"/>
        </w:rPr>
        <w:t>预算数</w:t>
      </w:r>
      <w:r>
        <w:rPr>
          <w:rFonts w:ascii="仿宋_GB2312" w:hAnsi="宋体" w:eastAsia="仿宋_GB2312" w:cs="宋体"/>
          <w:color w:val="000000"/>
          <w:kern w:val="0"/>
          <w:sz w:val="32"/>
          <w:szCs w:val="32"/>
        </w:rPr>
        <w:t>xx</w:t>
      </w:r>
      <w:r>
        <w:rPr>
          <w:rFonts w:hint="eastAsia" w:ascii="仿宋_GB2312" w:hAnsi="宋体" w:eastAsia="仿宋_GB2312" w:cs="宋体"/>
          <w:color w:val="000000"/>
          <w:kern w:val="0"/>
          <w:sz w:val="32"/>
          <w:szCs w:val="32"/>
        </w:rPr>
        <w:t>万元</w:t>
      </w:r>
      <w:r>
        <w:rPr>
          <w:rFonts w:ascii="仿宋_GB2312" w:hAnsi="宋体" w:eastAsia="仿宋_GB2312" w:cs="宋体"/>
          <w:color w:val="000000"/>
          <w:kern w:val="0"/>
          <w:sz w:val="32"/>
          <w:szCs w:val="32"/>
        </w:rPr>
        <w:t>，</w:t>
      </w:r>
      <w:r>
        <w:rPr>
          <w:rFonts w:hint="eastAsia" w:ascii="仿宋_GB2312" w:hAnsi="宋体" w:eastAsia="仿宋_GB2312" w:cs="宋体"/>
          <w:color w:val="000000"/>
          <w:kern w:val="0"/>
          <w:sz w:val="32"/>
          <w:szCs w:val="32"/>
        </w:rPr>
        <w:t>其中</w:t>
      </w:r>
      <w:r>
        <w:rPr>
          <w:rFonts w:ascii="仿宋_GB2312" w:hAnsi="宋体" w:eastAsia="仿宋_GB2312" w:cs="宋体"/>
          <w:color w:val="000000"/>
          <w:kern w:val="0"/>
          <w:sz w:val="32"/>
          <w:szCs w:val="32"/>
        </w:rPr>
        <w:t>，基本</w:t>
      </w:r>
      <w:r>
        <w:rPr>
          <w:rFonts w:hint="eastAsia" w:ascii="仿宋_GB2312" w:hAnsi="宋体" w:eastAsia="仿宋_GB2312" w:cs="宋体"/>
          <w:color w:val="000000"/>
          <w:kern w:val="0"/>
          <w:sz w:val="32"/>
          <w:szCs w:val="32"/>
        </w:rPr>
        <w:t>支出</w:t>
      </w:r>
      <w:r>
        <w:rPr>
          <w:rFonts w:ascii="仿宋_GB2312" w:hAnsi="宋体" w:eastAsia="仿宋_GB2312" w:cs="宋体"/>
          <w:color w:val="000000"/>
          <w:kern w:val="0"/>
          <w:sz w:val="32"/>
          <w:szCs w:val="32"/>
        </w:rPr>
        <w:t>预算数xx万元，</w:t>
      </w:r>
      <w:r>
        <w:rPr>
          <w:rFonts w:hint="eastAsia" w:ascii="仿宋_GB2312" w:hAnsi="宋体" w:eastAsia="仿宋_GB2312" w:cs="宋体"/>
          <w:color w:val="000000"/>
          <w:kern w:val="0"/>
          <w:sz w:val="32"/>
          <w:szCs w:val="32"/>
        </w:rPr>
        <w:t>项目支出预算数</w:t>
      </w:r>
      <w:r>
        <w:rPr>
          <w:rFonts w:ascii="仿宋_GB2312" w:hAnsi="宋体" w:eastAsia="仿宋_GB2312" w:cs="宋体"/>
          <w:color w:val="000000"/>
          <w:kern w:val="0"/>
          <w:sz w:val="32"/>
          <w:szCs w:val="32"/>
        </w:rPr>
        <w:t>xx万元，其他支出</w:t>
      </w:r>
      <w:r>
        <w:rPr>
          <w:rFonts w:hint="eastAsia" w:ascii="仿宋_GB2312" w:hAnsi="宋体" w:eastAsia="仿宋_GB2312" w:cs="宋体"/>
          <w:color w:val="000000"/>
          <w:kern w:val="0"/>
          <w:sz w:val="32"/>
          <w:szCs w:val="32"/>
        </w:rPr>
        <w:t>预算数</w:t>
      </w:r>
      <w:r>
        <w:rPr>
          <w:rFonts w:ascii="仿宋_GB2312" w:hAnsi="宋体" w:eastAsia="仿宋_GB2312" w:cs="宋体"/>
          <w:color w:val="000000"/>
          <w:kern w:val="0"/>
          <w:sz w:val="32"/>
          <w:szCs w:val="32"/>
        </w:rPr>
        <w:t>xx万元</w:t>
      </w:r>
      <w:r>
        <w:rPr>
          <w:rFonts w:hint="eastAsia" w:ascii="仿宋_GB2312" w:hAnsi="宋体" w:eastAsia="仿宋_GB2312" w:cs="宋体"/>
          <w:color w:val="000000"/>
          <w:kern w:val="0"/>
          <w:sz w:val="32"/>
          <w:szCs w:val="32"/>
        </w:rPr>
        <w:t>。</w:t>
      </w:r>
      <w:r>
        <w:rPr>
          <w:rFonts w:ascii="仿宋_GB2312" w:hAnsi="宋体" w:eastAsia="仿宋_GB2312" w:cs="宋体"/>
          <w:color w:val="000000"/>
          <w:kern w:val="0"/>
          <w:sz w:val="32"/>
          <w:szCs w:val="32"/>
        </w:rPr>
        <w:t>资金总体</w:t>
      </w:r>
      <w:r>
        <w:rPr>
          <w:rFonts w:hint="eastAsia" w:ascii="仿宋_GB2312" w:hAnsi="宋体" w:eastAsia="仿宋_GB2312" w:cs="宋体"/>
          <w:color w:val="000000"/>
          <w:kern w:val="0"/>
          <w:sz w:val="32"/>
          <w:szCs w:val="32"/>
        </w:rPr>
        <w:t>支出xx</w:t>
      </w:r>
      <w:r>
        <w:rPr>
          <w:rFonts w:ascii="仿宋_GB2312" w:hAnsi="宋体" w:eastAsia="仿宋_GB2312" w:cs="宋体"/>
          <w:color w:val="000000"/>
          <w:kern w:val="0"/>
          <w:sz w:val="32"/>
          <w:szCs w:val="32"/>
        </w:rPr>
        <w:t>万元，其中，基本支出xx万元，项目</w:t>
      </w:r>
      <w:r>
        <w:rPr>
          <w:rFonts w:hint="eastAsia" w:ascii="仿宋_GB2312" w:hAnsi="宋体" w:eastAsia="仿宋_GB2312" w:cs="宋体"/>
          <w:color w:val="000000"/>
          <w:kern w:val="0"/>
          <w:sz w:val="32"/>
          <w:szCs w:val="32"/>
        </w:rPr>
        <w:t>支出</w:t>
      </w:r>
      <w:r>
        <w:rPr>
          <w:rFonts w:ascii="仿宋_GB2312" w:hAnsi="宋体" w:eastAsia="仿宋_GB2312" w:cs="宋体"/>
          <w:color w:val="000000"/>
          <w:kern w:val="0"/>
          <w:sz w:val="32"/>
          <w:szCs w:val="32"/>
        </w:rPr>
        <w:t>xx万元，其他支出xx万元。</w:t>
      </w:r>
      <w:r>
        <w:rPr>
          <w:rFonts w:hint="eastAsia" w:ascii="仿宋_GB2312" w:hAnsi="宋体" w:eastAsia="仿宋_GB2312" w:cs="宋体"/>
          <w:color w:val="000000"/>
          <w:kern w:val="0"/>
          <w:sz w:val="32"/>
          <w:szCs w:val="32"/>
        </w:rPr>
        <w:t>预算</w:t>
      </w:r>
      <w:r>
        <w:rPr>
          <w:rFonts w:ascii="仿宋_GB2312" w:hAnsi="宋体" w:eastAsia="仿宋_GB2312" w:cs="宋体"/>
          <w:color w:val="000000"/>
          <w:kern w:val="0"/>
          <w:sz w:val="32"/>
          <w:szCs w:val="32"/>
        </w:rPr>
        <w:t>执行率为xx</w:t>
      </w:r>
      <w:r>
        <w:rPr>
          <w:rFonts w:hint="eastAsia" w:ascii="仿宋_GB2312" w:hAnsi="宋体" w:eastAsia="仿宋_GB2312" w:cs="宋体"/>
          <w:color w:val="000000"/>
          <w:kern w:val="0"/>
          <w:sz w:val="32"/>
          <w:szCs w:val="32"/>
        </w:rPr>
        <w:t>。</w:t>
      </w:r>
    </w:p>
    <w:p>
      <w:pPr>
        <w:spacing w:line="600" w:lineRule="exact"/>
        <w:ind w:left="105" w:leftChars="50" w:firstLine="480" w:firstLineChars="150"/>
        <w:rPr>
          <w:rFonts w:ascii="黑体" w:hAnsi="黑体" w:eastAsia="黑体" w:cs="宋体"/>
          <w:color w:val="000000"/>
          <w:kern w:val="0"/>
          <w:sz w:val="32"/>
          <w:szCs w:val="32"/>
        </w:rPr>
      </w:pPr>
      <w:r>
        <w:rPr>
          <w:rFonts w:hint="eastAsia" w:ascii="黑体" w:hAnsi="黑体" w:eastAsia="黑体" w:cs="宋体"/>
          <w:color w:val="000000"/>
          <w:kern w:val="0"/>
          <w:sz w:val="32"/>
          <w:szCs w:val="32"/>
        </w:rPr>
        <w:t>三</w:t>
      </w:r>
      <w:r>
        <w:rPr>
          <w:rFonts w:ascii="黑体" w:hAnsi="黑体" w:eastAsia="黑体" w:cs="宋体"/>
          <w:color w:val="000000"/>
          <w:kern w:val="0"/>
          <w:sz w:val="32"/>
          <w:szCs w:val="32"/>
        </w:rPr>
        <w:t>、整体绩效目标实现情况</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（一）产出完成情况分析</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1.产出数量</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2.产出</w:t>
      </w:r>
      <w:r>
        <w:rPr>
          <w:rFonts w:ascii="仿宋_GB2312" w:hAnsi="宋体" w:eastAsia="仿宋_GB2312" w:cs="宋体"/>
          <w:color w:val="000000"/>
          <w:kern w:val="0"/>
          <w:sz w:val="32"/>
          <w:szCs w:val="32"/>
        </w:rPr>
        <w:t>质量</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3.产出</w:t>
      </w:r>
      <w:r>
        <w:rPr>
          <w:rFonts w:ascii="仿宋_GB2312" w:hAnsi="宋体" w:eastAsia="仿宋_GB2312" w:cs="宋体"/>
          <w:color w:val="000000"/>
          <w:kern w:val="0"/>
          <w:sz w:val="32"/>
          <w:szCs w:val="32"/>
        </w:rPr>
        <w:t>进度</w:t>
      </w:r>
    </w:p>
    <w:p>
      <w:pPr>
        <w:spacing w:line="600" w:lineRule="exact"/>
        <w:ind w:left="105" w:leftChars="50" w:firstLine="480" w:firstLineChars="150"/>
        <w:rPr>
          <w:rFonts w:ascii="仿宋_GB2312" w:hAnsi="宋体" w:eastAsia="仿宋_GB2312" w:cs="宋体"/>
          <w:color w:val="000000"/>
          <w:kern w:val="0"/>
          <w:sz w:val="32"/>
          <w:szCs w:val="32"/>
        </w:rPr>
      </w:pPr>
      <w:r>
        <w:rPr>
          <w:rFonts w:ascii="仿宋_GB2312" w:hAnsi="宋体" w:eastAsia="仿宋_GB2312" w:cs="宋体"/>
          <w:color w:val="000000"/>
          <w:kern w:val="0"/>
          <w:sz w:val="32"/>
          <w:szCs w:val="32"/>
        </w:rPr>
        <w:t>4.</w:t>
      </w:r>
      <w:r>
        <w:rPr>
          <w:rFonts w:hint="eastAsia" w:ascii="仿宋_GB2312" w:hAnsi="宋体" w:eastAsia="仿宋_GB2312" w:cs="宋体"/>
          <w:color w:val="000000"/>
          <w:kern w:val="0"/>
          <w:sz w:val="32"/>
          <w:szCs w:val="32"/>
        </w:rPr>
        <w:t>产出</w:t>
      </w:r>
      <w:r>
        <w:rPr>
          <w:rFonts w:ascii="仿宋_GB2312" w:hAnsi="宋体" w:eastAsia="仿宋_GB2312" w:cs="宋体"/>
          <w:color w:val="000000"/>
          <w:kern w:val="0"/>
          <w:sz w:val="32"/>
          <w:szCs w:val="32"/>
        </w:rPr>
        <w:t>成本</w:t>
      </w:r>
      <w:r>
        <w:rPr>
          <w:rFonts w:hint="eastAsia" w:ascii="仿宋_GB2312" w:hAnsi="宋体" w:eastAsia="仿宋_GB2312" w:cs="宋体"/>
          <w:color w:val="000000"/>
          <w:kern w:val="0"/>
          <w:sz w:val="32"/>
          <w:szCs w:val="32"/>
        </w:rPr>
        <w:t xml:space="preserve">                                     </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（二）效果</w:t>
      </w:r>
      <w:r>
        <w:rPr>
          <w:rFonts w:ascii="楷体_GB2312" w:eastAsia="楷体_GB2312"/>
          <w:sz w:val="32"/>
          <w:szCs w:val="32"/>
        </w:rPr>
        <w:t>实现情况分析</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1.经济</w:t>
      </w:r>
      <w:r>
        <w:rPr>
          <w:rFonts w:ascii="仿宋_GB2312" w:hAnsi="宋体" w:eastAsia="仿宋_GB2312" w:cs="宋体"/>
          <w:color w:val="000000"/>
          <w:kern w:val="0"/>
          <w:sz w:val="32"/>
          <w:szCs w:val="32"/>
        </w:rPr>
        <w:t>效益</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2.社会效益</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3.环境效益</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4.可持续</w:t>
      </w:r>
      <w:r>
        <w:rPr>
          <w:rFonts w:ascii="仿宋_GB2312" w:hAnsi="宋体" w:eastAsia="仿宋_GB2312" w:cs="宋体"/>
          <w:color w:val="000000"/>
          <w:kern w:val="0"/>
          <w:sz w:val="32"/>
          <w:szCs w:val="32"/>
        </w:rPr>
        <w:t>性影响</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5.服务对象</w:t>
      </w:r>
      <w:r>
        <w:rPr>
          <w:rFonts w:ascii="仿宋_GB2312" w:hAnsi="宋体" w:eastAsia="仿宋_GB2312" w:cs="宋体"/>
          <w:color w:val="000000"/>
          <w:kern w:val="0"/>
          <w:sz w:val="32"/>
          <w:szCs w:val="32"/>
        </w:rPr>
        <w:t>满意度</w:t>
      </w:r>
    </w:p>
    <w:p>
      <w:pPr>
        <w:spacing w:line="600" w:lineRule="exact"/>
        <w:ind w:left="105" w:leftChars="50" w:firstLine="480" w:firstLineChars="150"/>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四</w:t>
      </w:r>
      <w:r>
        <w:rPr>
          <w:rFonts w:ascii="黑体" w:hAnsi="黑体" w:eastAsia="黑体" w:cs="宋体"/>
          <w:color w:val="000000"/>
          <w:kern w:val="0"/>
          <w:sz w:val="32"/>
          <w:szCs w:val="32"/>
        </w:rPr>
        <w:t>、预算管理</w:t>
      </w:r>
      <w:r>
        <w:rPr>
          <w:rFonts w:hint="eastAsia" w:ascii="黑体" w:hAnsi="黑体" w:eastAsia="黑体" w:cs="宋体"/>
          <w:color w:val="000000"/>
          <w:kern w:val="0"/>
          <w:sz w:val="32"/>
          <w:szCs w:val="32"/>
        </w:rPr>
        <w:t>情况分</w:t>
      </w:r>
      <w:r>
        <w:rPr>
          <w:rFonts w:ascii="黑体" w:hAnsi="黑体" w:eastAsia="黑体" w:cs="宋体"/>
          <w:color w:val="000000"/>
          <w:kern w:val="0"/>
          <w:sz w:val="32"/>
          <w:szCs w:val="32"/>
        </w:rPr>
        <w:t>析</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（一）财务管理</w:t>
      </w:r>
    </w:p>
    <w:p>
      <w:pPr>
        <w:spacing w:line="600" w:lineRule="exact"/>
        <w:ind w:left="105" w:leftChars="50" w:firstLine="480" w:firstLineChars="150"/>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1.财务</w:t>
      </w:r>
      <w:r>
        <w:rPr>
          <w:rFonts w:ascii="仿宋_GB2312" w:hAnsi="宋体" w:eastAsia="仿宋_GB2312" w:cs="宋体"/>
          <w:color w:val="000000"/>
          <w:kern w:val="0"/>
          <w:sz w:val="32"/>
          <w:szCs w:val="32"/>
        </w:rPr>
        <w:t>管理制度健全性</w:t>
      </w:r>
    </w:p>
    <w:p>
      <w:pPr>
        <w:spacing w:line="600" w:lineRule="exact"/>
        <w:ind w:left="105" w:leftChars="50" w:firstLine="480" w:firstLineChars="150"/>
        <w:rPr>
          <w:rFonts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2.资金使用合规性</w:t>
      </w:r>
      <w:r>
        <w:rPr>
          <w:rFonts w:ascii="仿宋_GB2312" w:hAnsi="宋体" w:eastAsia="仿宋_GB2312" w:cs="宋体"/>
          <w:color w:val="000000"/>
          <w:kern w:val="0"/>
          <w:sz w:val="32"/>
          <w:szCs w:val="32"/>
        </w:rPr>
        <w:t>和安全性</w:t>
      </w:r>
    </w:p>
    <w:p>
      <w:pPr>
        <w:spacing w:line="600" w:lineRule="exact"/>
        <w:ind w:left="105" w:leftChars="50" w:firstLine="480" w:firstLineChars="150"/>
        <w:rPr>
          <w:rFonts w:ascii="仿宋_GB2312" w:hAnsi="宋体" w:eastAsia="仿宋_GB2312" w:cs="宋体"/>
          <w:color w:val="000000"/>
          <w:kern w:val="0"/>
          <w:sz w:val="32"/>
          <w:szCs w:val="32"/>
        </w:rPr>
      </w:pPr>
      <w:r>
        <w:rPr>
          <w:rFonts w:ascii="仿宋_GB2312" w:hAnsi="宋体" w:eastAsia="仿宋_GB2312" w:cs="宋体"/>
          <w:color w:val="000000"/>
          <w:kern w:val="0"/>
          <w:sz w:val="32"/>
          <w:szCs w:val="32"/>
        </w:rPr>
        <w:t>3.</w:t>
      </w:r>
      <w:r>
        <w:rPr>
          <w:rFonts w:hint="eastAsia" w:ascii="仿宋_GB2312" w:hAnsi="宋体" w:eastAsia="仿宋_GB2312" w:cs="宋体"/>
          <w:color w:val="000000"/>
          <w:kern w:val="0"/>
          <w:sz w:val="32"/>
          <w:szCs w:val="32"/>
        </w:rPr>
        <w:t>会计</w:t>
      </w:r>
      <w:r>
        <w:rPr>
          <w:rFonts w:ascii="仿宋_GB2312" w:hAnsi="宋体" w:eastAsia="仿宋_GB2312" w:cs="宋体"/>
          <w:color w:val="000000"/>
          <w:kern w:val="0"/>
          <w:sz w:val="32"/>
          <w:szCs w:val="32"/>
        </w:rPr>
        <w:t>基础信息完善性</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（二）资产管理</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（三）绩效</w:t>
      </w:r>
      <w:r>
        <w:rPr>
          <w:rFonts w:ascii="楷体_GB2312" w:eastAsia="楷体_GB2312"/>
          <w:sz w:val="32"/>
          <w:szCs w:val="32"/>
        </w:rPr>
        <w:t>管理</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（四）结转结余率</w:t>
      </w:r>
    </w:p>
    <w:p>
      <w:pPr>
        <w:spacing w:line="600" w:lineRule="exact"/>
        <w:ind w:left="105" w:leftChars="50" w:firstLine="480" w:firstLineChars="150"/>
        <w:rPr>
          <w:rFonts w:ascii="楷体_GB2312" w:eastAsia="楷体_GB2312"/>
          <w:sz w:val="32"/>
          <w:szCs w:val="32"/>
        </w:rPr>
      </w:pPr>
      <w:r>
        <w:rPr>
          <w:rFonts w:hint="eastAsia" w:ascii="楷体_GB2312" w:eastAsia="楷体_GB2312"/>
          <w:sz w:val="32"/>
          <w:szCs w:val="32"/>
        </w:rPr>
        <w:t>（五）部门</w:t>
      </w:r>
      <w:r>
        <w:rPr>
          <w:rFonts w:ascii="楷体_GB2312" w:eastAsia="楷体_GB2312"/>
          <w:sz w:val="32"/>
          <w:szCs w:val="32"/>
        </w:rPr>
        <w:t>预决算差异率</w:t>
      </w:r>
    </w:p>
    <w:p>
      <w:pPr>
        <w:spacing w:line="600" w:lineRule="exact"/>
        <w:ind w:left="105" w:leftChars="50" w:firstLine="480" w:firstLineChars="150"/>
        <w:rPr>
          <w:rFonts w:ascii="黑体" w:hAnsi="黑体" w:eastAsia="黑体"/>
          <w:sz w:val="32"/>
          <w:szCs w:val="32"/>
        </w:rPr>
      </w:pPr>
      <w:r>
        <w:rPr>
          <w:rFonts w:hint="eastAsia" w:ascii="黑体" w:hAnsi="黑体" w:eastAsia="黑体"/>
          <w:sz w:val="32"/>
          <w:szCs w:val="32"/>
        </w:rPr>
        <w:t>五、总体</w:t>
      </w:r>
      <w:r>
        <w:rPr>
          <w:rFonts w:ascii="黑体" w:hAnsi="黑体" w:eastAsia="黑体"/>
          <w:sz w:val="32"/>
          <w:szCs w:val="32"/>
        </w:rPr>
        <w:t>评价结论</w:t>
      </w:r>
    </w:p>
    <w:p>
      <w:pPr>
        <w:spacing w:line="600" w:lineRule="exact"/>
        <w:ind w:left="105" w:leftChars="50" w:firstLine="480" w:firstLineChars="150"/>
        <w:rPr>
          <w:rFonts w:hint="eastAsia" w:ascii="楷体_GB2312" w:eastAsia="楷体_GB2312"/>
          <w:sz w:val="32"/>
          <w:szCs w:val="32"/>
        </w:rPr>
      </w:pPr>
      <w:r>
        <w:rPr>
          <w:rFonts w:hint="eastAsia" w:ascii="楷体_GB2312" w:eastAsia="楷体_GB2312"/>
          <w:sz w:val="32"/>
          <w:szCs w:val="32"/>
        </w:rPr>
        <w:t>（一）评价</w:t>
      </w:r>
      <w:r>
        <w:rPr>
          <w:rFonts w:ascii="楷体_GB2312" w:eastAsia="楷体_GB2312"/>
          <w:sz w:val="32"/>
          <w:szCs w:val="32"/>
        </w:rPr>
        <w:t>得分</w:t>
      </w:r>
      <w:r>
        <w:rPr>
          <w:rFonts w:hint="eastAsia" w:ascii="楷体_GB2312" w:eastAsia="楷体_GB2312"/>
          <w:sz w:val="32"/>
          <w:szCs w:val="32"/>
        </w:rPr>
        <w:t>情况</w:t>
      </w:r>
    </w:p>
    <w:p>
      <w:pPr>
        <w:spacing w:line="600" w:lineRule="exact"/>
        <w:ind w:left="105" w:leftChars="50" w:firstLine="480" w:firstLineChars="150"/>
        <w:rPr>
          <w:rFonts w:hint="eastAsia" w:ascii="楷体_GB2312" w:eastAsia="楷体_GB2312"/>
          <w:sz w:val="32"/>
          <w:szCs w:val="32"/>
        </w:rPr>
      </w:pPr>
      <w:r>
        <w:rPr>
          <w:rFonts w:hint="eastAsia" w:ascii="楷体_GB2312" w:eastAsia="楷体_GB2312"/>
          <w:sz w:val="32"/>
          <w:szCs w:val="32"/>
        </w:rPr>
        <w:t>（二）存在的问题及原因分析</w:t>
      </w:r>
    </w:p>
    <w:p>
      <w:pPr>
        <w:spacing w:line="600" w:lineRule="exact"/>
        <w:ind w:firstLine="640" w:firstLineChars="200"/>
        <w:rPr>
          <w:rFonts w:hint="eastAsia" w:ascii="仿宋_GB2312" w:hAnsi="宋体" w:eastAsia="仿宋_GB2312" w:cs="宋体"/>
          <w:color w:val="000000"/>
          <w:kern w:val="0"/>
          <w:sz w:val="32"/>
          <w:szCs w:val="32"/>
        </w:rPr>
      </w:pPr>
      <w:r>
        <w:rPr>
          <w:rFonts w:hint="eastAsia" w:ascii="黑体" w:hAnsi="黑体" w:eastAsia="黑体" w:cs="宋体"/>
          <w:color w:val="000000"/>
          <w:kern w:val="0"/>
          <w:sz w:val="32"/>
          <w:szCs w:val="32"/>
        </w:rPr>
        <w:t>六、措施建议</w:t>
      </w:r>
      <w:r>
        <w:rPr>
          <w:rFonts w:hint="eastAsia" w:ascii="仿宋_GB2312" w:hAnsi="宋体" w:eastAsia="仿宋_GB2312" w:cs="宋体"/>
          <w:color w:val="000000"/>
          <w:kern w:val="0"/>
          <w:sz w:val="32"/>
          <w:szCs w:val="32"/>
        </w:rPr>
        <w:t>（整改措施、下一步工作举措）</w:t>
      </w:r>
    </w:p>
    <w:p>
      <w:pPr>
        <w:spacing w:line="600" w:lineRule="exact"/>
        <w:ind w:firstLine="640" w:firstLineChars="200"/>
        <w:rPr>
          <w:rFonts w:hint="eastAsia" w:ascii="仿宋_GB2312" w:hAnsi="宋体" w:eastAsia="仿宋_GB2312" w:cs="宋体"/>
          <w:color w:val="000000"/>
          <w:kern w:val="0"/>
          <w:sz w:val="32"/>
          <w:szCs w:val="32"/>
        </w:rPr>
      </w:pPr>
    </w:p>
    <w:p>
      <w:pPr>
        <w:spacing w:line="480" w:lineRule="exact"/>
        <w:rPr>
          <w:rFonts w:hint="eastAsia" w:ascii="仿宋_GB2312" w:hAnsi="仿宋_GB2312" w:eastAsia="仿宋_GB2312" w:cs="仿宋_GB2312"/>
          <w:sz w:val="32"/>
          <w:szCs w:val="32"/>
        </w:rPr>
      </w:pPr>
    </w:p>
    <w:p>
      <w:pPr>
        <w:pStyle w:val="2"/>
        <w:rPr>
          <w:rFonts w:hint="eastAsia" w:ascii="仿宋_GB2312" w:hAnsi="仿宋_GB2312" w:eastAsia="仿宋_GB2312" w:cs="仿宋_GB2312"/>
          <w:sz w:val="32"/>
          <w:szCs w:val="32"/>
        </w:rPr>
      </w:pPr>
    </w:p>
    <w:p>
      <w:pPr>
        <w:pStyle w:val="2"/>
        <w:rPr>
          <w:rFonts w:hint="eastAsia" w:ascii="仿宋_GB2312" w:hAnsi="仿宋_GB2312" w:eastAsia="仿宋_GB2312" w:cs="仿宋_GB2312"/>
          <w:sz w:val="32"/>
          <w:szCs w:val="32"/>
        </w:rPr>
      </w:pPr>
    </w:p>
    <w:p>
      <w:pPr>
        <w:pStyle w:val="2"/>
        <w:rPr>
          <w:rFonts w:hint="eastAsia" w:ascii="仿宋_GB2312" w:hAnsi="仿宋_GB2312" w:eastAsia="仿宋_GB2312" w:cs="仿宋_GB2312"/>
          <w:sz w:val="32"/>
          <w:szCs w:val="32"/>
        </w:rPr>
      </w:pPr>
    </w:p>
    <w:p>
      <w:pPr>
        <w:pStyle w:val="2"/>
        <w:rPr>
          <w:rFonts w:hint="eastAsia" w:ascii="仿宋_GB2312" w:hAnsi="仿宋_GB2312" w:eastAsia="仿宋_GB2312" w:cs="仿宋_GB2312"/>
          <w:sz w:val="32"/>
          <w:szCs w:val="32"/>
        </w:rPr>
      </w:pPr>
    </w:p>
    <w:p>
      <w:pPr>
        <w:pStyle w:val="2"/>
        <w:rPr>
          <w:rFonts w:hint="eastAsia" w:ascii="仿宋_GB2312" w:hAnsi="仿宋_GB2312" w:eastAsia="仿宋_GB2312" w:cs="仿宋_GB2312"/>
          <w:sz w:val="32"/>
          <w:szCs w:val="32"/>
        </w:rPr>
      </w:pPr>
    </w:p>
    <w:p>
      <w:pPr>
        <w:pStyle w:val="2"/>
        <w:ind w:firstLine="420"/>
        <w:rPr>
          <w:rFonts w:hint="eastAsia"/>
        </w:rPr>
      </w:pPr>
    </w:p>
    <w:p>
      <w:pPr>
        <w:pStyle w:val="2"/>
        <w:ind w:firstLine="0" w:firstLineChars="0"/>
        <w:rPr>
          <w:rFonts w:hint="eastAsia" w:ascii="黑体" w:eastAsia="黑体"/>
          <w:sz w:val="32"/>
          <w:szCs w:val="32"/>
        </w:rPr>
      </w:pPr>
    </w:p>
    <w:tbl>
      <w:tblPr>
        <w:tblStyle w:val="11"/>
        <w:tblW w:w="5000" w:type="pct"/>
        <w:tblInd w:w="0" w:type="dxa"/>
        <w:tblLayout w:type="autofit"/>
        <w:tblCellMar>
          <w:top w:w="0" w:type="dxa"/>
          <w:left w:w="108" w:type="dxa"/>
          <w:bottom w:w="0" w:type="dxa"/>
          <w:right w:w="108" w:type="dxa"/>
        </w:tblCellMar>
      </w:tblPr>
      <w:tblGrid>
        <w:gridCol w:w="1041"/>
        <w:gridCol w:w="1079"/>
        <w:gridCol w:w="692"/>
        <w:gridCol w:w="698"/>
        <w:gridCol w:w="1011"/>
        <w:gridCol w:w="686"/>
        <w:gridCol w:w="686"/>
        <w:gridCol w:w="4397"/>
        <w:gridCol w:w="4496"/>
      </w:tblGrid>
      <w:tr>
        <w:tblPrEx>
          <w:tblCellMar>
            <w:top w:w="0" w:type="dxa"/>
            <w:left w:w="108" w:type="dxa"/>
            <w:bottom w:w="0" w:type="dxa"/>
            <w:right w:w="108" w:type="dxa"/>
          </w:tblCellMar>
        </w:tblPrEx>
        <w:trPr>
          <w:trHeight w:val="499" w:hRule="atLeast"/>
        </w:trPr>
        <w:tc>
          <w:tcPr>
            <w:tcW w:w="5000" w:type="pct"/>
            <w:gridSpan w:val="9"/>
            <w:tcBorders>
              <w:top w:val="nil"/>
              <w:left w:val="nil"/>
              <w:bottom w:val="single" w:color="auto" w:sz="4" w:space="0"/>
              <w:right w:val="nil"/>
            </w:tcBorders>
            <w:noWrap/>
            <w:vAlign w:val="bottom"/>
          </w:tcPr>
          <w:p>
            <w:pPr>
              <w:widowControl/>
              <w:jc w:val="center"/>
              <w:rPr>
                <w:rFonts w:hint="eastAsia" w:ascii="方正小标宋简体" w:hAnsi="黑体" w:eastAsia="方正小标宋简体" w:cs="宋体"/>
                <w:color w:val="000000"/>
                <w:kern w:val="0"/>
                <w:sz w:val="44"/>
                <w:szCs w:val="44"/>
              </w:rPr>
            </w:pPr>
            <w:r>
              <w:rPr>
                <w:rFonts w:hint="eastAsia" w:ascii="方正小标宋简体" w:hAnsi="黑体" w:eastAsia="方正小标宋简体" w:cs="宋体"/>
                <w:color w:val="000000"/>
                <w:kern w:val="0"/>
                <w:sz w:val="44"/>
                <w:szCs w:val="44"/>
              </w:rPr>
              <w:t>202</w:t>
            </w:r>
            <w:r>
              <w:rPr>
                <w:rFonts w:hint="eastAsia" w:ascii="方正小标宋简体" w:hAnsi="黑体" w:eastAsia="方正小标宋简体" w:cs="宋体"/>
                <w:color w:val="000000"/>
                <w:kern w:val="0"/>
                <w:sz w:val="44"/>
                <w:szCs w:val="44"/>
                <w:lang w:val="en-US" w:eastAsia="zh-CN"/>
              </w:rPr>
              <w:t>3</w:t>
            </w:r>
            <w:r>
              <w:rPr>
                <w:rFonts w:hint="eastAsia" w:ascii="方正小标宋简体" w:hAnsi="黑体" w:eastAsia="方正小标宋简体" w:cs="宋体"/>
                <w:color w:val="000000"/>
                <w:kern w:val="0"/>
                <w:sz w:val="44"/>
                <w:szCs w:val="44"/>
              </w:rPr>
              <w:t>年部门整体绩效评价指标体系评分表</w:t>
            </w:r>
          </w:p>
        </w:tc>
      </w:tr>
      <w:tr>
        <w:tblPrEx>
          <w:tblCellMar>
            <w:top w:w="0" w:type="dxa"/>
            <w:left w:w="108" w:type="dxa"/>
            <w:bottom w:w="0" w:type="dxa"/>
            <w:right w:w="108" w:type="dxa"/>
          </w:tblCellMar>
        </w:tblPrEx>
        <w:trPr>
          <w:trHeight w:val="470" w:hRule="atLeast"/>
        </w:trPr>
        <w:tc>
          <w:tcPr>
            <w:tcW w:w="5000" w:type="pct"/>
            <w:gridSpan w:val="9"/>
            <w:tcBorders>
              <w:top w:val="single" w:color="auto" w:sz="4" w:space="0"/>
              <w:left w:val="single" w:color="auto" w:sz="4" w:space="0"/>
              <w:bottom w:val="single" w:color="000000"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一、</w:t>
            </w:r>
            <w:r>
              <w:rPr>
                <w:rFonts w:hint="eastAsia" w:ascii="宋体" w:hAnsi="宋体" w:cs="宋体"/>
                <w:color w:val="000000"/>
                <w:kern w:val="0"/>
                <w:sz w:val="20"/>
                <w:szCs w:val="20"/>
              </w:rPr>
              <w:t>当年预算执行情况（20分）</w:t>
            </w:r>
          </w:p>
        </w:tc>
      </w:tr>
      <w:tr>
        <w:tblPrEx>
          <w:tblCellMar>
            <w:top w:w="0" w:type="dxa"/>
            <w:left w:w="108" w:type="dxa"/>
            <w:bottom w:w="0" w:type="dxa"/>
            <w:right w:w="108" w:type="dxa"/>
          </w:tblCellMar>
        </w:tblPrEx>
        <w:trPr>
          <w:trHeight w:val="660" w:hRule="atLeast"/>
        </w:trPr>
        <w:tc>
          <w:tcPr>
            <w:tcW w:w="3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一</w:t>
            </w:r>
            <w:r>
              <w:rPr>
                <w:rFonts w:ascii="宋体" w:hAnsi="宋体" w:cs="宋体"/>
                <w:color w:val="000000"/>
                <w:kern w:val="0"/>
                <w:sz w:val="20"/>
                <w:szCs w:val="20"/>
              </w:rPr>
              <w:t>级指标</w:t>
            </w:r>
            <w:r>
              <w:rPr>
                <w:rFonts w:hint="eastAsia" w:ascii="宋体" w:hAnsi="宋体" w:cs="宋体"/>
                <w:color w:val="000000"/>
                <w:kern w:val="0"/>
                <w:sz w:val="20"/>
                <w:szCs w:val="20"/>
              </w:rPr>
              <w:t>　</w:t>
            </w:r>
          </w:p>
        </w:tc>
        <w:tc>
          <w:tcPr>
            <w:tcW w:w="365"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二</w:t>
            </w:r>
            <w:r>
              <w:rPr>
                <w:rFonts w:ascii="宋体" w:hAnsi="宋体" w:cs="宋体"/>
                <w:color w:val="000000"/>
                <w:kern w:val="0"/>
                <w:sz w:val="20"/>
                <w:szCs w:val="20"/>
              </w:rPr>
              <w:t>级指标</w:t>
            </w:r>
            <w:r>
              <w:rPr>
                <w:rFonts w:hint="eastAsia" w:ascii="宋体" w:hAnsi="宋体" w:cs="宋体"/>
                <w:color w:val="000000"/>
                <w:kern w:val="0"/>
                <w:sz w:val="20"/>
                <w:szCs w:val="20"/>
              </w:rPr>
              <w:t>　</w:t>
            </w:r>
          </w:p>
        </w:tc>
        <w:tc>
          <w:tcPr>
            <w:tcW w:w="23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预算数（万元）</w:t>
            </w:r>
          </w:p>
        </w:tc>
        <w:tc>
          <w:tcPr>
            <w:tcW w:w="236"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执行数（万元）</w:t>
            </w:r>
          </w:p>
        </w:tc>
        <w:tc>
          <w:tcPr>
            <w:tcW w:w="34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预算执行率</w:t>
            </w:r>
          </w:p>
        </w:tc>
        <w:tc>
          <w:tcPr>
            <w:tcW w:w="23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分值</w:t>
            </w:r>
          </w:p>
        </w:tc>
        <w:tc>
          <w:tcPr>
            <w:tcW w:w="23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得分</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指标解释</w:t>
            </w:r>
          </w:p>
        </w:tc>
        <w:tc>
          <w:tcPr>
            <w:tcW w:w="1518"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评分标准</w:t>
            </w:r>
          </w:p>
        </w:tc>
      </w:tr>
      <w:tr>
        <w:tblPrEx>
          <w:tblCellMar>
            <w:top w:w="0" w:type="dxa"/>
            <w:left w:w="108" w:type="dxa"/>
            <w:bottom w:w="0" w:type="dxa"/>
            <w:right w:w="108" w:type="dxa"/>
          </w:tblCellMar>
        </w:tblPrEx>
        <w:trPr>
          <w:trHeight w:val="630" w:hRule="atLeast"/>
        </w:trPr>
        <w:tc>
          <w:tcPr>
            <w:tcW w:w="352" w:type="pct"/>
            <w:vMerge w:val="restart"/>
            <w:tcBorders>
              <w:top w:val="nil"/>
              <w:left w:val="single" w:color="auto" w:sz="4" w:space="0"/>
              <w:bottom w:val="single" w:color="000000"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当年预算执行情况（20）</w:t>
            </w:r>
          </w:p>
        </w:tc>
        <w:tc>
          <w:tcPr>
            <w:tcW w:w="365"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资金总体</w:t>
            </w:r>
          </w:p>
        </w:tc>
        <w:tc>
          <w:tcPr>
            <w:tcW w:w="23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6"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restar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20</w:t>
            </w:r>
          </w:p>
        </w:tc>
        <w:tc>
          <w:tcPr>
            <w:tcW w:w="232" w:type="pct"/>
            <w:vMerge w:val="restart"/>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部门全年执行数与全年预算数的比率。资金总体=基本支出+项目支出+其他</w:t>
            </w:r>
          </w:p>
        </w:tc>
        <w:tc>
          <w:tcPr>
            <w:tcW w:w="1518" w:type="pct"/>
            <w:vMerge w:val="restar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eastAsia="宋体" w:cs="宋体"/>
                <w:color w:val="000000"/>
                <w:kern w:val="0"/>
                <w:sz w:val="18"/>
                <w:szCs w:val="18"/>
                <w:lang w:eastAsia="zh-CN"/>
              </w:rPr>
            </w:pPr>
            <w:r>
              <w:rPr>
                <w:rFonts w:hint="eastAsia" w:ascii="宋体" w:hAnsi="宋体" w:cs="宋体"/>
                <w:color w:val="000000"/>
                <w:kern w:val="0"/>
                <w:sz w:val="18"/>
                <w:szCs w:val="18"/>
              </w:rPr>
              <w:t>①得分一档最高不能超过该指标分值上限（20分）。</w:t>
            </w:r>
          </w:p>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②该指标若为正向指标，则得分计算方法应用全年实际值（B）/年度指标值（A）*该指标分值；若定量指标为反向指标，则得分计算方法应用年度指标值（A）/全年实际值（B）*该指标分值。若年初指标值设定偏低，则得分计算方法应用（全年实际值（B）—年度指标值（A））/年度指标值（A）*100%。若计算结果在200%-300%（含200%）区间，则按照该指标分值的10%扣分；计算结果在300%-500%（含300%）区间，则按照该指标分值的20%扣分；计算结果高于500%（含500%），则按照该指标分值的30%扣分。</w:t>
            </w:r>
          </w:p>
        </w:tc>
      </w:tr>
      <w:tr>
        <w:tblPrEx>
          <w:tblCellMar>
            <w:top w:w="0" w:type="dxa"/>
            <w:left w:w="108" w:type="dxa"/>
            <w:bottom w:w="0" w:type="dxa"/>
            <w:right w:w="108" w:type="dxa"/>
          </w:tblCellMar>
        </w:tblPrEx>
        <w:trPr>
          <w:trHeight w:val="60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single" w:color="auto" w:sz="4" w:space="0"/>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基本支出</w:t>
            </w:r>
          </w:p>
        </w:tc>
        <w:tc>
          <w:tcPr>
            <w:tcW w:w="23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w:t>
            </w:r>
          </w:p>
        </w:tc>
        <w:tc>
          <w:tcPr>
            <w:tcW w:w="232"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vMerge w:val="continue"/>
            <w:tcBorders>
              <w:top w:val="single" w:color="auto" w:sz="4" w:space="0"/>
              <w:left w:val="nil"/>
              <w:bottom w:val="single" w:color="auto" w:sz="4" w:space="0"/>
              <w:right w:val="nil"/>
            </w:tcBorders>
            <w:noWrap w:val="0"/>
            <w:vAlign w:val="center"/>
          </w:tcPr>
          <w:p>
            <w:pPr>
              <w:widowControl/>
              <w:jc w:val="left"/>
              <w:rPr>
                <w:rFonts w:ascii="宋体" w:hAnsi="宋体" w:cs="宋体"/>
                <w:color w:val="000000"/>
                <w:kern w:val="0"/>
                <w:sz w:val="20"/>
                <w:szCs w:val="20"/>
              </w:rPr>
            </w:pPr>
          </w:p>
        </w:tc>
        <w:tc>
          <w:tcPr>
            <w:tcW w:w="1487"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615"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single" w:color="auto" w:sz="4" w:space="0"/>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项目支出</w:t>
            </w:r>
          </w:p>
        </w:tc>
        <w:tc>
          <w:tcPr>
            <w:tcW w:w="23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vMerge w:val="continue"/>
            <w:tcBorders>
              <w:top w:val="single" w:color="auto" w:sz="4" w:space="0"/>
              <w:left w:val="nil"/>
              <w:bottom w:val="single" w:color="auto" w:sz="4" w:space="0"/>
              <w:right w:val="nil"/>
            </w:tcBorders>
            <w:noWrap w:val="0"/>
            <w:vAlign w:val="center"/>
          </w:tcPr>
          <w:p>
            <w:pPr>
              <w:widowControl/>
              <w:jc w:val="left"/>
              <w:rPr>
                <w:rFonts w:ascii="宋体" w:hAnsi="宋体" w:cs="宋体"/>
                <w:color w:val="000000"/>
                <w:kern w:val="0"/>
                <w:sz w:val="20"/>
                <w:szCs w:val="20"/>
              </w:rPr>
            </w:pPr>
          </w:p>
        </w:tc>
        <w:tc>
          <w:tcPr>
            <w:tcW w:w="1487"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2136"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其他</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vMerge w:val="continue"/>
            <w:tcBorders>
              <w:top w:val="single" w:color="auto" w:sz="4" w:space="0"/>
              <w:left w:val="nil"/>
              <w:bottom w:val="single" w:color="auto" w:sz="4" w:space="0"/>
              <w:right w:val="nil"/>
            </w:tcBorders>
            <w:noWrap w:val="0"/>
            <w:vAlign w:val="center"/>
          </w:tcPr>
          <w:p>
            <w:pPr>
              <w:widowControl/>
              <w:jc w:val="left"/>
              <w:rPr>
                <w:rFonts w:ascii="宋体" w:hAnsi="宋体" w:cs="宋体"/>
                <w:color w:val="000000"/>
                <w:kern w:val="0"/>
                <w:sz w:val="20"/>
                <w:szCs w:val="20"/>
              </w:rPr>
            </w:pPr>
          </w:p>
        </w:tc>
        <w:tc>
          <w:tcPr>
            <w:tcW w:w="1487"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569" w:hRule="atLeast"/>
        </w:trPr>
        <w:tc>
          <w:tcPr>
            <w:tcW w:w="5000" w:type="pct"/>
            <w:gridSpan w:val="9"/>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二</w:t>
            </w:r>
            <w:r>
              <w:rPr>
                <w:rFonts w:ascii="宋体" w:hAnsi="宋体" w:cs="宋体"/>
                <w:color w:val="000000"/>
                <w:kern w:val="0"/>
                <w:sz w:val="18"/>
                <w:szCs w:val="18"/>
              </w:rPr>
              <w:t>、</w:t>
            </w:r>
            <w:r>
              <w:rPr>
                <w:rFonts w:hint="eastAsia" w:ascii="宋体" w:hAnsi="宋体" w:cs="宋体"/>
                <w:color w:val="000000"/>
                <w:kern w:val="0"/>
                <w:sz w:val="20"/>
                <w:szCs w:val="20"/>
              </w:rPr>
              <w:t>整体绩效目标实现情况（60分）</w:t>
            </w:r>
          </w:p>
        </w:tc>
      </w:tr>
      <w:tr>
        <w:tblPrEx>
          <w:tblCellMar>
            <w:top w:w="0" w:type="dxa"/>
            <w:left w:w="108" w:type="dxa"/>
            <w:bottom w:w="0" w:type="dxa"/>
            <w:right w:w="108" w:type="dxa"/>
          </w:tblCellMar>
        </w:tblPrEx>
        <w:trPr>
          <w:trHeight w:val="499" w:hRule="atLeast"/>
        </w:trPr>
        <w:tc>
          <w:tcPr>
            <w:tcW w:w="3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一</w:t>
            </w:r>
            <w:r>
              <w:rPr>
                <w:rFonts w:ascii="宋体" w:hAnsi="宋体" w:cs="宋体"/>
                <w:color w:val="000000"/>
                <w:kern w:val="0"/>
                <w:sz w:val="20"/>
                <w:szCs w:val="20"/>
              </w:rPr>
              <w:t>级指标</w:t>
            </w:r>
          </w:p>
        </w:tc>
        <w:tc>
          <w:tcPr>
            <w:tcW w:w="365"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二</w:t>
            </w:r>
            <w:r>
              <w:rPr>
                <w:rFonts w:ascii="宋体" w:hAnsi="宋体" w:cs="宋体"/>
                <w:color w:val="000000"/>
                <w:kern w:val="0"/>
                <w:sz w:val="20"/>
                <w:szCs w:val="20"/>
              </w:rPr>
              <w:t>级指标</w:t>
            </w:r>
            <w:r>
              <w:rPr>
                <w:rFonts w:hint="eastAsia" w:ascii="宋体" w:hAnsi="宋体" w:cs="宋体"/>
                <w:color w:val="000000"/>
                <w:kern w:val="0"/>
                <w:sz w:val="20"/>
                <w:szCs w:val="20"/>
              </w:rPr>
              <w:t>　</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三</w:t>
            </w:r>
            <w:r>
              <w:rPr>
                <w:rFonts w:ascii="宋体" w:hAnsi="宋体" w:cs="宋体"/>
                <w:color w:val="000000"/>
                <w:kern w:val="0"/>
                <w:sz w:val="20"/>
                <w:szCs w:val="20"/>
              </w:rPr>
              <w:t>级指标</w:t>
            </w:r>
            <w:r>
              <w:rPr>
                <w:rFonts w:hint="eastAsia" w:ascii="宋体" w:hAnsi="宋体" w:cs="宋体"/>
                <w:color w:val="000000"/>
                <w:kern w:val="0"/>
                <w:sz w:val="20"/>
                <w:szCs w:val="20"/>
              </w:rPr>
              <w:t>　</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指标值</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完成值</w:t>
            </w:r>
          </w:p>
        </w:tc>
        <w:tc>
          <w:tcPr>
            <w:tcW w:w="232"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分值</w:t>
            </w:r>
          </w:p>
        </w:tc>
        <w:tc>
          <w:tcPr>
            <w:tcW w:w="232" w:type="pct"/>
            <w:tcBorders>
              <w:top w:val="single" w:color="auto" w:sz="4" w:space="0"/>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得分</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Cs/>
                <w:color w:val="000000"/>
                <w:kern w:val="0"/>
                <w:sz w:val="18"/>
                <w:szCs w:val="18"/>
              </w:rPr>
            </w:pPr>
            <w:r>
              <w:rPr>
                <w:rFonts w:hint="eastAsia" w:ascii="宋体" w:hAnsi="宋体" w:cs="宋体"/>
                <w:bCs/>
                <w:color w:val="000000"/>
                <w:kern w:val="0"/>
                <w:sz w:val="18"/>
                <w:szCs w:val="18"/>
              </w:rPr>
              <w:t>指标</w:t>
            </w:r>
            <w:r>
              <w:rPr>
                <w:rFonts w:ascii="宋体" w:hAnsi="宋体" w:cs="宋体"/>
                <w:bCs/>
                <w:color w:val="000000"/>
                <w:kern w:val="0"/>
                <w:sz w:val="18"/>
                <w:szCs w:val="18"/>
              </w:rPr>
              <w:t>解释</w:t>
            </w:r>
          </w:p>
        </w:tc>
        <w:tc>
          <w:tcPr>
            <w:tcW w:w="151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评</w:t>
            </w:r>
            <w:r>
              <w:rPr>
                <w:rFonts w:ascii="宋体" w:hAnsi="宋体" w:cs="宋体"/>
                <w:color w:val="000000"/>
                <w:kern w:val="0"/>
                <w:sz w:val="18"/>
                <w:szCs w:val="18"/>
              </w:rPr>
              <w:t>分标准</w:t>
            </w:r>
          </w:p>
        </w:tc>
      </w:tr>
      <w:tr>
        <w:tblPrEx>
          <w:tblCellMar>
            <w:top w:w="0" w:type="dxa"/>
            <w:left w:w="108" w:type="dxa"/>
            <w:bottom w:w="0" w:type="dxa"/>
            <w:right w:w="108" w:type="dxa"/>
          </w:tblCellMar>
        </w:tblPrEx>
        <w:trPr>
          <w:trHeight w:val="1196" w:hRule="atLeast"/>
        </w:trPr>
        <w:tc>
          <w:tcPr>
            <w:tcW w:w="352"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整体绩效目标实现情况（60）</w:t>
            </w:r>
          </w:p>
        </w:tc>
        <w:tc>
          <w:tcPr>
            <w:tcW w:w="365" w:type="pct"/>
            <w:vMerge w:val="restart"/>
            <w:tcBorders>
              <w:top w:val="single" w:color="auto" w:sz="4" w:space="0"/>
              <w:left w:val="nil"/>
              <w:right w:val="single" w:color="auto" w:sz="4" w:space="0"/>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产出（30）</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指标1</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restart"/>
            <w:tcBorders>
              <w:top w:val="single" w:color="auto" w:sz="4" w:space="0"/>
              <w:left w:val="nil"/>
              <w:bottom w:val="single" w:color="auto" w:sz="4" w:space="0"/>
              <w:right w:val="single" w:color="auto" w:sz="4" w:space="0"/>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30</w:t>
            </w:r>
          </w:p>
        </w:tc>
        <w:tc>
          <w:tcPr>
            <w:tcW w:w="232" w:type="pct"/>
            <w:tcBorders>
              <w:top w:val="single" w:color="auto" w:sz="4" w:space="0"/>
              <w:left w:val="nil"/>
              <w:bottom w:val="single" w:color="auto" w:sz="4" w:space="0"/>
              <w:right w:val="nil"/>
            </w:tcBorders>
            <w:noWrap w:val="0"/>
            <w:vAlign w:val="center"/>
          </w:tcPr>
          <w:p>
            <w:pPr>
              <w:widowControl/>
              <w:jc w:val="center"/>
              <w:rPr>
                <w:rFonts w:ascii="宋体" w:hAnsi="宋体" w:cs="宋体"/>
                <w:color w:val="000000"/>
                <w:kern w:val="0"/>
                <w:sz w:val="20"/>
                <w:szCs w:val="20"/>
              </w:rPr>
            </w:pPr>
          </w:p>
          <w:p>
            <w:pPr>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产出数量</w:t>
            </w:r>
            <w:r>
              <w:rPr>
                <w:rFonts w:hint="eastAsia" w:ascii="宋体" w:hAnsi="宋体" w:cs="宋体"/>
                <w:color w:val="000000"/>
                <w:kern w:val="0"/>
                <w:sz w:val="18"/>
                <w:szCs w:val="18"/>
              </w:rPr>
              <w:t>：计划完成率=（实际完成工作数/计划工作数）×100%。实际完成工作数：一定时期（年度或规划期）内部门（单位）实际完成工作任务的数量。计划工作数：部门（单位）整体绩效目标确定的一定时期（年度或规划期）内预计完成工作任务的数量。</w:t>
            </w:r>
            <w:r>
              <w:rPr>
                <w:rFonts w:hint="eastAsia" w:ascii="宋体" w:hAnsi="宋体" w:cs="宋体"/>
                <w:b/>
                <w:bCs/>
                <w:color w:val="000000"/>
                <w:kern w:val="0"/>
                <w:sz w:val="18"/>
                <w:szCs w:val="18"/>
              </w:rPr>
              <w:t>产出质量</w:t>
            </w:r>
            <w:r>
              <w:rPr>
                <w:rFonts w:hint="eastAsia" w:ascii="宋体" w:hAnsi="宋体" w:cs="宋体"/>
                <w:color w:val="000000"/>
                <w:kern w:val="0"/>
                <w:sz w:val="18"/>
                <w:szCs w:val="18"/>
              </w:rPr>
              <w:t>：质量达标率=质量达标工作数/实际完成工作数×100%。质量达标工作数：一定时期（年度或规划期）内部门（单位）实际完成工作数中达到部门绩效目标要求（绩效标准值）的工作任务数量。</w:t>
            </w:r>
            <w:r>
              <w:rPr>
                <w:rFonts w:hint="eastAsia" w:ascii="宋体" w:hAnsi="宋体" w:cs="宋体"/>
                <w:b/>
                <w:bCs/>
                <w:color w:val="000000"/>
                <w:kern w:val="0"/>
                <w:sz w:val="18"/>
                <w:szCs w:val="18"/>
              </w:rPr>
              <w:t>产出进度：</w:t>
            </w:r>
            <w:r>
              <w:rPr>
                <w:rFonts w:hint="eastAsia" w:ascii="宋体" w:hAnsi="宋体" w:cs="宋体"/>
                <w:color w:val="000000"/>
                <w:kern w:val="0"/>
                <w:sz w:val="18"/>
                <w:szCs w:val="18"/>
              </w:rPr>
              <w:t>按时完成率=（按时完成工作数/实际完成工作数）×100%。按时完成工作数：部门（单位）按照整体绩效目标确定的时限实际完成的工作任务数量。</w:t>
            </w:r>
            <w:r>
              <w:rPr>
                <w:rFonts w:hint="eastAsia" w:ascii="宋体" w:hAnsi="宋体" w:cs="宋体"/>
                <w:b/>
                <w:bCs/>
                <w:color w:val="000000"/>
                <w:kern w:val="0"/>
                <w:sz w:val="18"/>
                <w:szCs w:val="18"/>
              </w:rPr>
              <w:t>产出成本</w:t>
            </w:r>
            <w:r>
              <w:rPr>
                <w:rFonts w:hint="eastAsia" w:ascii="宋体" w:hAnsi="宋体" w:cs="宋体"/>
                <w:color w:val="000000"/>
                <w:kern w:val="0"/>
                <w:sz w:val="18"/>
                <w:szCs w:val="18"/>
              </w:rPr>
              <w:t>：单位产出相对于上一年度的节约额；②单位产出相对于市场同类产出的节约额；③部门公用经费的控制情况。</w:t>
            </w:r>
          </w:p>
        </w:tc>
        <w:tc>
          <w:tcPr>
            <w:tcW w:w="1518"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部门根据本单位情况自行确定并选择产出指标，合理确定各项指标权重。可量化的指标按照比率*单项指标分值即为该指标得分。如果不能定量评价，则以定性的方式进行自评。</w:t>
            </w:r>
          </w:p>
        </w:tc>
      </w:tr>
      <w:tr>
        <w:tblPrEx>
          <w:tblCellMar>
            <w:top w:w="0" w:type="dxa"/>
            <w:left w:w="108" w:type="dxa"/>
            <w:bottom w:w="0" w:type="dxa"/>
            <w:right w:w="108" w:type="dxa"/>
          </w:tblCellMar>
        </w:tblPrEx>
        <w:trPr>
          <w:trHeight w:val="113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left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指标2</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top w:val="single" w:color="auto" w:sz="4" w:space="0"/>
              <w:left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single" w:color="auto" w:sz="4" w:space="0"/>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1258"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left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指标3</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left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975"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rPr>
                <w:rFonts w:hint="eastAsia" w:ascii="宋体" w:hAnsi="宋体" w:cs="宋体"/>
                <w:color w:val="000000"/>
                <w:kern w:val="0"/>
                <w:sz w:val="20"/>
                <w:szCs w:val="20"/>
              </w:rPr>
            </w:pPr>
            <w:r>
              <w:rPr>
                <w:rFonts w:hint="eastAsia" w:ascii="宋体" w:hAnsi="宋体" w:cs="宋体"/>
                <w:color w:val="000000"/>
                <w:kern w:val="0"/>
                <w:sz w:val="20"/>
                <w:szCs w:val="20"/>
              </w:rPr>
              <w:t>指标…</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675"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restart"/>
            <w:tcBorders>
              <w:top w:val="nil"/>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效果（30）</w:t>
            </w:r>
          </w:p>
        </w:tc>
        <w:tc>
          <w:tcPr>
            <w:tcW w:w="234"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指标1</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restart"/>
            <w:tcBorders>
              <w:top w:val="nil"/>
              <w:left w:val="single" w:color="auto" w:sz="4" w:space="0"/>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30</w:t>
            </w: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restar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经济效益</w:t>
            </w:r>
            <w:r>
              <w:rPr>
                <w:rFonts w:hint="eastAsia" w:ascii="宋体" w:hAnsi="宋体" w:cs="宋体"/>
                <w:color w:val="000000"/>
                <w:kern w:val="0"/>
                <w:sz w:val="18"/>
                <w:szCs w:val="18"/>
              </w:rPr>
              <w:t>：部门（单位）履行职责对经济发展所带来的直接或间接影响。</w:t>
            </w:r>
            <w:r>
              <w:rPr>
                <w:rFonts w:hint="eastAsia" w:ascii="宋体" w:hAnsi="宋体" w:cs="宋体"/>
                <w:b/>
                <w:bCs/>
                <w:color w:val="000000"/>
                <w:kern w:val="0"/>
                <w:sz w:val="18"/>
                <w:szCs w:val="18"/>
              </w:rPr>
              <w:t>社会效益</w:t>
            </w:r>
            <w:r>
              <w:rPr>
                <w:rFonts w:hint="eastAsia" w:ascii="宋体" w:hAnsi="宋体" w:cs="宋体"/>
                <w:color w:val="000000"/>
                <w:kern w:val="0"/>
                <w:sz w:val="18"/>
                <w:szCs w:val="18"/>
              </w:rPr>
              <w:t>：部门（单位）履行职责对社会发展所带来的直接或间接影响。</w:t>
            </w:r>
            <w:r>
              <w:rPr>
                <w:rFonts w:hint="eastAsia" w:ascii="宋体" w:hAnsi="宋体" w:cs="宋体"/>
                <w:b/>
                <w:bCs/>
                <w:color w:val="000000"/>
                <w:kern w:val="0"/>
                <w:sz w:val="18"/>
                <w:szCs w:val="18"/>
              </w:rPr>
              <w:t>环境效益</w:t>
            </w:r>
            <w:r>
              <w:rPr>
                <w:rFonts w:hint="eastAsia" w:ascii="宋体" w:hAnsi="宋体" w:cs="宋体"/>
                <w:color w:val="000000"/>
                <w:kern w:val="0"/>
                <w:sz w:val="18"/>
                <w:szCs w:val="18"/>
              </w:rPr>
              <w:t>：部门（单位）履行职责对环境所带来的直接或间接影响。</w:t>
            </w:r>
            <w:r>
              <w:rPr>
                <w:rFonts w:hint="eastAsia" w:ascii="宋体" w:hAnsi="宋体" w:cs="宋体"/>
                <w:b/>
                <w:bCs/>
                <w:color w:val="000000"/>
                <w:kern w:val="0"/>
                <w:sz w:val="18"/>
                <w:szCs w:val="18"/>
              </w:rPr>
              <w:t>可持续性影响：</w:t>
            </w:r>
            <w:r>
              <w:rPr>
                <w:rFonts w:hint="eastAsia" w:ascii="宋体" w:hAnsi="宋体" w:cs="宋体"/>
                <w:color w:val="000000"/>
                <w:kern w:val="0"/>
                <w:sz w:val="18"/>
                <w:szCs w:val="18"/>
              </w:rPr>
              <w:t>部门绩效目标实现的长效机制建设情况，部门工作效率提升措施的创新。</w:t>
            </w:r>
            <w:r>
              <w:rPr>
                <w:rFonts w:hint="eastAsia" w:ascii="宋体" w:hAnsi="宋体" w:cs="宋体"/>
                <w:b/>
                <w:bCs/>
                <w:color w:val="000000"/>
                <w:kern w:val="0"/>
                <w:sz w:val="18"/>
                <w:szCs w:val="18"/>
              </w:rPr>
              <w:t>服务对象满意度</w:t>
            </w:r>
            <w:r>
              <w:rPr>
                <w:rFonts w:hint="eastAsia" w:ascii="宋体" w:hAnsi="宋体" w:cs="宋体"/>
                <w:color w:val="000000"/>
                <w:kern w:val="0"/>
                <w:sz w:val="18"/>
                <w:szCs w:val="18"/>
              </w:rPr>
              <w:t>：部门（单位）的服务对象对部门履职效果的满意程度。</w:t>
            </w:r>
          </w:p>
        </w:tc>
        <w:tc>
          <w:tcPr>
            <w:tcW w:w="1518" w:type="pct"/>
            <w:vMerge w:val="restar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部门根据实际情况选择指标进行填写，并将其细化为相应的个性化指标。对于效益类指标可从受益对象瞄准度、受益广度和受益深度上进行设计分析。</w:t>
            </w:r>
          </w:p>
        </w:tc>
      </w:tr>
      <w:tr>
        <w:tblPrEx>
          <w:tblCellMar>
            <w:top w:w="0" w:type="dxa"/>
            <w:left w:w="108" w:type="dxa"/>
            <w:bottom w:w="0" w:type="dxa"/>
            <w:right w:w="108" w:type="dxa"/>
          </w:tblCellMar>
        </w:tblPrEx>
        <w:trPr>
          <w:trHeight w:val="63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指标2</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69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指标3</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675" w:hRule="atLeast"/>
        </w:trPr>
        <w:tc>
          <w:tcPr>
            <w:tcW w:w="352"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rPr>
                <w:rFonts w:hint="eastAsia" w:ascii="宋体" w:hAnsi="宋体" w:cs="宋体"/>
                <w:color w:val="000000"/>
                <w:kern w:val="0"/>
                <w:sz w:val="20"/>
                <w:szCs w:val="20"/>
              </w:rPr>
            </w:pPr>
            <w:r>
              <w:rPr>
                <w:rFonts w:hint="eastAsia" w:ascii="宋体" w:hAnsi="宋体" w:cs="宋体"/>
                <w:color w:val="000000"/>
                <w:kern w:val="0"/>
                <w:sz w:val="20"/>
                <w:szCs w:val="20"/>
              </w:rPr>
              <w:t>指标…</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c>
          <w:tcPr>
            <w:tcW w:w="1518"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18"/>
                <w:szCs w:val="18"/>
              </w:rPr>
            </w:pPr>
          </w:p>
        </w:tc>
      </w:tr>
      <w:tr>
        <w:tblPrEx>
          <w:tblCellMar>
            <w:top w:w="0" w:type="dxa"/>
            <w:left w:w="108" w:type="dxa"/>
            <w:bottom w:w="0" w:type="dxa"/>
            <w:right w:w="108" w:type="dxa"/>
          </w:tblCellMar>
        </w:tblPrEx>
        <w:trPr>
          <w:trHeight w:val="699" w:hRule="atLeast"/>
        </w:trPr>
        <w:tc>
          <w:tcPr>
            <w:tcW w:w="5000" w:type="pct"/>
            <w:gridSpan w:val="9"/>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三</w:t>
            </w:r>
            <w:r>
              <w:rPr>
                <w:rFonts w:ascii="宋体" w:hAnsi="宋体" w:cs="宋体"/>
                <w:color w:val="000000"/>
                <w:kern w:val="0"/>
                <w:sz w:val="18"/>
                <w:szCs w:val="18"/>
              </w:rPr>
              <w:t>、</w:t>
            </w:r>
            <w:r>
              <w:rPr>
                <w:rFonts w:hint="eastAsia" w:ascii="宋体" w:hAnsi="宋体" w:cs="宋体"/>
                <w:color w:val="000000"/>
                <w:kern w:val="0"/>
                <w:sz w:val="20"/>
                <w:szCs w:val="20"/>
              </w:rPr>
              <w:t>预算管理情况（20分）</w:t>
            </w:r>
          </w:p>
        </w:tc>
      </w:tr>
      <w:tr>
        <w:tblPrEx>
          <w:tblCellMar>
            <w:top w:w="0" w:type="dxa"/>
            <w:left w:w="108" w:type="dxa"/>
            <w:bottom w:w="0" w:type="dxa"/>
            <w:right w:w="108" w:type="dxa"/>
          </w:tblCellMar>
        </w:tblPrEx>
        <w:trPr>
          <w:trHeight w:val="702" w:hRule="atLeast"/>
        </w:trPr>
        <w:tc>
          <w:tcPr>
            <w:tcW w:w="35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一</w:t>
            </w:r>
            <w:r>
              <w:rPr>
                <w:rFonts w:ascii="宋体" w:hAnsi="宋体" w:cs="宋体"/>
                <w:color w:val="000000"/>
                <w:kern w:val="0"/>
                <w:sz w:val="20"/>
                <w:szCs w:val="20"/>
              </w:rPr>
              <w:t>级指标</w:t>
            </w:r>
          </w:p>
        </w:tc>
        <w:tc>
          <w:tcPr>
            <w:tcW w:w="365"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二</w:t>
            </w:r>
            <w:r>
              <w:rPr>
                <w:rFonts w:ascii="宋体" w:hAnsi="宋体" w:cs="宋体"/>
                <w:color w:val="000000"/>
                <w:kern w:val="0"/>
                <w:sz w:val="20"/>
                <w:szCs w:val="20"/>
              </w:rPr>
              <w:t>级指标</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三</w:t>
            </w:r>
            <w:r>
              <w:rPr>
                <w:rFonts w:ascii="宋体" w:hAnsi="宋体" w:cs="宋体"/>
                <w:color w:val="000000"/>
                <w:kern w:val="0"/>
                <w:sz w:val="20"/>
                <w:szCs w:val="20"/>
              </w:rPr>
              <w:t>级指标</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w:t>
            </w:r>
            <w:r>
              <w:rPr>
                <w:rFonts w:ascii="宋体" w:hAnsi="宋体" w:cs="宋体"/>
                <w:color w:val="000000"/>
                <w:kern w:val="0"/>
                <w:sz w:val="20"/>
                <w:szCs w:val="20"/>
              </w:rPr>
              <w:t>值</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完成</w:t>
            </w:r>
            <w:r>
              <w:rPr>
                <w:rFonts w:ascii="宋体" w:hAnsi="宋体" w:cs="宋体"/>
                <w:color w:val="000000"/>
                <w:kern w:val="0"/>
                <w:sz w:val="20"/>
                <w:szCs w:val="20"/>
              </w:rPr>
              <w:t>值</w:t>
            </w:r>
          </w:p>
        </w:tc>
        <w:tc>
          <w:tcPr>
            <w:tcW w:w="232"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分</w:t>
            </w:r>
            <w:r>
              <w:rPr>
                <w:rFonts w:ascii="宋体" w:hAnsi="宋体" w:cs="宋体"/>
                <w:color w:val="000000"/>
                <w:kern w:val="0"/>
                <w:sz w:val="20"/>
                <w:szCs w:val="20"/>
              </w:rPr>
              <w:t>值</w:t>
            </w:r>
          </w:p>
        </w:tc>
        <w:tc>
          <w:tcPr>
            <w:tcW w:w="232" w:type="pct"/>
            <w:tcBorders>
              <w:top w:val="single" w:color="auto" w:sz="4" w:space="0"/>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得</w:t>
            </w:r>
            <w:r>
              <w:rPr>
                <w:rFonts w:ascii="宋体" w:hAnsi="宋体" w:cs="宋体"/>
                <w:color w:val="000000"/>
                <w:kern w:val="0"/>
                <w:sz w:val="20"/>
                <w:szCs w:val="20"/>
              </w:rPr>
              <w:t>分</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color w:val="000000"/>
                <w:kern w:val="0"/>
                <w:sz w:val="18"/>
                <w:szCs w:val="18"/>
              </w:rPr>
            </w:pPr>
            <w:r>
              <w:rPr>
                <w:rFonts w:hint="eastAsia" w:ascii="宋体" w:hAnsi="宋体" w:cs="宋体"/>
                <w:bCs/>
                <w:color w:val="000000"/>
                <w:kern w:val="0"/>
                <w:sz w:val="18"/>
                <w:szCs w:val="18"/>
              </w:rPr>
              <w:t>指标</w:t>
            </w:r>
            <w:r>
              <w:rPr>
                <w:rFonts w:ascii="宋体" w:hAnsi="宋体" w:cs="宋体"/>
                <w:bCs/>
                <w:color w:val="000000"/>
                <w:kern w:val="0"/>
                <w:sz w:val="18"/>
                <w:szCs w:val="18"/>
              </w:rPr>
              <w:t>解释</w:t>
            </w:r>
          </w:p>
        </w:tc>
        <w:tc>
          <w:tcPr>
            <w:tcW w:w="1518"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评</w:t>
            </w:r>
            <w:r>
              <w:rPr>
                <w:rFonts w:ascii="宋体" w:hAnsi="宋体" w:cs="宋体"/>
                <w:color w:val="000000"/>
                <w:kern w:val="0"/>
                <w:sz w:val="18"/>
                <w:szCs w:val="18"/>
              </w:rPr>
              <w:t>分标准</w:t>
            </w:r>
          </w:p>
        </w:tc>
      </w:tr>
      <w:tr>
        <w:tblPrEx>
          <w:tblCellMar>
            <w:top w:w="0" w:type="dxa"/>
            <w:left w:w="108" w:type="dxa"/>
            <w:bottom w:w="0" w:type="dxa"/>
            <w:right w:w="108" w:type="dxa"/>
          </w:tblCellMar>
        </w:tblPrEx>
        <w:trPr>
          <w:trHeight w:val="1230" w:hRule="atLeast"/>
        </w:trPr>
        <w:tc>
          <w:tcPr>
            <w:tcW w:w="352"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预算管理情况（20）</w:t>
            </w:r>
          </w:p>
        </w:tc>
        <w:tc>
          <w:tcPr>
            <w:tcW w:w="365"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财务管理（4）</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财务管理制度健全性</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1</w:t>
            </w:r>
          </w:p>
        </w:tc>
        <w:tc>
          <w:tcPr>
            <w:tcW w:w="232" w:type="pct"/>
            <w:tcBorders>
              <w:top w:val="single" w:color="auto" w:sz="4" w:space="0"/>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财务管理制度健全性:</w:t>
            </w:r>
            <w:r>
              <w:rPr>
                <w:rFonts w:hint="eastAsia" w:ascii="宋体" w:hAnsi="宋体" w:cs="宋体"/>
                <w:color w:val="000000"/>
                <w:kern w:val="0"/>
                <w:sz w:val="18"/>
                <w:szCs w:val="18"/>
              </w:rPr>
              <w:t>部门（单位）为加强财务管理、规范财务行为而制定的管理制度。</w:t>
            </w:r>
          </w:p>
        </w:tc>
        <w:tc>
          <w:tcPr>
            <w:tcW w:w="1518"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①预算资金管理办法、绩效跟踪管理办法、资产管理办法等各项制度是否健全；②部门内部财务管理制度是否完整、合规；③会计核算制度是否完整、合规。每有一项不合格扣0.5分，扣完为止。</w:t>
            </w:r>
          </w:p>
        </w:tc>
      </w:tr>
      <w:tr>
        <w:tblPrEx>
          <w:tblCellMar>
            <w:top w:w="0" w:type="dxa"/>
            <w:left w:w="108" w:type="dxa"/>
            <w:bottom w:w="0" w:type="dxa"/>
            <w:right w:w="108" w:type="dxa"/>
          </w:tblCellMar>
        </w:tblPrEx>
        <w:trPr>
          <w:trHeight w:val="2220" w:hRule="atLeast"/>
        </w:trPr>
        <w:tc>
          <w:tcPr>
            <w:tcW w:w="352" w:type="pct"/>
            <w:vMerge w:val="continue"/>
            <w:tcBorders>
              <w:top w:val="single" w:color="auto" w:sz="4" w:space="0"/>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资金使用合规性和安全性</w:t>
            </w:r>
          </w:p>
        </w:tc>
        <w:tc>
          <w:tcPr>
            <w:tcW w:w="236"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2</w:t>
            </w:r>
          </w:p>
        </w:tc>
        <w:tc>
          <w:tcPr>
            <w:tcW w:w="232" w:type="pct"/>
            <w:tcBorders>
              <w:top w:val="single" w:color="auto" w:sz="4" w:space="0"/>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资金使用合规性和安全性:</w:t>
            </w:r>
            <w:r>
              <w:rPr>
                <w:rFonts w:hint="eastAsia" w:ascii="宋体" w:hAnsi="宋体" w:cs="宋体"/>
                <w:color w:val="000000"/>
                <w:kern w:val="0"/>
                <w:sz w:val="18"/>
                <w:szCs w:val="18"/>
              </w:rPr>
              <w:t>部门（单位）使用预算资金是否符合相关的预算财务管理制度的规定，是否符合相关规定的开支范围，用以反映考核部门（单位）预算资金的规范运行和安全运行情况。</w:t>
            </w:r>
          </w:p>
        </w:tc>
        <w:tc>
          <w:tcPr>
            <w:tcW w:w="1518"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①是否符合国家财经法规和财务管理制度规定以及有关专项资金管理办法的规定；②资金的拨付是否有完整的审批程序和手续；③项目的重大开支是否经过评估论证；④是否符合部门预算批复的用途；⑤是否存在截留、挤占、挪用情况；⑥资金使用是否符合政府采购的程序和流程；⑦资金使用是否符合公务卡结算相关制度和规定。每有一项不合格扣0.5分，扣完为止。</w:t>
            </w:r>
          </w:p>
        </w:tc>
      </w:tr>
      <w:tr>
        <w:tblPrEx>
          <w:tblCellMar>
            <w:top w:w="0" w:type="dxa"/>
            <w:left w:w="108" w:type="dxa"/>
            <w:bottom w:w="0" w:type="dxa"/>
            <w:right w:w="108" w:type="dxa"/>
          </w:tblCellMar>
        </w:tblPrEx>
        <w:trPr>
          <w:trHeight w:val="1035"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vMerge w:val="continue"/>
            <w:tcBorders>
              <w:top w:val="nil"/>
              <w:left w:val="single" w:color="auto" w:sz="4" w:space="0"/>
              <w:bottom w:val="single" w:color="auto" w:sz="4" w:space="0"/>
              <w:right w:val="single" w:color="auto" w:sz="4" w:space="0"/>
            </w:tcBorders>
            <w:noWrap w:val="0"/>
            <w:vAlign w:val="center"/>
          </w:tcPr>
          <w:p>
            <w:pPr>
              <w:widowControl/>
              <w:jc w:val="left"/>
              <w:rPr>
                <w:rFonts w:ascii="宋体" w:hAnsi="宋体" w:cs="宋体"/>
                <w:color w:val="000000"/>
                <w:kern w:val="0"/>
                <w:sz w:val="20"/>
                <w:szCs w:val="20"/>
              </w:rPr>
            </w:pPr>
          </w:p>
        </w:tc>
        <w:tc>
          <w:tcPr>
            <w:tcW w:w="234"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会计基础信息完善性</w:t>
            </w:r>
          </w:p>
        </w:tc>
        <w:tc>
          <w:tcPr>
            <w:tcW w:w="236"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nil"/>
              <w:left w:val="nil"/>
              <w:bottom w:val="single" w:color="auto" w:sz="4" w:space="0"/>
              <w:right w:val="single" w:color="auto" w:sz="4" w:space="0"/>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1</w:t>
            </w:r>
          </w:p>
        </w:tc>
        <w:tc>
          <w:tcPr>
            <w:tcW w:w="232" w:type="pct"/>
            <w:tcBorders>
              <w:top w:val="nil"/>
              <w:left w:val="nil"/>
              <w:bottom w:val="single" w:color="auto" w:sz="4" w:space="0"/>
              <w:right w:val="nil"/>
            </w:tcBorders>
            <w:noWrap/>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会计基础信息完善性:</w:t>
            </w:r>
            <w:r>
              <w:rPr>
                <w:rFonts w:hint="eastAsia" w:ascii="宋体" w:hAnsi="宋体" w:cs="宋体"/>
                <w:color w:val="000000"/>
                <w:kern w:val="0"/>
                <w:sz w:val="18"/>
                <w:szCs w:val="18"/>
              </w:rPr>
              <w:t>部门（单位）会计基础信息情况。</w:t>
            </w:r>
          </w:p>
        </w:tc>
        <w:tc>
          <w:tcPr>
            <w:tcW w:w="1518" w:type="pct"/>
            <w:tcBorders>
              <w:top w:val="nil"/>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①基础数据信息和会计信息资料是否真实；②基础数据信息和会计信息资料是否完整；③基础数据信息和会计信息资料是否准确。每有一项不合格扣0.5分，扣完为止。</w:t>
            </w:r>
          </w:p>
        </w:tc>
      </w:tr>
      <w:tr>
        <w:tblPrEx>
          <w:tblCellMar>
            <w:top w:w="0" w:type="dxa"/>
            <w:left w:w="108" w:type="dxa"/>
            <w:bottom w:w="0" w:type="dxa"/>
            <w:right w:w="108" w:type="dxa"/>
          </w:tblCellMar>
        </w:tblPrEx>
        <w:trPr>
          <w:trHeight w:val="222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资产管理（4）</w:t>
            </w:r>
          </w:p>
        </w:tc>
        <w:tc>
          <w:tcPr>
            <w:tcW w:w="23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资产管理规范性</w:t>
            </w:r>
          </w:p>
        </w:tc>
        <w:tc>
          <w:tcPr>
            <w:tcW w:w="236"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4</w:t>
            </w:r>
          </w:p>
        </w:tc>
        <w:tc>
          <w:tcPr>
            <w:tcW w:w="23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资产管理规范性:</w:t>
            </w:r>
            <w:r>
              <w:rPr>
                <w:rFonts w:hint="eastAsia" w:ascii="宋体" w:hAnsi="宋体" w:cs="宋体"/>
                <w:color w:val="000000"/>
                <w:kern w:val="0"/>
                <w:sz w:val="18"/>
                <w:szCs w:val="18"/>
              </w:rPr>
              <w:t>部门（单位）的资产是否保持安全完整，资产配置是否合理，资产使用和资产处理是否规范，用以反映和考核部门（单位）资产管理的整体水平。</w:t>
            </w:r>
          </w:p>
        </w:tc>
        <w:tc>
          <w:tcPr>
            <w:tcW w:w="1518"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①对外投资行为是否经审批，是否存在投资亏损；②是否有因管理不当发生严重资产损失和丢失情况；③是否存在超标准配置资产；④资产使用是否规范，是否存在未经批准擅自出租、出借资产行为；⑤资产处置是否规范，是否存在不按要求进行报批或资产不公开处置行为；⑥其它资产管理制度办法执行情况。每有一项不合格扣0.8分，扣完为止。</w:t>
            </w:r>
          </w:p>
        </w:tc>
      </w:tr>
      <w:tr>
        <w:tblPrEx>
          <w:tblCellMar>
            <w:top w:w="0" w:type="dxa"/>
            <w:left w:w="108" w:type="dxa"/>
            <w:bottom w:w="0" w:type="dxa"/>
            <w:right w:w="108" w:type="dxa"/>
          </w:tblCellMar>
        </w:tblPrEx>
        <w:trPr>
          <w:trHeight w:val="175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绩效管理（4）</w:t>
            </w:r>
          </w:p>
        </w:tc>
        <w:tc>
          <w:tcPr>
            <w:tcW w:w="234"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绩效管理情况</w:t>
            </w:r>
          </w:p>
        </w:tc>
        <w:tc>
          <w:tcPr>
            <w:tcW w:w="236"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4</w:t>
            </w:r>
          </w:p>
        </w:tc>
        <w:tc>
          <w:tcPr>
            <w:tcW w:w="232" w:type="pct"/>
            <w:tcBorders>
              <w:top w:val="single" w:color="auto" w:sz="4" w:space="0"/>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b/>
                <w:bCs/>
                <w:color w:val="000000"/>
                <w:kern w:val="0"/>
                <w:sz w:val="18"/>
                <w:szCs w:val="18"/>
              </w:rPr>
              <w:t>绩效管理情况:</w:t>
            </w:r>
            <w:r>
              <w:rPr>
                <w:rFonts w:hint="eastAsia" w:ascii="宋体" w:hAnsi="宋体" w:cs="宋体"/>
                <w:color w:val="000000"/>
                <w:kern w:val="0"/>
                <w:sz w:val="18"/>
                <w:szCs w:val="18"/>
              </w:rPr>
              <w:t>考核部门（单位）在绩效管理信息的汇总和应用情况。</w:t>
            </w:r>
          </w:p>
        </w:tc>
        <w:tc>
          <w:tcPr>
            <w:tcW w:w="1518"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①部门（单位）是否及时对绩效信息进行汇总分析整理；②部门（单位）是否对绩效目标偏离情况及时进行矫正。每有一项不合格扣2分。</w:t>
            </w:r>
          </w:p>
        </w:tc>
      </w:tr>
      <w:tr>
        <w:tblPrEx>
          <w:tblCellMar>
            <w:top w:w="0" w:type="dxa"/>
            <w:left w:w="108" w:type="dxa"/>
            <w:bottom w:w="0" w:type="dxa"/>
            <w:right w:w="108" w:type="dxa"/>
          </w:tblCellMar>
        </w:tblPrEx>
        <w:trPr>
          <w:trHeight w:val="394"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指标　</w:t>
            </w:r>
          </w:p>
        </w:tc>
        <w:tc>
          <w:tcPr>
            <w:tcW w:w="470" w:type="pct"/>
            <w:gridSpan w:val="2"/>
            <w:tcBorders>
              <w:top w:val="single" w:color="auto" w:sz="4" w:space="0"/>
              <w:left w:val="nil"/>
              <w:bottom w:val="single" w:color="auto" w:sz="4" w:space="0"/>
              <w:right w:val="single" w:color="000000"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202</w:t>
            </w:r>
            <w:r>
              <w:rPr>
                <w:rFonts w:hint="eastAsia" w:ascii="宋体" w:hAnsi="宋体" w:cs="宋体"/>
                <w:color w:val="000000"/>
                <w:kern w:val="0"/>
                <w:sz w:val="20"/>
                <w:szCs w:val="20"/>
                <w:lang w:val="en-US" w:eastAsia="zh-CN"/>
              </w:rPr>
              <w:t>2</w:t>
            </w:r>
            <w:r>
              <w:rPr>
                <w:rFonts w:hint="eastAsia" w:ascii="宋体" w:hAnsi="宋体" w:cs="宋体"/>
                <w:color w:val="000000"/>
                <w:kern w:val="0"/>
                <w:sz w:val="20"/>
                <w:szCs w:val="20"/>
              </w:rPr>
              <w:t>年</w:t>
            </w:r>
          </w:p>
        </w:tc>
        <w:tc>
          <w:tcPr>
            <w:tcW w:w="340"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202</w:t>
            </w:r>
            <w:r>
              <w:rPr>
                <w:rFonts w:hint="eastAsia" w:ascii="宋体" w:hAnsi="宋体" w:cs="宋体"/>
                <w:color w:val="000000"/>
                <w:kern w:val="0"/>
                <w:sz w:val="20"/>
                <w:szCs w:val="20"/>
                <w:lang w:val="en-US" w:eastAsia="zh-CN"/>
              </w:rPr>
              <w:t>3</w:t>
            </w:r>
            <w:r>
              <w:rPr>
                <w:rFonts w:hint="eastAsia" w:ascii="宋体" w:hAnsi="宋体" w:cs="宋体"/>
                <w:color w:val="000000"/>
                <w:kern w:val="0"/>
                <w:sz w:val="20"/>
                <w:szCs w:val="20"/>
              </w:rPr>
              <w:t>年</w:t>
            </w:r>
          </w:p>
        </w:tc>
        <w:tc>
          <w:tcPr>
            <w:tcW w:w="232"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分值</w:t>
            </w:r>
          </w:p>
        </w:tc>
        <w:tc>
          <w:tcPr>
            <w:tcW w:w="232"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得分</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bCs/>
                <w:color w:val="000000"/>
                <w:kern w:val="0"/>
                <w:sz w:val="18"/>
                <w:szCs w:val="18"/>
              </w:rPr>
              <w:t>指标</w:t>
            </w:r>
            <w:r>
              <w:rPr>
                <w:rFonts w:ascii="宋体" w:hAnsi="宋体" w:cs="宋体"/>
                <w:bCs/>
                <w:color w:val="000000"/>
                <w:kern w:val="0"/>
                <w:sz w:val="18"/>
                <w:szCs w:val="18"/>
              </w:rPr>
              <w:t>解释</w:t>
            </w:r>
          </w:p>
        </w:tc>
        <w:tc>
          <w:tcPr>
            <w:tcW w:w="1518" w:type="pct"/>
            <w:tcBorders>
              <w:top w:val="single" w:color="auto" w:sz="4" w:space="0"/>
              <w:left w:val="nil"/>
              <w:bottom w:val="single" w:color="auto" w:sz="4" w:space="0"/>
              <w:right w:val="single" w:color="auto" w:sz="4" w:space="0"/>
            </w:tcBorders>
            <w:noWrap w:val="0"/>
            <w:vAlign w:val="center"/>
          </w:tcPr>
          <w:p>
            <w:pPr>
              <w:widowControl/>
              <w:jc w:val="center"/>
              <w:rPr>
                <w:rFonts w:eastAsia="Times New Roman"/>
                <w:kern w:val="0"/>
                <w:sz w:val="20"/>
                <w:szCs w:val="20"/>
              </w:rPr>
            </w:pPr>
            <w:r>
              <w:rPr>
                <w:rFonts w:hint="eastAsia" w:ascii="宋体" w:hAnsi="宋体" w:cs="宋体"/>
                <w:color w:val="000000"/>
                <w:kern w:val="0"/>
                <w:sz w:val="18"/>
                <w:szCs w:val="18"/>
              </w:rPr>
              <w:t>评</w:t>
            </w:r>
            <w:r>
              <w:rPr>
                <w:rFonts w:ascii="宋体" w:hAnsi="宋体" w:cs="宋体"/>
                <w:color w:val="000000"/>
                <w:kern w:val="0"/>
                <w:sz w:val="18"/>
                <w:szCs w:val="18"/>
              </w:rPr>
              <w:t>分标准</w:t>
            </w:r>
          </w:p>
        </w:tc>
      </w:tr>
      <w:tr>
        <w:tblPrEx>
          <w:tblCellMar>
            <w:top w:w="0" w:type="dxa"/>
            <w:left w:w="108" w:type="dxa"/>
            <w:bottom w:w="0" w:type="dxa"/>
            <w:right w:w="108" w:type="dxa"/>
          </w:tblCellMar>
        </w:tblPrEx>
        <w:trPr>
          <w:trHeight w:val="1365"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nil"/>
              <w:left w:val="nil"/>
              <w:bottom w:val="single" w:color="auto" w:sz="4" w:space="0"/>
              <w:right w:val="single" w:color="auto" w:sz="4" w:space="0"/>
            </w:tcBorders>
            <w:noWrap w:val="0"/>
            <w:vAlign w:val="center"/>
          </w:tcPr>
          <w:p>
            <w:pPr>
              <w:widowControl/>
              <w:rPr>
                <w:rFonts w:ascii="宋体" w:hAnsi="宋体" w:cs="宋体"/>
                <w:color w:val="000000"/>
                <w:kern w:val="0"/>
                <w:sz w:val="20"/>
                <w:szCs w:val="20"/>
              </w:rPr>
            </w:pPr>
            <w:r>
              <w:rPr>
                <w:rFonts w:hint="eastAsia" w:ascii="宋体" w:hAnsi="宋体" w:cs="宋体"/>
                <w:color w:val="000000"/>
                <w:kern w:val="0"/>
                <w:sz w:val="20"/>
                <w:szCs w:val="20"/>
              </w:rPr>
              <w:t>结转结余率（4）</w:t>
            </w:r>
          </w:p>
        </w:tc>
        <w:tc>
          <w:tcPr>
            <w:tcW w:w="470" w:type="pct"/>
            <w:gridSpan w:val="2"/>
            <w:tcBorders>
              <w:top w:val="single" w:color="auto" w:sz="4" w:space="0"/>
              <w:left w:val="nil"/>
              <w:bottom w:val="single" w:color="auto" w:sz="4" w:space="0"/>
              <w:right w:val="single" w:color="000000"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40"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4</w:t>
            </w:r>
          </w:p>
        </w:tc>
        <w:tc>
          <w:tcPr>
            <w:tcW w:w="232" w:type="pct"/>
            <w:tcBorders>
              <w:top w:val="nil"/>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single" w:color="auto" w:sz="4" w:space="0"/>
              <w:left w:val="single" w:color="auto" w:sz="4" w:space="0"/>
              <w:bottom w:val="single" w:color="auto" w:sz="4" w:space="0"/>
              <w:right w:val="single" w:color="auto" w:sz="4" w:space="0"/>
            </w:tcBorders>
            <w:noWrap w:val="0"/>
            <w:vAlign w:val="center"/>
          </w:tcPr>
          <w:p>
            <w:pPr>
              <w:widowControl/>
              <w:jc w:val="left"/>
              <w:rPr>
                <w:rFonts w:hint="eastAsia" w:ascii="宋体" w:hAnsi="宋体" w:eastAsia="宋体" w:cs="宋体"/>
                <w:color w:val="000000"/>
                <w:kern w:val="0"/>
                <w:sz w:val="18"/>
                <w:szCs w:val="18"/>
                <w:lang w:eastAsia="zh-CN"/>
              </w:rPr>
            </w:pPr>
            <w:r>
              <w:rPr>
                <w:rFonts w:hint="eastAsia" w:ascii="宋体" w:hAnsi="宋体" w:cs="宋体"/>
                <w:color w:val="000000"/>
                <w:kern w:val="0"/>
                <w:sz w:val="18"/>
                <w:szCs w:val="18"/>
              </w:rPr>
              <w:t>结转结余率=结转结余总额/支出预算数×100%。</w:t>
            </w:r>
          </w:p>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结转结余总额：部门（单位）本年度的结转资金与结余资金之和。</w:t>
            </w:r>
          </w:p>
        </w:tc>
        <w:tc>
          <w:tcPr>
            <w:tcW w:w="1518"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部门结转结余率低于上年的不扣分；高于上年结余率，每高出1个百分点扣0.4分，扣完为止。（说明：预算调整和结转结余指标，如非预算部门主观因素导致扣分的，在评分结果征求意见环节，经与相关部门预算主管处室共同研究，可作为例外情况酌情考虑。）</w:t>
            </w:r>
          </w:p>
        </w:tc>
      </w:tr>
      <w:tr>
        <w:tblPrEx>
          <w:tblCellMar>
            <w:top w:w="0" w:type="dxa"/>
            <w:left w:w="108" w:type="dxa"/>
            <w:bottom w:w="0" w:type="dxa"/>
            <w:right w:w="108" w:type="dxa"/>
          </w:tblCellMar>
        </w:tblPrEx>
        <w:trPr>
          <w:trHeight w:val="90" w:hRule="atLeast"/>
        </w:trPr>
        <w:tc>
          <w:tcPr>
            <w:tcW w:w="352" w:type="pct"/>
            <w:vMerge w:val="continue"/>
            <w:tcBorders>
              <w:top w:val="nil"/>
              <w:left w:val="single" w:color="auto" w:sz="4" w:space="0"/>
              <w:bottom w:val="single" w:color="000000" w:sz="4" w:space="0"/>
              <w:right w:val="single" w:color="auto" w:sz="4" w:space="0"/>
            </w:tcBorders>
            <w:noWrap w:val="0"/>
            <w:vAlign w:val="center"/>
          </w:tcPr>
          <w:p>
            <w:pPr>
              <w:widowControl/>
              <w:jc w:val="left"/>
              <w:rPr>
                <w:rFonts w:ascii="宋体" w:hAnsi="宋体" w:cs="宋体"/>
                <w:color w:val="000000"/>
                <w:kern w:val="0"/>
                <w:sz w:val="20"/>
                <w:szCs w:val="20"/>
              </w:rPr>
            </w:pPr>
          </w:p>
        </w:tc>
        <w:tc>
          <w:tcPr>
            <w:tcW w:w="365" w:type="pct"/>
            <w:tcBorders>
              <w:top w:val="nil"/>
              <w:left w:val="nil"/>
              <w:bottom w:val="single" w:color="auto" w:sz="4" w:space="0"/>
              <w:right w:val="single" w:color="auto" w:sz="4" w:space="0"/>
            </w:tcBorders>
            <w:noWrap w:val="0"/>
            <w:vAlign w:val="center"/>
          </w:tcPr>
          <w:p>
            <w:pPr>
              <w:widowControl/>
              <w:rPr>
                <w:rFonts w:hint="eastAsia" w:ascii="宋体" w:hAnsi="宋体" w:cs="宋体"/>
                <w:color w:val="000000"/>
                <w:kern w:val="0"/>
                <w:sz w:val="20"/>
                <w:szCs w:val="20"/>
              </w:rPr>
            </w:pPr>
            <w:r>
              <w:rPr>
                <w:rFonts w:hint="eastAsia" w:ascii="宋体" w:hAnsi="宋体" w:cs="宋体"/>
                <w:color w:val="000000"/>
                <w:kern w:val="0"/>
                <w:sz w:val="20"/>
                <w:szCs w:val="20"/>
              </w:rPr>
              <w:t>部门预决算差异率（4）</w:t>
            </w:r>
          </w:p>
        </w:tc>
        <w:tc>
          <w:tcPr>
            <w:tcW w:w="470" w:type="pct"/>
            <w:gridSpan w:val="2"/>
            <w:tcBorders>
              <w:top w:val="single" w:color="auto" w:sz="4" w:space="0"/>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w:t>
            </w:r>
          </w:p>
        </w:tc>
        <w:tc>
          <w:tcPr>
            <w:tcW w:w="340" w:type="pc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23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4</w:t>
            </w:r>
          </w:p>
        </w:tc>
        <w:tc>
          <w:tcPr>
            <w:tcW w:w="232" w:type="pct"/>
            <w:tcBorders>
              <w:top w:val="nil"/>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1487" w:type="pct"/>
            <w:tcBorders>
              <w:top w:val="nil"/>
              <w:left w:val="single" w:color="auto" w:sz="4" w:space="0"/>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通过年度部门决算与年初部门预算对比，对部门的年度支出情况进行考核，衡量部门预算的约束力。</w:t>
            </w:r>
          </w:p>
        </w:tc>
        <w:tc>
          <w:tcPr>
            <w:tcW w:w="1518" w:type="pct"/>
            <w:tcBorders>
              <w:top w:val="nil"/>
              <w:left w:val="nil"/>
              <w:bottom w:val="single" w:color="auto" w:sz="4" w:space="0"/>
              <w:right w:val="single" w:color="auto" w:sz="4" w:space="0"/>
            </w:tcBorders>
            <w:noWrap w:val="0"/>
            <w:vAlign w:val="center"/>
          </w:tcPr>
          <w:p>
            <w:pPr>
              <w:widowControl/>
              <w:jc w:val="left"/>
              <w:rPr>
                <w:rFonts w:hint="eastAsia" w:ascii="宋体" w:hAnsi="宋体" w:cs="宋体"/>
                <w:color w:val="000000"/>
                <w:kern w:val="0"/>
                <w:sz w:val="18"/>
                <w:szCs w:val="18"/>
              </w:rPr>
            </w:pPr>
            <w:r>
              <w:rPr>
                <w:rFonts w:hint="eastAsia" w:ascii="宋体" w:hAnsi="宋体" w:cs="宋体"/>
                <w:color w:val="000000"/>
                <w:kern w:val="0"/>
                <w:sz w:val="18"/>
                <w:szCs w:val="18"/>
              </w:rPr>
              <w:t>部门预决算差异率高于市级平均差异率（28.3%）的，每高出10%（含），扣0.4分，扣完为止。</w:t>
            </w:r>
          </w:p>
        </w:tc>
      </w:tr>
      <w:tr>
        <w:tblPrEx>
          <w:tblCellMar>
            <w:top w:w="0" w:type="dxa"/>
            <w:left w:w="108" w:type="dxa"/>
            <w:bottom w:w="0" w:type="dxa"/>
            <w:right w:w="108" w:type="dxa"/>
          </w:tblCellMar>
        </w:tblPrEx>
        <w:trPr>
          <w:trHeight w:val="404" w:hRule="atLeast"/>
        </w:trPr>
        <w:tc>
          <w:tcPr>
            <w:tcW w:w="1529" w:type="pct"/>
            <w:gridSpan w:val="5"/>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合计</w:t>
            </w:r>
          </w:p>
        </w:tc>
        <w:tc>
          <w:tcPr>
            <w:tcW w:w="232" w:type="pct"/>
            <w:tcBorders>
              <w:top w:val="nil"/>
              <w:left w:val="nil"/>
              <w:bottom w:val="single" w:color="auto" w:sz="4" w:space="0"/>
              <w:right w:val="single" w:color="auto" w:sz="4" w:space="0"/>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100</w:t>
            </w:r>
          </w:p>
        </w:tc>
        <w:tc>
          <w:tcPr>
            <w:tcW w:w="232" w:type="pct"/>
            <w:tcBorders>
              <w:top w:val="nil"/>
              <w:left w:val="nil"/>
              <w:bottom w:val="single" w:color="auto" w:sz="4" w:space="0"/>
              <w:right w:val="nil"/>
            </w:tcBorders>
            <w:noWrap w:val="0"/>
            <w:vAlign w:val="center"/>
          </w:tcPr>
          <w:p>
            <w:pPr>
              <w:widowControl/>
              <w:jc w:val="center"/>
              <w:rPr>
                <w:rFonts w:hint="eastAsia" w:ascii="宋体" w:hAnsi="宋体" w:cs="宋体"/>
                <w:color w:val="000000"/>
                <w:kern w:val="0"/>
                <w:sz w:val="20"/>
                <w:szCs w:val="20"/>
              </w:rPr>
            </w:pPr>
            <w:r>
              <w:rPr>
                <w:rFonts w:hint="eastAsia" w:ascii="宋体" w:hAnsi="宋体" w:cs="宋体"/>
                <w:color w:val="000000"/>
                <w:kern w:val="0"/>
                <w:sz w:val="20"/>
                <w:szCs w:val="20"/>
              </w:rPr>
              <w:t>　</w:t>
            </w:r>
          </w:p>
        </w:tc>
        <w:tc>
          <w:tcPr>
            <w:tcW w:w="3006" w:type="pct"/>
            <w:gridSpan w:val="2"/>
            <w:tcBorders>
              <w:top w:val="single" w:color="auto" w:sz="4" w:space="0"/>
              <w:left w:val="single" w:color="auto" w:sz="4" w:space="0"/>
              <w:bottom w:val="single" w:color="auto" w:sz="4" w:space="0"/>
              <w:right w:val="single" w:color="000000" w:sz="4" w:space="0"/>
            </w:tcBorders>
            <w:noWrap w:val="0"/>
            <w:vAlign w:val="center"/>
          </w:tcPr>
          <w:p>
            <w:pPr>
              <w:widowControl/>
              <w:jc w:val="center"/>
              <w:rPr>
                <w:rFonts w:hint="eastAsia" w:ascii="宋体" w:hAnsi="宋体" w:cs="宋体"/>
                <w:color w:val="000000"/>
                <w:kern w:val="0"/>
                <w:sz w:val="18"/>
                <w:szCs w:val="18"/>
              </w:rPr>
            </w:pPr>
            <w:r>
              <w:rPr>
                <w:rFonts w:hint="eastAsia" w:ascii="宋体" w:hAnsi="宋体" w:cs="宋体"/>
                <w:color w:val="000000"/>
                <w:kern w:val="0"/>
                <w:sz w:val="18"/>
                <w:szCs w:val="18"/>
              </w:rPr>
              <w:t>　</w:t>
            </w:r>
          </w:p>
        </w:tc>
      </w:tr>
    </w:tbl>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spacing w:line="560" w:lineRule="exact"/>
        <w:jc w:val="center"/>
        <w:rPr>
          <w:rFonts w:hint="eastAsia" w:ascii="方正小标宋简体" w:eastAsia="方正小标宋简体"/>
          <w:sz w:val="36"/>
          <w:szCs w:val="36"/>
        </w:rPr>
      </w:pPr>
      <w:r>
        <w:rPr>
          <w:rFonts w:hint="eastAsia" w:ascii="方正小标宋简体" w:eastAsia="方正小标宋简体"/>
          <w:sz w:val="36"/>
          <w:szCs w:val="36"/>
        </w:rPr>
        <w:t>项目支出绩效评价报告</w:t>
      </w:r>
    </w:p>
    <w:p>
      <w:pPr>
        <w:spacing w:line="560" w:lineRule="exact"/>
        <w:jc w:val="center"/>
        <w:rPr>
          <w:rFonts w:hint="eastAsia" w:ascii="方正小标宋简体" w:eastAsia="方正小标宋简体"/>
          <w:sz w:val="36"/>
          <w:szCs w:val="36"/>
        </w:rPr>
      </w:pPr>
      <w:r>
        <w:rPr>
          <w:rFonts w:hint="eastAsia" w:ascii="方正小标宋简体" w:eastAsia="方正小标宋简体"/>
          <w:sz w:val="36"/>
          <w:szCs w:val="36"/>
        </w:rPr>
        <w:t>（参考模板）</w:t>
      </w:r>
    </w:p>
    <w:p>
      <w:pPr>
        <w:jc w:val="center"/>
        <w:rPr>
          <w:rFonts w:hint="eastAsia" w:ascii="仿宋_GB2312" w:eastAsia="仿宋_GB2312"/>
          <w:sz w:val="32"/>
          <w:szCs w:val="32"/>
        </w:rPr>
      </w:pP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一、基本情况</w:t>
      </w:r>
    </w:p>
    <w:p>
      <w:pPr>
        <w:spacing w:line="600" w:lineRule="exact"/>
        <w:ind w:firstLine="640" w:firstLineChars="20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（一）项目概况。包括项目背景、主要内容及实施情况、资金投入和使用情况等。</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（二）项目绩效目标。包括总体目标和阶段性目标。</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二、绩效评价工作开展情况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（一）绩效评价目的、对象和范围。</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（二）绩效评价原则、评价指标体系（附表说明）、评价方法、评价标准等。</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（三）绩效评价工作过程。</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三、综合评价情况及评价结论（附相关评分表）</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四、绩效评价指标分析</w:t>
      </w:r>
    </w:p>
    <w:p>
      <w:pPr>
        <w:spacing w:line="600" w:lineRule="exact"/>
        <w:ind w:firstLine="640" w:firstLineChars="20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（一）项目决策情况。</w:t>
      </w:r>
    </w:p>
    <w:p>
      <w:pPr>
        <w:spacing w:line="600" w:lineRule="exact"/>
        <w:ind w:firstLine="640" w:firstLineChars="20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（二）项目过程情况。</w:t>
      </w:r>
    </w:p>
    <w:p>
      <w:pPr>
        <w:spacing w:line="600" w:lineRule="exact"/>
        <w:ind w:firstLine="640" w:firstLineChars="20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（三）项目产出情况。</w:t>
      </w:r>
    </w:p>
    <w:p>
      <w:pPr>
        <w:spacing w:line="600" w:lineRule="exact"/>
        <w:ind w:firstLine="640" w:firstLineChars="200"/>
        <w:outlineLvl w:val="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（四）项目效益情况。</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五、主要经验及做法、存在的问题及原因分析</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六、有关建议</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七、其他需要说明的问题</w:t>
      </w: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spacing w:line="480" w:lineRule="exact"/>
        <w:jc w:val="center"/>
        <w:rPr>
          <w:rFonts w:hint="eastAsia" w:ascii="方正小标宋简体" w:hAnsi="黑体" w:eastAsia="方正小标宋简体"/>
          <w:sz w:val="36"/>
          <w:szCs w:val="36"/>
        </w:rPr>
      </w:pPr>
      <w:r>
        <w:rPr>
          <w:rFonts w:hint="eastAsia" w:ascii="方正小标宋简体" w:hAnsi="黑体" w:eastAsia="方正小标宋简体"/>
          <w:sz w:val="36"/>
          <w:szCs w:val="36"/>
        </w:rPr>
        <w:t>项目支出绩效自评表</w:t>
      </w:r>
    </w:p>
    <w:p>
      <w:pPr>
        <w:spacing w:line="480" w:lineRule="exact"/>
        <w:jc w:val="center"/>
        <w:rPr>
          <w:rFonts w:ascii="仿宋_GB2312" w:hAnsi="宋体" w:eastAsia="仿宋_GB2312"/>
          <w:sz w:val="28"/>
          <w:szCs w:val="28"/>
        </w:rPr>
      </w:pPr>
      <w:r>
        <w:rPr>
          <w:rFonts w:hint="eastAsia" w:ascii="仿宋_GB2312" w:hAnsi="宋体" w:eastAsia="仿宋_GB2312"/>
          <w:sz w:val="28"/>
          <w:szCs w:val="28"/>
        </w:rPr>
        <w:t xml:space="preserve">（   </w:t>
      </w:r>
      <w:r>
        <w:rPr>
          <w:rFonts w:ascii="仿宋_GB2312" w:hAnsi="宋体" w:eastAsia="仿宋_GB2312"/>
          <w:sz w:val="28"/>
          <w:szCs w:val="28"/>
        </w:rPr>
        <w:t xml:space="preserve">  </w:t>
      </w:r>
      <w:r>
        <w:rPr>
          <w:rFonts w:hint="eastAsia" w:ascii="仿宋_GB2312" w:hAnsi="宋体" w:eastAsia="仿宋_GB2312"/>
          <w:sz w:val="28"/>
          <w:szCs w:val="28"/>
        </w:rPr>
        <w:t xml:space="preserve"> 年度）</w:t>
      </w:r>
    </w:p>
    <w:p>
      <w:pPr>
        <w:spacing w:line="240" w:lineRule="exact"/>
        <w:rPr>
          <w:rFonts w:hint="eastAsia" w:ascii="仿宋_GB2312" w:hAnsi="宋体" w:eastAsia="仿宋_GB2312"/>
          <w:sz w:val="30"/>
          <w:szCs w:val="30"/>
        </w:rPr>
      </w:pPr>
    </w:p>
    <w:tbl>
      <w:tblPr>
        <w:tblStyle w:val="11"/>
        <w:tblW w:w="9038" w:type="dxa"/>
        <w:jc w:val="center"/>
        <w:tblLayout w:type="fixed"/>
        <w:tblCellMar>
          <w:top w:w="0" w:type="dxa"/>
          <w:left w:w="108" w:type="dxa"/>
          <w:bottom w:w="0" w:type="dxa"/>
          <w:right w:w="108" w:type="dxa"/>
        </w:tblCellMar>
      </w:tblPr>
      <w:tblGrid>
        <w:gridCol w:w="585"/>
        <w:gridCol w:w="975"/>
        <w:gridCol w:w="1105"/>
        <w:gridCol w:w="727"/>
        <w:gridCol w:w="1127"/>
        <w:gridCol w:w="283"/>
        <w:gridCol w:w="849"/>
        <w:gridCol w:w="848"/>
        <w:gridCol w:w="279"/>
        <w:gridCol w:w="284"/>
        <w:gridCol w:w="420"/>
        <w:gridCol w:w="143"/>
        <w:gridCol w:w="703"/>
        <w:gridCol w:w="710"/>
      </w:tblGrid>
      <w:tr>
        <w:tblPrEx>
          <w:tblCellMar>
            <w:top w:w="0" w:type="dxa"/>
            <w:left w:w="108" w:type="dxa"/>
            <w:bottom w:w="0" w:type="dxa"/>
            <w:right w:w="108" w:type="dxa"/>
          </w:tblCellMar>
        </w:tblPrEx>
        <w:trPr>
          <w:trHeight w:val="306" w:hRule="exact"/>
          <w:jc w:val="center"/>
        </w:trPr>
        <w:tc>
          <w:tcPr>
            <w:tcW w:w="1560" w:type="dxa"/>
            <w:gridSpan w:val="2"/>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项目名称</w:t>
            </w:r>
          </w:p>
        </w:tc>
        <w:tc>
          <w:tcPr>
            <w:tcW w:w="7478" w:type="dxa"/>
            <w:gridSpan w:val="1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1560" w:type="dxa"/>
            <w:gridSpan w:val="2"/>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主管部门</w:t>
            </w:r>
          </w:p>
        </w:tc>
        <w:tc>
          <w:tcPr>
            <w:tcW w:w="4091" w:type="dxa"/>
            <w:gridSpan w:val="5"/>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实施单位</w:t>
            </w:r>
          </w:p>
        </w:tc>
        <w:tc>
          <w:tcPr>
            <w:tcW w:w="2258" w:type="dxa"/>
            <w:gridSpan w:val="5"/>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1560" w:type="dxa"/>
            <w:gridSpan w:val="2"/>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项目负责人</w:t>
            </w:r>
          </w:p>
        </w:tc>
        <w:tc>
          <w:tcPr>
            <w:tcW w:w="4091" w:type="dxa"/>
            <w:gridSpan w:val="5"/>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联系电话</w:t>
            </w:r>
          </w:p>
        </w:tc>
        <w:tc>
          <w:tcPr>
            <w:tcW w:w="2258" w:type="dxa"/>
            <w:gridSpan w:val="5"/>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567" w:hRule="exact"/>
          <w:jc w:val="center"/>
        </w:trPr>
        <w:tc>
          <w:tcPr>
            <w:tcW w:w="1560" w:type="dxa"/>
            <w:gridSpan w:val="2"/>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lang w:eastAsia="zh-CN"/>
              </w:rPr>
            </w:pPr>
            <w:r>
              <w:rPr>
                <w:rFonts w:hint="eastAsia" w:ascii="仿宋_GB2312" w:hAnsi="宋体" w:eastAsia="仿宋_GB2312" w:cs="宋体"/>
                <w:kern w:val="0"/>
                <w:szCs w:val="21"/>
              </w:rPr>
              <w:t>项目资金</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（万元）</w:t>
            </w:r>
          </w:p>
        </w:tc>
        <w:tc>
          <w:tcPr>
            <w:tcW w:w="1832"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tcBorders>
              <w:top w:val="nil"/>
              <w:left w:val="nil"/>
              <w:bottom w:val="single" w:color="auto" w:sz="4" w:space="0"/>
              <w:right w:val="single" w:color="auto" w:sz="4" w:space="0"/>
            </w:tcBorders>
            <w:noWrap w:val="0"/>
            <w:vAlign w:val="center"/>
          </w:tcPr>
          <w:p>
            <w:pPr>
              <w:widowControl/>
              <w:spacing w:line="240" w:lineRule="exact"/>
              <w:jc w:val="center"/>
              <w:rPr>
                <w:rFonts w:ascii="仿宋_GB2312" w:hAnsi="宋体" w:eastAsia="仿宋_GB2312" w:cs="宋体"/>
                <w:kern w:val="0"/>
                <w:szCs w:val="21"/>
              </w:rPr>
            </w:pPr>
            <w:r>
              <w:rPr>
                <w:rFonts w:hint="eastAsia" w:ascii="仿宋_GB2312" w:hAnsi="宋体" w:eastAsia="仿宋_GB2312" w:cs="宋体"/>
                <w:kern w:val="0"/>
                <w:szCs w:val="21"/>
              </w:rPr>
              <w:t>年初预</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算数</w:t>
            </w:r>
          </w:p>
        </w:tc>
        <w:tc>
          <w:tcPr>
            <w:tcW w:w="1131"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ascii="仿宋_GB2312" w:hAnsi="宋体" w:eastAsia="仿宋_GB2312" w:cs="宋体"/>
                <w:kern w:val="0"/>
                <w:szCs w:val="21"/>
              </w:rPr>
            </w:pPr>
            <w:r>
              <w:rPr>
                <w:rFonts w:hint="eastAsia" w:ascii="仿宋_GB2312" w:hAnsi="宋体" w:eastAsia="仿宋_GB2312" w:cs="宋体"/>
                <w:kern w:val="0"/>
                <w:szCs w:val="21"/>
              </w:rPr>
              <w:t>全年预</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算数</w:t>
            </w: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ascii="仿宋_GB2312" w:hAnsi="宋体" w:eastAsia="仿宋_GB2312" w:cs="宋体"/>
                <w:kern w:val="0"/>
                <w:szCs w:val="21"/>
              </w:rPr>
            </w:pPr>
            <w:r>
              <w:rPr>
                <w:rFonts w:hint="eastAsia" w:ascii="仿宋_GB2312" w:hAnsi="宋体" w:eastAsia="仿宋_GB2312" w:cs="宋体"/>
                <w:kern w:val="0"/>
                <w:szCs w:val="21"/>
              </w:rPr>
              <w:t>全年</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执行数</w:t>
            </w:r>
          </w:p>
        </w:tc>
        <w:tc>
          <w:tcPr>
            <w:tcW w:w="704"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分值</w:t>
            </w:r>
          </w:p>
        </w:tc>
        <w:tc>
          <w:tcPr>
            <w:tcW w:w="846"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执行率</w:t>
            </w:r>
          </w:p>
        </w:tc>
        <w:tc>
          <w:tcPr>
            <w:tcW w:w="70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得分</w:t>
            </w:r>
          </w:p>
        </w:tc>
      </w:tr>
      <w:tr>
        <w:tblPrEx>
          <w:tblCellMar>
            <w:top w:w="0" w:type="dxa"/>
            <w:left w:w="108" w:type="dxa"/>
            <w:bottom w:w="0" w:type="dxa"/>
            <w:right w:w="108" w:type="dxa"/>
          </w:tblCellMar>
        </w:tblPrEx>
        <w:trPr>
          <w:trHeight w:val="306" w:hRule="exact"/>
          <w:jc w:val="center"/>
        </w:trPr>
        <w:tc>
          <w:tcPr>
            <w:tcW w:w="15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832"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rPr>
                <w:rFonts w:hint="eastAsia" w:ascii="仿宋_GB2312" w:hAnsi="宋体" w:eastAsia="仿宋_GB2312" w:cs="宋体"/>
                <w:kern w:val="0"/>
                <w:szCs w:val="21"/>
              </w:rPr>
            </w:pPr>
            <w:r>
              <w:rPr>
                <w:rFonts w:hint="eastAsia" w:ascii="仿宋_GB2312" w:hAnsi="宋体" w:eastAsia="仿宋_GB2312" w:cs="宋体"/>
                <w:kern w:val="0"/>
                <w:szCs w:val="21"/>
              </w:rPr>
              <w:t>年度资金总额</w:t>
            </w:r>
          </w:p>
        </w:tc>
        <w:tc>
          <w:tcPr>
            <w:tcW w:w="112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31"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4"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10</w:t>
            </w:r>
          </w:p>
        </w:tc>
        <w:tc>
          <w:tcPr>
            <w:tcW w:w="846"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601" w:hRule="exact"/>
          <w:jc w:val="center"/>
        </w:trPr>
        <w:tc>
          <w:tcPr>
            <w:tcW w:w="15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832"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ascii="仿宋_GB2312" w:hAnsi="宋体" w:eastAsia="仿宋_GB2312" w:cs="宋体"/>
                <w:kern w:val="0"/>
                <w:szCs w:val="21"/>
              </w:rPr>
            </w:pPr>
            <w:r>
              <w:rPr>
                <w:rFonts w:hint="eastAsia" w:ascii="仿宋_GB2312" w:hAnsi="宋体" w:eastAsia="仿宋_GB2312" w:cs="宋体"/>
                <w:kern w:val="0"/>
                <w:szCs w:val="21"/>
              </w:rPr>
              <w:t>其中：当年财政</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拨款</w:t>
            </w:r>
          </w:p>
        </w:tc>
        <w:tc>
          <w:tcPr>
            <w:tcW w:w="112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31"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4"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c>
          <w:tcPr>
            <w:tcW w:w="846"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r>
      <w:tr>
        <w:tblPrEx>
          <w:tblCellMar>
            <w:top w:w="0" w:type="dxa"/>
            <w:left w:w="108" w:type="dxa"/>
            <w:bottom w:w="0" w:type="dxa"/>
            <w:right w:w="108" w:type="dxa"/>
          </w:tblCellMar>
        </w:tblPrEx>
        <w:trPr>
          <w:trHeight w:val="567" w:hRule="exact"/>
          <w:jc w:val="center"/>
        </w:trPr>
        <w:tc>
          <w:tcPr>
            <w:tcW w:w="15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832"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 xml:space="preserve">      上年结转资金</w:t>
            </w:r>
          </w:p>
        </w:tc>
        <w:tc>
          <w:tcPr>
            <w:tcW w:w="112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31"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4"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c>
          <w:tcPr>
            <w:tcW w:w="846"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r>
      <w:tr>
        <w:tblPrEx>
          <w:tblCellMar>
            <w:top w:w="0" w:type="dxa"/>
            <w:left w:w="108" w:type="dxa"/>
            <w:bottom w:w="0" w:type="dxa"/>
            <w:right w:w="108" w:type="dxa"/>
          </w:tblCellMar>
        </w:tblPrEx>
        <w:trPr>
          <w:trHeight w:val="306" w:hRule="exact"/>
          <w:jc w:val="center"/>
        </w:trPr>
        <w:tc>
          <w:tcPr>
            <w:tcW w:w="15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832"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 xml:space="preserve">  其他资金</w:t>
            </w:r>
          </w:p>
        </w:tc>
        <w:tc>
          <w:tcPr>
            <w:tcW w:w="112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31"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27"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4" w:type="dxa"/>
            <w:gridSpan w:val="2"/>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c>
          <w:tcPr>
            <w:tcW w:w="846"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707" w:type="dxa"/>
            <w:tcBorders>
              <w:top w:val="nil"/>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w:t>
            </w:r>
          </w:p>
        </w:tc>
      </w:tr>
      <w:tr>
        <w:tblPrEx>
          <w:tblCellMar>
            <w:top w:w="0" w:type="dxa"/>
            <w:left w:w="108" w:type="dxa"/>
            <w:bottom w:w="0" w:type="dxa"/>
            <w:right w:w="108" w:type="dxa"/>
          </w:tblCellMar>
        </w:tblPrEx>
        <w:trPr>
          <w:trHeight w:val="548" w:hRule="exact"/>
          <w:jc w:val="center"/>
        </w:trPr>
        <w:tc>
          <w:tcPr>
            <w:tcW w:w="585" w:type="dxa"/>
            <w:vMerge w:val="restart"/>
            <w:tcBorders>
              <w:top w:val="nil"/>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年度总体目标</w:t>
            </w:r>
          </w:p>
        </w:tc>
        <w:tc>
          <w:tcPr>
            <w:tcW w:w="5066" w:type="dxa"/>
            <w:gridSpan w:val="6"/>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预期目标</w:t>
            </w:r>
          </w:p>
        </w:tc>
        <w:tc>
          <w:tcPr>
            <w:tcW w:w="3386" w:type="dxa"/>
            <w:gridSpan w:val="7"/>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实际完成情况</w:t>
            </w:r>
          </w:p>
        </w:tc>
      </w:tr>
      <w:tr>
        <w:tblPrEx>
          <w:tblCellMar>
            <w:top w:w="0" w:type="dxa"/>
            <w:left w:w="108" w:type="dxa"/>
            <w:bottom w:w="0" w:type="dxa"/>
            <w:right w:w="108" w:type="dxa"/>
          </w:tblCellMar>
        </w:tblPrEx>
        <w:trPr>
          <w:trHeight w:val="1597" w:hRule="exact"/>
          <w:jc w:val="center"/>
        </w:trPr>
        <w:tc>
          <w:tcPr>
            <w:tcW w:w="585" w:type="dxa"/>
            <w:vMerge w:val="continue"/>
            <w:tcBorders>
              <w:top w:val="nil"/>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066" w:type="dxa"/>
            <w:gridSpan w:val="6"/>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3386" w:type="dxa"/>
            <w:gridSpan w:val="7"/>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830" w:hRule="exact"/>
          <w:jc w:val="center"/>
        </w:trPr>
        <w:tc>
          <w:tcPr>
            <w:tcW w:w="58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lang w:eastAsia="zh-CN"/>
              </w:rPr>
            </w:pPr>
            <w:r>
              <w:rPr>
                <w:rFonts w:hint="eastAsia" w:ascii="仿宋_GB2312" w:hAnsi="宋体" w:eastAsia="仿宋_GB2312" w:cs="宋体"/>
                <w:kern w:val="0"/>
                <w:szCs w:val="21"/>
              </w:rPr>
              <w:t>绩</w:t>
            </w:r>
          </w:p>
          <w:p>
            <w:pPr>
              <w:widowControl/>
              <w:spacing w:line="240" w:lineRule="exact"/>
              <w:jc w:val="center"/>
              <w:rPr>
                <w:rFonts w:hint="eastAsia" w:ascii="仿宋_GB2312" w:hAnsi="宋体" w:eastAsia="仿宋_GB2312" w:cs="宋体"/>
                <w:kern w:val="0"/>
                <w:szCs w:val="21"/>
                <w:lang w:eastAsia="zh-CN"/>
              </w:rPr>
            </w:pPr>
            <w:r>
              <w:rPr>
                <w:rFonts w:hint="eastAsia" w:ascii="仿宋_GB2312" w:hAnsi="宋体" w:eastAsia="仿宋_GB2312" w:cs="宋体"/>
                <w:kern w:val="0"/>
                <w:szCs w:val="21"/>
              </w:rPr>
              <w:t>效</w:t>
            </w:r>
          </w:p>
          <w:p>
            <w:pPr>
              <w:widowControl/>
              <w:spacing w:line="240" w:lineRule="exact"/>
              <w:jc w:val="center"/>
              <w:rPr>
                <w:rFonts w:hint="eastAsia" w:ascii="仿宋_GB2312" w:hAnsi="宋体" w:eastAsia="仿宋_GB2312" w:cs="宋体"/>
                <w:kern w:val="0"/>
                <w:szCs w:val="21"/>
                <w:lang w:eastAsia="zh-CN"/>
              </w:rPr>
            </w:pPr>
            <w:r>
              <w:rPr>
                <w:rFonts w:hint="eastAsia" w:ascii="仿宋_GB2312" w:hAnsi="宋体" w:eastAsia="仿宋_GB2312" w:cs="宋体"/>
                <w:kern w:val="0"/>
                <w:szCs w:val="21"/>
              </w:rPr>
              <w:t>指</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标</w:t>
            </w:r>
          </w:p>
        </w:tc>
        <w:tc>
          <w:tcPr>
            <w:tcW w:w="974"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一级指标</w:t>
            </w:r>
          </w:p>
        </w:tc>
        <w:tc>
          <w:tcPr>
            <w:tcW w:w="1105"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二级指标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三级指标</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年度</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指标值</w:t>
            </w: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实际</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完成值</w:t>
            </w: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分值</w:t>
            </w: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得分</w:t>
            </w: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ascii="仿宋_GB2312" w:hAnsi="宋体" w:eastAsia="仿宋_GB2312" w:cs="宋体"/>
                <w:kern w:val="0"/>
                <w:szCs w:val="21"/>
              </w:rPr>
            </w:pPr>
            <w:r>
              <w:rPr>
                <w:rFonts w:hint="eastAsia" w:ascii="仿宋_GB2312" w:hAnsi="宋体" w:eastAsia="仿宋_GB2312" w:cs="宋体"/>
                <w:kern w:val="0"/>
                <w:szCs w:val="21"/>
              </w:rPr>
              <w:t>偏差原因分析及改进</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措施</w:t>
            </w: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产出指标</w:t>
            </w: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数量指标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质量指标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时效指标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成本指标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效益指标</w:t>
            </w: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经济效益</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社会效益</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生态效益</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可持续影响指标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满意度</w:t>
            </w:r>
          </w:p>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指标</w:t>
            </w:r>
          </w:p>
        </w:tc>
        <w:tc>
          <w:tcPr>
            <w:tcW w:w="1105"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r>
              <w:rPr>
                <w:rFonts w:hint="eastAsia" w:ascii="仿宋_GB2312" w:hAnsi="宋体" w:eastAsia="仿宋_GB2312" w:cs="宋体"/>
                <w:kern w:val="0"/>
                <w:szCs w:val="21"/>
              </w:rPr>
              <w:t>服务对象满意度标</w:t>
            </w: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指标1：</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指标2：</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306" w:hRule="exact"/>
          <w:jc w:val="center"/>
        </w:trPr>
        <w:tc>
          <w:tcPr>
            <w:tcW w:w="58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974"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105"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2137" w:type="dxa"/>
            <w:gridSpan w:val="3"/>
            <w:tcBorders>
              <w:top w:val="single" w:color="auto" w:sz="4" w:space="0"/>
              <w:left w:val="nil"/>
              <w:bottom w:val="single" w:color="auto" w:sz="4" w:space="0"/>
              <w:right w:val="single" w:color="auto" w:sz="4" w:space="0"/>
            </w:tcBorders>
            <w:noWrap w:val="0"/>
            <w:vAlign w:val="center"/>
          </w:tcPr>
          <w:p>
            <w:pPr>
              <w:widowControl/>
              <w:spacing w:line="240" w:lineRule="exact"/>
              <w:jc w:val="left"/>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w:t>
            </w:r>
          </w:p>
        </w:tc>
        <w:tc>
          <w:tcPr>
            <w:tcW w:w="849"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847" w:type="dxa"/>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r>
        <w:tblPrEx>
          <w:tblCellMar>
            <w:top w:w="0" w:type="dxa"/>
            <w:left w:w="108" w:type="dxa"/>
            <w:bottom w:w="0" w:type="dxa"/>
            <w:right w:w="108" w:type="dxa"/>
          </w:tblCellMar>
        </w:tblPrEx>
        <w:trPr>
          <w:trHeight w:val="477" w:hRule="exact"/>
          <w:jc w:val="center"/>
        </w:trPr>
        <w:tc>
          <w:tcPr>
            <w:tcW w:w="6499" w:type="dxa"/>
            <w:gridSpan w:val="8"/>
            <w:tcBorders>
              <w:top w:val="single" w:color="auto" w:sz="4" w:space="0"/>
              <w:left w:val="single" w:color="auto" w:sz="4" w:space="0"/>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总分</w:t>
            </w: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color w:val="000000"/>
                <w:kern w:val="0"/>
                <w:szCs w:val="21"/>
              </w:rPr>
            </w:pPr>
            <w:r>
              <w:rPr>
                <w:rFonts w:hint="eastAsia" w:ascii="仿宋_GB2312" w:hAnsi="宋体" w:eastAsia="仿宋_GB2312" w:cs="宋体"/>
                <w:color w:val="000000"/>
                <w:kern w:val="0"/>
                <w:szCs w:val="21"/>
              </w:rPr>
              <w:t>100</w:t>
            </w:r>
          </w:p>
        </w:tc>
        <w:tc>
          <w:tcPr>
            <w:tcW w:w="563"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color w:val="000000"/>
                <w:kern w:val="0"/>
                <w:szCs w:val="21"/>
              </w:rPr>
            </w:pPr>
          </w:p>
        </w:tc>
        <w:tc>
          <w:tcPr>
            <w:tcW w:w="1411" w:type="dxa"/>
            <w:gridSpan w:val="2"/>
            <w:tcBorders>
              <w:top w:val="single" w:color="auto" w:sz="4" w:space="0"/>
              <w:left w:val="nil"/>
              <w:bottom w:val="single" w:color="auto" w:sz="4" w:space="0"/>
              <w:right w:val="single" w:color="auto" w:sz="4" w:space="0"/>
            </w:tcBorders>
            <w:noWrap w:val="0"/>
            <w:vAlign w:val="center"/>
          </w:tcPr>
          <w:p>
            <w:pPr>
              <w:widowControl/>
              <w:spacing w:line="240" w:lineRule="exact"/>
              <w:jc w:val="center"/>
              <w:rPr>
                <w:rFonts w:hint="eastAsia" w:ascii="仿宋_GB2312" w:hAnsi="宋体" w:eastAsia="仿宋_GB2312" w:cs="宋体"/>
                <w:kern w:val="0"/>
                <w:szCs w:val="21"/>
              </w:rPr>
            </w:pPr>
          </w:p>
        </w:tc>
      </w:tr>
    </w:tbl>
    <w:p>
      <w:pPr>
        <w:rPr>
          <w:rFonts w:hint="eastAsia" w:ascii="仿宋_GB2312" w:eastAsia="仿宋_GB2312"/>
          <w:vanish/>
          <w:sz w:val="32"/>
          <w:szCs w:val="32"/>
        </w:rPr>
      </w:pPr>
    </w:p>
    <w:p>
      <w:pPr>
        <w:widowControl/>
        <w:jc w:val="left"/>
        <w:rPr>
          <w:rFonts w:ascii="仿宋_GB2312" w:hAnsi="宋体" w:eastAsia="仿宋_GB2312" w:cs="宋体"/>
          <w:color w:val="000000"/>
          <w:kern w:val="0"/>
          <w:sz w:val="32"/>
          <w:szCs w:val="32"/>
        </w:rPr>
      </w:pPr>
    </w:p>
    <w:p>
      <w:pPr>
        <w:widowControl/>
        <w:spacing w:line="520" w:lineRule="exact"/>
        <w:jc w:val="left"/>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填报注意事项：</w:t>
      </w:r>
    </w:p>
    <w:p>
      <w:pPr>
        <w:widowControl/>
        <w:spacing w:line="520" w:lineRule="exact"/>
        <w:ind w:firstLine="640" w:firstLineChars="200"/>
        <w:jc w:val="left"/>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1.得分一档最高不能超过该指标分值上限。</w:t>
      </w:r>
    </w:p>
    <w:p>
      <w:pPr>
        <w:widowControl/>
        <w:spacing w:line="520" w:lineRule="exact"/>
        <w:jc w:val="left"/>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 xml:space="preserve">    2.定量指标若为正向指标，则得分计算方法应用全年实际值（B）/年度指标值（A）*该指标分值；若定量指标为反向指标，则得分计算方法应用年度指标值（A）/全年实际值（B）*该指标分值。若年初指标值设定偏低，则得分计算方法应用（全年实际值（B）—年度指标值（A））/年度指标值（A）*100%。若计算结果在200%-300%（含200%）区间，则按照该指标分值的10%扣分；计算结果在300%-500%（含300%）区间，则按照该指标分值的20%扣分；计算结果高于500%（含500%），则按照该指标分值的30%扣分。</w:t>
      </w:r>
    </w:p>
    <w:p>
      <w:pPr>
        <w:spacing w:line="520" w:lineRule="exact"/>
        <w:ind w:firstLine="640" w:firstLineChars="200"/>
        <w:jc w:val="left"/>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3.请在“偏差原因分析及改进措施”中说明偏离目标、不能完成目标的原因及拟采取的措施。</w:t>
      </w:r>
    </w:p>
    <w:p>
      <w:pPr>
        <w:spacing w:line="520" w:lineRule="exact"/>
        <w:ind w:firstLine="640" w:firstLineChars="200"/>
        <w:rPr>
          <w:rFonts w:hint="eastAsia" w:ascii="仿宋_GB2312" w:hAnsi="宋体" w:eastAsia="仿宋_GB2312" w:cs="宋体"/>
          <w:color w:val="000000"/>
          <w:kern w:val="0"/>
          <w:sz w:val="32"/>
          <w:szCs w:val="32"/>
        </w:rPr>
      </w:pPr>
      <w:r>
        <w:rPr>
          <w:rFonts w:hint="eastAsia" w:ascii="仿宋_GB2312" w:hAnsi="宋体" w:eastAsia="仿宋_GB2312" w:cs="宋体"/>
          <w:color w:val="000000"/>
          <w:kern w:val="0"/>
          <w:sz w:val="32"/>
          <w:szCs w:val="32"/>
        </w:rPr>
        <w:t>4.90（含）-100分为优、80（含）-90分为良、60（含）-80分为中、60分以下为差。</w:t>
      </w:r>
    </w:p>
    <w:p>
      <w:pPr>
        <w:spacing w:line="480" w:lineRule="exact"/>
        <w:rPr>
          <w:rFonts w:hint="eastAsia" w:ascii="仿宋_GB2312" w:eastAsia="仿宋_GB2312"/>
          <w:sz w:val="32"/>
          <w:szCs w:val="32"/>
        </w:rPr>
      </w:pPr>
    </w:p>
    <w:p>
      <w:pPr>
        <w:pStyle w:val="2"/>
        <w:ind w:firstLine="640"/>
        <w:rPr>
          <w:rFonts w:hint="eastAsia" w:ascii="仿宋_GB2312" w:eastAsia="仿宋_GB2312"/>
          <w:sz w:val="32"/>
          <w:szCs w:val="32"/>
        </w:rPr>
      </w:pPr>
    </w:p>
    <w:p>
      <w:pPr>
        <w:pStyle w:val="2"/>
        <w:ind w:firstLine="640"/>
        <w:rPr>
          <w:rFonts w:hint="eastAsia" w:ascii="仿宋_GB2312" w:eastAsia="仿宋_GB2312"/>
          <w:sz w:val="32"/>
          <w:szCs w:val="32"/>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pStyle w:val="2"/>
        <w:rPr>
          <w:rFonts w:hint="eastAsia"/>
        </w:rPr>
      </w:pPr>
    </w:p>
    <w:p>
      <w:pPr>
        <w:spacing w:line="600" w:lineRule="exact"/>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t>202</w:t>
      </w:r>
      <w:r>
        <w:rPr>
          <w:rFonts w:hint="eastAsia" w:ascii="方正小标宋简体" w:hAnsi="方正小标宋简体" w:eastAsia="方正小标宋简体" w:cs="方正小标宋简体"/>
          <w:sz w:val="36"/>
          <w:szCs w:val="36"/>
          <w:lang w:val="en-US" w:eastAsia="zh-CN"/>
        </w:rPr>
        <w:t>3</w:t>
      </w:r>
      <w:r>
        <w:rPr>
          <w:rFonts w:hint="eastAsia" w:ascii="方正小标宋简体" w:hAnsi="方正小标宋简体" w:eastAsia="方正小标宋简体" w:cs="方正小标宋简体"/>
          <w:sz w:val="36"/>
          <w:szCs w:val="36"/>
        </w:rPr>
        <w:t>年度中央对北京XX转移支付</w:t>
      </w:r>
    </w:p>
    <w:p>
      <w:pPr>
        <w:spacing w:line="600" w:lineRule="exact"/>
        <w:jc w:val="center"/>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rPr>
        <w:t>预算执行情况绩效自评报告</w:t>
      </w:r>
    </w:p>
    <w:p>
      <w:pPr>
        <w:spacing w:line="600" w:lineRule="exact"/>
        <w:jc w:val="cente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（参考提纲）</w:t>
      </w:r>
    </w:p>
    <w:p>
      <w:pPr>
        <w:spacing w:line="600" w:lineRule="exact"/>
        <w:ind w:firstLine="640" w:firstLineChars="200"/>
        <w:rPr>
          <w:rFonts w:hint="eastAsia" w:ascii="黑体" w:hAnsi="黑体" w:eastAsia="黑体" w:cs="黑体"/>
          <w:sz w:val="32"/>
          <w:szCs w:val="32"/>
        </w:rPr>
      </w:pP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一、转移支付基本情况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（一）XX转移支付概况。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（二）资金投入情况分析。（分析资金投入及执行情况）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（三）资金管理情况分析。（分析资金分配、下达、拨付、使用、执行、预算绩效管理、支出责任履行等情况）</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二、绩效目标实现情况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（一）总体绩效目标完成情况分析。（对照总体目标分析全年实际完成情况）</w:t>
      </w:r>
    </w:p>
    <w:p>
      <w:pPr>
        <w:spacing w:line="600" w:lineRule="exact"/>
        <w:ind w:firstLine="640" w:firstLineChars="200"/>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（二）绩效指标完成情况分析。（根据各三级绩效指标值，逐项分析全年实际完成情况）</w:t>
      </w:r>
    </w:p>
    <w:p>
      <w:pPr>
        <w:spacing w:line="600" w:lineRule="exact"/>
        <w:ind w:firstLine="640" w:firstLineChars="200"/>
        <w:rPr>
          <w:rFonts w:hint="eastAsia" w:ascii="黑体" w:hAnsi="黑体" w:eastAsia="黑体" w:cs="黑体"/>
          <w:sz w:val="32"/>
          <w:szCs w:val="32"/>
        </w:rPr>
      </w:pPr>
      <w:r>
        <w:rPr>
          <w:rFonts w:hint="eastAsia" w:ascii="黑体" w:hAnsi="黑体" w:eastAsia="黑体" w:cs="黑体"/>
          <w:sz w:val="32"/>
          <w:szCs w:val="32"/>
        </w:rPr>
        <w:t>三、绩效自评结论</w:t>
      </w:r>
    </w:p>
    <w:p>
      <w:pPr>
        <w:pStyle w:val="2"/>
        <w:ind w:firstLine="640"/>
        <w:rPr>
          <w:rFonts w:hint="eastAsia" w:ascii="黑体" w:eastAsia="黑体"/>
          <w:sz w:val="32"/>
          <w:szCs w:val="32"/>
        </w:rPr>
      </w:pPr>
      <w:r>
        <w:rPr>
          <w:rFonts w:hint="eastAsia" w:ascii="楷体_GB2312" w:hAnsi="楷体_GB2312" w:eastAsia="楷体_GB2312" w:cs="楷体_GB2312"/>
          <w:sz w:val="32"/>
          <w:szCs w:val="32"/>
        </w:rPr>
        <w:t>（市级主管部门对中央对北京XX转移支付整体情况绩效自评结论）</w:t>
      </w:r>
    </w:p>
    <w:p>
      <w:pPr>
        <w:pStyle w:val="2"/>
        <w:ind w:left="0" w:leftChars="0" w:firstLine="0" w:firstLineChars="0"/>
        <w:rPr>
          <w:rFonts w:hint="eastAsia"/>
        </w:rPr>
      </w:pPr>
      <w:bookmarkStart w:id="0" w:name="_GoBack"/>
      <w:bookmarkEnd w:id="0"/>
    </w:p>
    <w:sectPr>
      <w:footerReference r:id="rId4" w:type="default"/>
      <w:footerReference r:id="rId5" w:type="even"/>
      <w:pgSz w:w="16838" w:h="11906" w:orient="landscape"/>
      <w:pgMar w:top="1134" w:right="1134" w:bottom="1134" w:left="1134"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auto"/>
    <w:pitch w:val="default"/>
    <w:sig w:usb0="00000001" w:usb1="080E0000" w:usb2="00000000" w:usb3="00000000" w:csb0="00040000" w:csb1="00000000"/>
  </w:font>
  <w:font w:name="Tahoma">
    <w:panose1 w:val="020B0604030504040204"/>
    <w:charset w:val="00"/>
    <w:family w:val="swiss"/>
    <w:pitch w:val="default"/>
    <w:sig w:usb0="E1002EFF" w:usb1="C000605B" w:usb2="00000029" w:usb3="00000000" w:csb0="200101FF" w:csb1="20280000"/>
  </w:font>
  <w:font w:name="仿宋">
    <w:panose1 w:val="02010609060101010101"/>
    <w:charset w:val="86"/>
    <w:family w:val="modern"/>
    <w:pitch w:val="default"/>
    <w:sig w:usb0="800002BF" w:usb1="38CF7CFA" w:usb2="00000016" w:usb3="00000000" w:csb0="00040001" w:csb1="00000000"/>
  </w:font>
  <w:font w:name="Droid Sans">
    <w:altName w:val="微软雅黑"/>
    <w:panose1 w:val="00000000000000000000"/>
    <w:charset w:val="00"/>
    <w:family w:val="auto"/>
    <w:pitch w:val="default"/>
    <w:sig w:usb0="00000000" w:usb1="00000000" w:usb2="00000000" w:usb3="00000000" w:csb0="00040001" w:csb1="00000000"/>
  </w:font>
  <w:font w:name="方正小标宋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14</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23</w:t>
    </w:r>
    <w:r>
      <w:fldChar w:fldCharType="end"/>
    </w:r>
  </w:p>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15</w: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2A6919"/>
    <w:multiLevelType w:val="singleLevel"/>
    <w:tmpl w:val="192A6919"/>
    <w:lvl w:ilvl="0" w:tentative="0">
      <w:start w:val="5"/>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NiMDkwODA3YmZlOWUwYTgxYzU0MjA2MDNmYjZiMGIifQ=="/>
  </w:docVars>
  <w:rsids>
    <w:rsidRoot w:val="00100246"/>
    <w:rsid w:val="00003B03"/>
    <w:rsid w:val="000040E6"/>
    <w:rsid w:val="00011D72"/>
    <w:rsid w:val="00027CD5"/>
    <w:rsid w:val="00031B8E"/>
    <w:rsid w:val="00033EC1"/>
    <w:rsid w:val="00034224"/>
    <w:rsid w:val="00040275"/>
    <w:rsid w:val="0004719C"/>
    <w:rsid w:val="00047F6E"/>
    <w:rsid w:val="00051B00"/>
    <w:rsid w:val="000601B1"/>
    <w:rsid w:val="00063034"/>
    <w:rsid w:val="00066E19"/>
    <w:rsid w:val="0006752F"/>
    <w:rsid w:val="00071797"/>
    <w:rsid w:val="00071860"/>
    <w:rsid w:val="0007258E"/>
    <w:rsid w:val="00077A9E"/>
    <w:rsid w:val="00077F4A"/>
    <w:rsid w:val="00077FE5"/>
    <w:rsid w:val="00080447"/>
    <w:rsid w:val="00085663"/>
    <w:rsid w:val="00095948"/>
    <w:rsid w:val="00095C26"/>
    <w:rsid w:val="00096504"/>
    <w:rsid w:val="00096B86"/>
    <w:rsid w:val="000A1770"/>
    <w:rsid w:val="000A283C"/>
    <w:rsid w:val="000B15B7"/>
    <w:rsid w:val="000B70F1"/>
    <w:rsid w:val="000C4611"/>
    <w:rsid w:val="000D1B61"/>
    <w:rsid w:val="000D6854"/>
    <w:rsid w:val="000E0B26"/>
    <w:rsid w:val="000E3291"/>
    <w:rsid w:val="000F08FE"/>
    <w:rsid w:val="000F208B"/>
    <w:rsid w:val="000F2A48"/>
    <w:rsid w:val="000F49BE"/>
    <w:rsid w:val="00100246"/>
    <w:rsid w:val="0010682D"/>
    <w:rsid w:val="001073C6"/>
    <w:rsid w:val="00107DB5"/>
    <w:rsid w:val="00113613"/>
    <w:rsid w:val="0011483D"/>
    <w:rsid w:val="00115724"/>
    <w:rsid w:val="00130995"/>
    <w:rsid w:val="00131FF9"/>
    <w:rsid w:val="00132320"/>
    <w:rsid w:val="00135B6A"/>
    <w:rsid w:val="001369A7"/>
    <w:rsid w:val="001428C5"/>
    <w:rsid w:val="001503D8"/>
    <w:rsid w:val="00157540"/>
    <w:rsid w:val="0017111F"/>
    <w:rsid w:val="00173CF6"/>
    <w:rsid w:val="00180DAD"/>
    <w:rsid w:val="0018370E"/>
    <w:rsid w:val="001852E1"/>
    <w:rsid w:val="00191568"/>
    <w:rsid w:val="001A4277"/>
    <w:rsid w:val="001A7D2E"/>
    <w:rsid w:val="001B1DF9"/>
    <w:rsid w:val="001B1E93"/>
    <w:rsid w:val="001B375E"/>
    <w:rsid w:val="001B4A46"/>
    <w:rsid w:val="001B5E87"/>
    <w:rsid w:val="001B5E91"/>
    <w:rsid w:val="001B69BF"/>
    <w:rsid w:val="001B7988"/>
    <w:rsid w:val="001D78D9"/>
    <w:rsid w:val="001E0556"/>
    <w:rsid w:val="001E2355"/>
    <w:rsid w:val="001E2379"/>
    <w:rsid w:val="001E29A9"/>
    <w:rsid w:val="001F5857"/>
    <w:rsid w:val="00206EC3"/>
    <w:rsid w:val="0021047C"/>
    <w:rsid w:val="00211E4E"/>
    <w:rsid w:val="00213D1C"/>
    <w:rsid w:val="00214C3A"/>
    <w:rsid w:val="00217517"/>
    <w:rsid w:val="00222628"/>
    <w:rsid w:val="002253CB"/>
    <w:rsid w:val="002326DE"/>
    <w:rsid w:val="00234314"/>
    <w:rsid w:val="00241724"/>
    <w:rsid w:val="0024390C"/>
    <w:rsid w:val="002441F4"/>
    <w:rsid w:val="00244204"/>
    <w:rsid w:val="002448A4"/>
    <w:rsid w:val="00245A0A"/>
    <w:rsid w:val="00246C42"/>
    <w:rsid w:val="002515CC"/>
    <w:rsid w:val="00253EC4"/>
    <w:rsid w:val="00254515"/>
    <w:rsid w:val="0026479D"/>
    <w:rsid w:val="002673C4"/>
    <w:rsid w:val="0027112B"/>
    <w:rsid w:val="00271C3F"/>
    <w:rsid w:val="00272460"/>
    <w:rsid w:val="00273070"/>
    <w:rsid w:val="0027394A"/>
    <w:rsid w:val="00274D50"/>
    <w:rsid w:val="002760D5"/>
    <w:rsid w:val="00276289"/>
    <w:rsid w:val="0028081D"/>
    <w:rsid w:val="0028458C"/>
    <w:rsid w:val="002911BD"/>
    <w:rsid w:val="00291C98"/>
    <w:rsid w:val="00294DE9"/>
    <w:rsid w:val="002A1488"/>
    <w:rsid w:val="002A4C2B"/>
    <w:rsid w:val="002B19D0"/>
    <w:rsid w:val="002B3682"/>
    <w:rsid w:val="002B5464"/>
    <w:rsid w:val="002C0443"/>
    <w:rsid w:val="002C12FB"/>
    <w:rsid w:val="002C24BC"/>
    <w:rsid w:val="002D03C6"/>
    <w:rsid w:val="002D0FDF"/>
    <w:rsid w:val="002D3955"/>
    <w:rsid w:val="002D68A9"/>
    <w:rsid w:val="002E06AE"/>
    <w:rsid w:val="002E4B75"/>
    <w:rsid w:val="002E68DD"/>
    <w:rsid w:val="002F17C2"/>
    <w:rsid w:val="002F32EE"/>
    <w:rsid w:val="002F4054"/>
    <w:rsid w:val="002F5574"/>
    <w:rsid w:val="00301D20"/>
    <w:rsid w:val="00302B19"/>
    <w:rsid w:val="00303428"/>
    <w:rsid w:val="003053C4"/>
    <w:rsid w:val="003058A3"/>
    <w:rsid w:val="00307DA5"/>
    <w:rsid w:val="0031169D"/>
    <w:rsid w:val="0031170D"/>
    <w:rsid w:val="00313E14"/>
    <w:rsid w:val="003167DD"/>
    <w:rsid w:val="00320C8B"/>
    <w:rsid w:val="00321BD8"/>
    <w:rsid w:val="00325687"/>
    <w:rsid w:val="00332C14"/>
    <w:rsid w:val="00335079"/>
    <w:rsid w:val="003352CE"/>
    <w:rsid w:val="00341D8E"/>
    <w:rsid w:val="003502B9"/>
    <w:rsid w:val="00351B8F"/>
    <w:rsid w:val="00353226"/>
    <w:rsid w:val="00353717"/>
    <w:rsid w:val="00354630"/>
    <w:rsid w:val="00365A24"/>
    <w:rsid w:val="003712DB"/>
    <w:rsid w:val="00373DDC"/>
    <w:rsid w:val="00382A86"/>
    <w:rsid w:val="00383BCC"/>
    <w:rsid w:val="00385243"/>
    <w:rsid w:val="003925D4"/>
    <w:rsid w:val="0039318C"/>
    <w:rsid w:val="00393366"/>
    <w:rsid w:val="003937DC"/>
    <w:rsid w:val="00393D75"/>
    <w:rsid w:val="003A2F2D"/>
    <w:rsid w:val="003A43AC"/>
    <w:rsid w:val="003A4EB6"/>
    <w:rsid w:val="003A7AE9"/>
    <w:rsid w:val="003A7BC5"/>
    <w:rsid w:val="003A7FF5"/>
    <w:rsid w:val="003B0352"/>
    <w:rsid w:val="003B4437"/>
    <w:rsid w:val="003B48C4"/>
    <w:rsid w:val="003B5E20"/>
    <w:rsid w:val="003B6DAD"/>
    <w:rsid w:val="003B735F"/>
    <w:rsid w:val="003C030C"/>
    <w:rsid w:val="003C55FC"/>
    <w:rsid w:val="003D0EC3"/>
    <w:rsid w:val="003D7274"/>
    <w:rsid w:val="003E4D82"/>
    <w:rsid w:val="003E5BC1"/>
    <w:rsid w:val="003F0D1B"/>
    <w:rsid w:val="003F1DD6"/>
    <w:rsid w:val="00401087"/>
    <w:rsid w:val="00402E26"/>
    <w:rsid w:val="00405701"/>
    <w:rsid w:val="004110BC"/>
    <w:rsid w:val="0041271F"/>
    <w:rsid w:val="0041688E"/>
    <w:rsid w:val="004170EF"/>
    <w:rsid w:val="0042093C"/>
    <w:rsid w:val="004233DD"/>
    <w:rsid w:val="00424405"/>
    <w:rsid w:val="00425B25"/>
    <w:rsid w:val="00425D24"/>
    <w:rsid w:val="00426A4D"/>
    <w:rsid w:val="00427687"/>
    <w:rsid w:val="00433231"/>
    <w:rsid w:val="004334CA"/>
    <w:rsid w:val="0043506A"/>
    <w:rsid w:val="00435830"/>
    <w:rsid w:val="0043619C"/>
    <w:rsid w:val="0044475D"/>
    <w:rsid w:val="00444D1E"/>
    <w:rsid w:val="0044571A"/>
    <w:rsid w:val="0044705D"/>
    <w:rsid w:val="0045090E"/>
    <w:rsid w:val="00453E36"/>
    <w:rsid w:val="00457286"/>
    <w:rsid w:val="00461FA5"/>
    <w:rsid w:val="00463566"/>
    <w:rsid w:val="00464182"/>
    <w:rsid w:val="00471C52"/>
    <w:rsid w:val="0047460C"/>
    <w:rsid w:val="00474FF2"/>
    <w:rsid w:val="00480098"/>
    <w:rsid w:val="00484A93"/>
    <w:rsid w:val="00485E12"/>
    <w:rsid w:val="004865DA"/>
    <w:rsid w:val="0048779C"/>
    <w:rsid w:val="00487AB7"/>
    <w:rsid w:val="00487ED0"/>
    <w:rsid w:val="00491D09"/>
    <w:rsid w:val="0049682C"/>
    <w:rsid w:val="004A168E"/>
    <w:rsid w:val="004A4EC7"/>
    <w:rsid w:val="004B0003"/>
    <w:rsid w:val="004C020A"/>
    <w:rsid w:val="004C03A3"/>
    <w:rsid w:val="004C44B8"/>
    <w:rsid w:val="004C7629"/>
    <w:rsid w:val="004D0D5D"/>
    <w:rsid w:val="004E27DD"/>
    <w:rsid w:val="004E3350"/>
    <w:rsid w:val="004E5292"/>
    <w:rsid w:val="004F2C5B"/>
    <w:rsid w:val="004F641B"/>
    <w:rsid w:val="004F71F3"/>
    <w:rsid w:val="005052FA"/>
    <w:rsid w:val="005069E1"/>
    <w:rsid w:val="00507E59"/>
    <w:rsid w:val="005122B5"/>
    <w:rsid w:val="0052381C"/>
    <w:rsid w:val="005346B3"/>
    <w:rsid w:val="0054051C"/>
    <w:rsid w:val="00546A84"/>
    <w:rsid w:val="00547BE2"/>
    <w:rsid w:val="0055353D"/>
    <w:rsid w:val="0056187C"/>
    <w:rsid w:val="00576B03"/>
    <w:rsid w:val="00581E1A"/>
    <w:rsid w:val="00591655"/>
    <w:rsid w:val="00591BEC"/>
    <w:rsid w:val="005940EA"/>
    <w:rsid w:val="00594448"/>
    <w:rsid w:val="005A1D6F"/>
    <w:rsid w:val="005A4D82"/>
    <w:rsid w:val="005A52A6"/>
    <w:rsid w:val="005B0DEC"/>
    <w:rsid w:val="005B368E"/>
    <w:rsid w:val="005B6E69"/>
    <w:rsid w:val="005C0015"/>
    <w:rsid w:val="005C1E82"/>
    <w:rsid w:val="005C2BCE"/>
    <w:rsid w:val="005C2CA5"/>
    <w:rsid w:val="005C7062"/>
    <w:rsid w:val="005C7788"/>
    <w:rsid w:val="005D10B9"/>
    <w:rsid w:val="005D18DA"/>
    <w:rsid w:val="005E00DC"/>
    <w:rsid w:val="005E3BBC"/>
    <w:rsid w:val="005E3EC6"/>
    <w:rsid w:val="005E4E07"/>
    <w:rsid w:val="005E4E46"/>
    <w:rsid w:val="005E5275"/>
    <w:rsid w:val="005E7DC8"/>
    <w:rsid w:val="005E7EC9"/>
    <w:rsid w:val="005F7087"/>
    <w:rsid w:val="00611BE4"/>
    <w:rsid w:val="0061219B"/>
    <w:rsid w:val="00621419"/>
    <w:rsid w:val="00626446"/>
    <w:rsid w:val="00626BE8"/>
    <w:rsid w:val="00631827"/>
    <w:rsid w:val="00632804"/>
    <w:rsid w:val="006376DA"/>
    <w:rsid w:val="006459DA"/>
    <w:rsid w:val="006502E8"/>
    <w:rsid w:val="00654A2B"/>
    <w:rsid w:val="0065675C"/>
    <w:rsid w:val="0065793F"/>
    <w:rsid w:val="0066263B"/>
    <w:rsid w:val="0066713A"/>
    <w:rsid w:val="0067195C"/>
    <w:rsid w:val="006724F7"/>
    <w:rsid w:val="0067511A"/>
    <w:rsid w:val="0067539B"/>
    <w:rsid w:val="00675543"/>
    <w:rsid w:val="00677396"/>
    <w:rsid w:val="00677AD9"/>
    <w:rsid w:val="00681970"/>
    <w:rsid w:val="00690641"/>
    <w:rsid w:val="00690D88"/>
    <w:rsid w:val="00691844"/>
    <w:rsid w:val="00693DDF"/>
    <w:rsid w:val="00696F9E"/>
    <w:rsid w:val="006A374A"/>
    <w:rsid w:val="006A505E"/>
    <w:rsid w:val="006A513E"/>
    <w:rsid w:val="006A5265"/>
    <w:rsid w:val="006B0CB9"/>
    <w:rsid w:val="006B2609"/>
    <w:rsid w:val="006B2750"/>
    <w:rsid w:val="006B3678"/>
    <w:rsid w:val="006B7390"/>
    <w:rsid w:val="006C0084"/>
    <w:rsid w:val="006C107D"/>
    <w:rsid w:val="006C3600"/>
    <w:rsid w:val="006C4534"/>
    <w:rsid w:val="006C5205"/>
    <w:rsid w:val="006C75F6"/>
    <w:rsid w:val="006D3F53"/>
    <w:rsid w:val="006D60AF"/>
    <w:rsid w:val="006E4722"/>
    <w:rsid w:val="00701651"/>
    <w:rsid w:val="007049BF"/>
    <w:rsid w:val="00704E79"/>
    <w:rsid w:val="00707A26"/>
    <w:rsid w:val="0071120F"/>
    <w:rsid w:val="00716380"/>
    <w:rsid w:val="00722165"/>
    <w:rsid w:val="00724B1C"/>
    <w:rsid w:val="007428F0"/>
    <w:rsid w:val="007512EF"/>
    <w:rsid w:val="007551AC"/>
    <w:rsid w:val="0076101C"/>
    <w:rsid w:val="00763D87"/>
    <w:rsid w:val="007670B2"/>
    <w:rsid w:val="00771795"/>
    <w:rsid w:val="00774925"/>
    <w:rsid w:val="0079279F"/>
    <w:rsid w:val="00793E69"/>
    <w:rsid w:val="007A063C"/>
    <w:rsid w:val="007A16B0"/>
    <w:rsid w:val="007A19EA"/>
    <w:rsid w:val="007A6092"/>
    <w:rsid w:val="007A60B7"/>
    <w:rsid w:val="007A64A6"/>
    <w:rsid w:val="007A6EE1"/>
    <w:rsid w:val="007A7C89"/>
    <w:rsid w:val="007B1487"/>
    <w:rsid w:val="007B2A43"/>
    <w:rsid w:val="007B326F"/>
    <w:rsid w:val="007B6A58"/>
    <w:rsid w:val="007B6C06"/>
    <w:rsid w:val="007B7B78"/>
    <w:rsid w:val="007C32B1"/>
    <w:rsid w:val="007C7A22"/>
    <w:rsid w:val="007C7C62"/>
    <w:rsid w:val="007D1076"/>
    <w:rsid w:val="007D12B7"/>
    <w:rsid w:val="007D2A49"/>
    <w:rsid w:val="007D5E38"/>
    <w:rsid w:val="007D7AC4"/>
    <w:rsid w:val="007E0340"/>
    <w:rsid w:val="007E1D4A"/>
    <w:rsid w:val="007E53C0"/>
    <w:rsid w:val="007E7703"/>
    <w:rsid w:val="007F4558"/>
    <w:rsid w:val="007F64DF"/>
    <w:rsid w:val="008050EF"/>
    <w:rsid w:val="0080652C"/>
    <w:rsid w:val="0080715F"/>
    <w:rsid w:val="008113D6"/>
    <w:rsid w:val="00812BA7"/>
    <w:rsid w:val="00813A87"/>
    <w:rsid w:val="00813F63"/>
    <w:rsid w:val="00815F57"/>
    <w:rsid w:val="0081760B"/>
    <w:rsid w:val="008218AC"/>
    <w:rsid w:val="00825359"/>
    <w:rsid w:val="00825E13"/>
    <w:rsid w:val="00826F07"/>
    <w:rsid w:val="008337CB"/>
    <w:rsid w:val="00834A3C"/>
    <w:rsid w:val="008360A0"/>
    <w:rsid w:val="00837658"/>
    <w:rsid w:val="00837CD4"/>
    <w:rsid w:val="00837F78"/>
    <w:rsid w:val="008400EE"/>
    <w:rsid w:val="00840791"/>
    <w:rsid w:val="00845576"/>
    <w:rsid w:val="00850708"/>
    <w:rsid w:val="00851024"/>
    <w:rsid w:val="008526D7"/>
    <w:rsid w:val="0086238C"/>
    <w:rsid w:val="008655DC"/>
    <w:rsid w:val="0086732D"/>
    <w:rsid w:val="00870183"/>
    <w:rsid w:val="00875726"/>
    <w:rsid w:val="00877F10"/>
    <w:rsid w:val="0088225D"/>
    <w:rsid w:val="00882F8D"/>
    <w:rsid w:val="00884FB0"/>
    <w:rsid w:val="008853A5"/>
    <w:rsid w:val="008944DA"/>
    <w:rsid w:val="00894D78"/>
    <w:rsid w:val="008A6A18"/>
    <w:rsid w:val="008B033F"/>
    <w:rsid w:val="008B4003"/>
    <w:rsid w:val="008B7443"/>
    <w:rsid w:val="008C179E"/>
    <w:rsid w:val="008C2379"/>
    <w:rsid w:val="008C4FF7"/>
    <w:rsid w:val="008C5C4C"/>
    <w:rsid w:val="008C7056"/>
    <w:rsid w:val="008C706D"/>
    <w:rsid w:val="008D3145"/>
    <w:rsid w:val="008E1A54"/>
    <w:rsid w:val="008E1F95"/>
    <w:rsid w:val="008E36B6"/>
    <w:rsid w:val="008E4267"/>
    <w:rsid w:val="008E4847"/>
    <w:rsid w:val="008E5FF1"/>
    <w:rsid w:val="008E63D2"/>
    <w:rsid w:val="008E6E14"/>
    <w:rsid w:val="008F1528"/>
    <w:rsid w:val="008F1AE5"/>
    <w:rsid w:val="008F55D9"/>
    <w:rsid w:val="009057DE"/>
    <w:rsid w:val="00905F97"/>
    <w:rsid w:val="00906FA3"/>
    <w:rsid w:val="0091239D"/>
    <w:rsid w:val="00912825"/>
    <w:rsid w:val="009129B8"/>
    <w:rsid w:val="00912B99"/>
    <w:rsid w:val="00912C78"/>
    <w:rsid w:val="00927892"/>
    <w:rsid w:val="009319B9"/>
    <w:rsid w:val="009351E9"/>
    <w:rsid w:val="00937862"/>
    <w:rsid w:val="00942279"/>
    <w:rsid w:val="009524EB"/>
    <w:rsid w:val="00962013"/>
    <w:rsid w:val="00963942"/>
    <w:rsid w:val="0096716C"/>
    <w:rsid w:val="009672B2"/>
    <w:rsid w:val="00971C66"/>
    <w:rsid w:val="00972363"/>
    <w:rsid w:val="0098419C"/>
    <w:rsid w:val="009843EF"/>
    <w:rsid w:val="009867F2"/>
    <w:rsid w:val="00991347"/>
    <w:rsid w:val="00996018"/>
    <w:rsid w:val="0099738E"/>
    <w:rsid w:val="009A493E"/>
    <w:rsid w:val="009A531F"/>
    <w:rsid w:val="009A6931"/>
    <w:rsid w:val="009B1F9A"/>
    <w:rsid w:val="009B1FA9"/>
    <w:rsid w:val="009B349F"/>
    <w:rsid w:val="009B4293"/>
    <w:rsid w:val="009B6715"/>
    <w:rsid w:val="009C7B74"/>
    <w:rsid w:val="009D0BE2"/>
    <w:rsid w:val="009D114E"/>
    <w:rsid w:val="009D210F"/>
    <w:rsid w:val="009D309C"/>
    <w:rsid w:val="009D37B1"/>
    <w:rsid w:val="009D4717"/>
    <w:rsid w:val="009D694D"/>
    <w:rsid w:val="009E264E"/>
    <w:rsid w:val="009F0C98"/>
    <w:rsid w:val="009F0F81"/>
    <w:rsid w:val="009F2543"/>
    <w:rsid w:val="009F256D"/>
    <w:rsid w:val="009F341E"/>
    <w:rsid w:val="009F57CE"/>
    <w:rsid w:val="00A117CA"/>
    <w:rsid w:val="00A12225"/>
    <w:rsid w:val="00A14C18"/>
    <w:rsid w:val="00A25898"/>
    <w:rsid w:val="00A3071D"/>
    <w:rsid w:val="00A3182E"/>
    <w:rsid w:val="00A31A89"/>
    <w:rsid w:val="00A32F06"/>
    <w:rsid w:val="00A34934"/>
    <w:rsid w:val="00A34EFE"/>
    <w:rsid w:val="00A36546"/>
    <w:rsid w:val="00A4069C"/>
    <w:rsid w:val="00A413B5"/>
    <w:rsid w:val="00A429CB"/>
    <w:rsid w:val="00A44E87"/>
    <w:rsid w:val="00A5063C"/>
    <w:rsid w:val="00A52749"/>
    <w:rsid w:val="00A5422E"/>
    <w:rsid w:val="00A56EC1"/>
    <w:rsid w:val="00A6350C"/>
    <w:rsid w:val="00A6370B"/>
    <w:rsid w:val="00A63A73"/>
    <w:rsid w:val="00A6655C"/>
    <w:rsid w:val="00A66CBB"/>
    <w:rsid w:val="00A6704E"/>
    <w:rsid w:val="00A67EA4"/>
    <w:rsid w:val="00A773FF"/>
    <w:rsid w:val="00A83AA1"/>
    <w:rsid w:val="00A9343A"/>
    <w:rsid w:val="00A9706C"/>
    <w:rsid w:val="00A97B34"/>
    <w:rsid w:val="00AA1B5C"/>
    <w:rsid w:val="00AA7A27"/>
    <w:rsid w:val="00AB3FB0"/>
    <w:rsid w:val="00AB465D"/>
    <w:rsid w:val="00AB713D"/>
    <w:rsid w:val="00AC114C"/>
    <w:rsid w:val="00AC1478"/>
    <w:rsid w:val="00AC6C2D"/>
    <w:rsid w:val="00AC6E17"/>
    <w:rsid w:val="00AD2FF3"/>
    <w:rsid w:val="00AD7764"/>
    <w:rsid w:val="00AD7FE2"/>
    <w:rsid w:val="00AE1284"/>
    <w:rsid w:val="00AE1B18"/>
    <w:rsid w:val="00AE7339"/>
    <w:rsid w:val="00AF1B0B"/>
    <w:rsid w:val="00AF242C"/>
    <w:rsid w:val="00AF3CC4"/>
    <w:rsid w:val="00B05903"/>
    <w:rsid w:val="00B12C7A"/>
    <w:rsid w:val="00B12E10"/>
    <w:rsid w:val="00B22BC3"/>
    <w:rsid w:val="00B25865"/>
    <w:rsid w:val="00B272B6"/>
    <w:rsid w:val="00B2771B"/>
    <w:rsid w:val="00B336E9"/>
    <w:rsid w:val="00B33AE5"/>
    <w:rsid w:val="00B35BE5"/>
    <w:rsid w:val="00B46965"/>
    <w:rsid w:val="00B54ED0"/>
    <w:rsid w:val="00B55D47"/>
    <w:rsid w:val="00B6204E"/>
    <w:rsid w:val="00B649EC"/>
    <w:rsid w:val="00B728DD"/>
    <w:rsid w:val="00B72D43"/>
    <w:rsid w:val="00B74121"/>
    <w:rsid w:val="00B80ABA"/>
    <w:rsid w:val="00B859FF"/>
    <w:rsid w:val="00B85C1B"/>
    <w:rsid w:val="00B85FF0"/>
    <w:rsid w:val="00B86150"/>
    <w:rsid w:val="00B878F9"/>
    <w:rsid w:val="00B9044A"/>
    <w:rsid w:val="00B960F3"/>
    <w:rsid w:val="00B96A31"/>
    <w:rsid w:val="00BA05E6"/>
    <w:rsid w:val="00BA51B0"/>
    <w:rsid w:val="00BA6319"/>
    <w:rsid w:val="00BC03B0"/>
    <w:rsid w:val="00BC06A3"/>
    <w:rsid w:val="00BC0CEA"/>
    <w:rsid w:val="00BC2220"/>
    <w:rsid w:val="00BC26B9"/>
    <w:rsid w:val="00BC26FA"/>
    <w:rsid w:val="00BC4E01"/>
    <w:rsid w:val="00BC73F6"/>
    <w:rsid w:val="00BD1177"/>
    <w:rsid w:val="00BD1374"/>
    <w:rsid w:val="00BD3531"/>
    <w:rsid w:val="00BD4E35"/>
    <w:rsid w:val="00BE34CA"/>
    <w:rsid w:val="00BF116A"/>
    <w:rsid w:val="00C0623C"/>
    <w:rsid w:val="00C06A07"/>
    <w:rsid w:val="00C132B6"/>
    <w:rsid w:val="00C21A6C"/>
    <w:rsid w:val="00C24A10"/>
    <w:rsid w:val="00C27003"/>
    <w:rsid w:val="00C27597"/>
    <w:rsid w:val="00C32BD4"/>
    <w:rsid w:val="00C33E48"/>
    <w:rsid w:val="00C3618B"/>
    <w:rsid w:val="00C403FB"/>
    <w:rsid w:val="00C4316E"/>
    <w:rsid w:val="00C441A2"/>
    <w:rsid w:val="00C5076B"/>
    <w:rsid w:val="00C512D4"/>
    <w:rsid w:val="00C51CF4"/>
    <w:rsid w:val="00C531E2"/>
    <w:rsid w:val="00C53204"/>
    <w:rsid w:val="00C57E34"/>
    <w:rsid w:val="00C64659"/>
    <w:rsid w:val="00C662E9"/>
    <w:rsid w:val="00C66C2D"/>
    <w:rsid w:val="00C7190B"/>
    <w:rsid w:val="00C76852"/>
    <w:rsid w:val="00C77210"/>
    <w:rsid w:val="00C777FA"/>
    <w:rsid w:val="00C77989"/>
    <w:rsid w:val="00C811F4"/>
    <w:rsid w:val="00C81E51"/>
    <w:rsid w:val="00C87B73"/>
    <w:rsid w:val="00C92444"/>
    <w:rsid w:val="00C92FBB"/>
    <w:rsid w:val="00C93327"/>
    <w:rsid w:val="00C97B4D"/>
    <w:rsid w:val="00CA5602"/>
    <w:rsid w:val="00CA5CA9"/>
    <w:rsid w:val="00CA78E2"/>
    <w:rsid w:val="00CB1BBE"/>
    <w:rsid w:val="00CB65DB"/>
    <w:rsid w:val="00CB6BD9"/>
    <w:rsid w:val="00CC293A"/>
    <w:rsid w:val="00CE19F6"/>
    <w:rsid w:val="00CE6B76"/>
    <w:rsid w:val="00CF366B"/>
    <w:rsid w:val="00CF5D9D"/>
    <w:rsid w:val="00CF606C"/>
    <w:rsid w:val="00CF7423"/>
    <w:rsid w:val="00D001F5"/>
    <w:rsid w:val="00D03E80"/>
    <w:rsid w:val="00D1505F"/>
    <w:rsid w:val="00D15B9F"/>
    <w:rsid w:val="00D15DD6"/>
    <w:rsid w:val="00D25548"/>
    <w:rsid w:val="00D2601F"/>
    <w:rsid w:val="00D27759"/>
    <w:rsid w:val="00D30028"/>
    <w:rsid w:val="00D325D3"/>
    <w:rsid w:val="00D408D6"/>
    <w:rsid w:val="00D511DD"/>
    <w:rsid w:val="00D55C2A"/>
    <w:rsid w:val="00D571C1"/>
    <w:rsid w:val="00D602F4"/>
    <w:rsid w:val="00D6457E"/>
    <w:rsid w:val="00D742E2"/>
    <w:rsid w:val="00D7580E"/>
    <w:rsid w:val="00D87DAF"/>
    <w:rsid w:val="00D9446D"/>
    <w:rsid w:val="00DA2994"/>
    <w:rsid w:val="00DB08E8"/>
    <w:rsid w:val="00DB0DED"/>
    <w:rsid w:val="00DB3073"/>
    <w:rsid w:val="00DB3BA9"/>
    <w:rsid w:val="00DB50FE"/>
    <w:rsid w:val="00DB5EDA"/>
    <w:rsid w:val="00DC2349"/>
    <w:rsid w:val="00DC3026"/>
    <w:rsid w:val="00DD1EDB"/>
    <w:rsid w:val="00DD57AA"/>
    <w:rsid w:val="00DE1578"/>
    <w:rsid w:val="00DE7F67"/>
    <w:rsid w:val="00DF0529"/>
    <w:rsid w:val="00DF09EF"/>
    <w:rsid w:val="00DF0D0F"/>
    <w:rsid w:val="00DF13D6"/>
    <w:rsid w:val="00DF27D6"/>
    <w:rsid w:val="00DF2BEA"/>
    <w:rsid w:val="00DF4488"/>
    <w:rsid w:val="00DF5B98"/>
    <w:rsid w:val="00DF6FA8"/>
    <w:rsid w:val="00DF701E"/>
    <w:rsid w:val="00DF7BE5"/>
    <w:rsid w:val="00E00D49"/>
    <w:rsid w:val="00E019A8"/>
    <w:rsid w:val="00E03A46"/>
    <w:rsid w:val="00E03C6D"/>
    <w:rsid w:val="00E0476F"/>
    <w:rsid w:val="00E04899"/>
    <w:rsid w:val="00E0796F"/>
    <w:rsid w:val="00E10948"/>
    <w:rsid w:val="00E24371"/>
    <w:rsid w:val="00E243AB"/>
    <w:rsid w:val="00E26641"/>
    <w:rsid w:val="00E2778F"/>
    <w:rsid w:val="00E33023"/>
    <w:rsid w:val="00E331F3"/>
    <w:rsid w:val="00E3498D"/>
    <w:rsid w:val="00E42425"/>
    <w:rsid w:val="00E43E55"/>
    <w:rsid w:val="00E4554E"/>
    <w:rsid w:val="00E46D22"/>
    <w:rsid w:val="00E4768F"/>
    <w:rsid w:val="00E53C0E"/>
    <w:rsid w:val="00E54F7E"/>
    <w:rsid w:val="00E560CE"/>
    <w:rsid w:val="00E5674E"/>
    <w:rsid w:val="00E63783"/>
    <w:rsid w:val="00E650E2"/>
    <w:rsid w:val="00E75CAD"/>
    <w:rsid w:val="00E76922"/>
    <w:rsid w:val="00E8595B"/>
    <w:rsid w:val="00E915EC"/>
    <w:rsid w:val="00EA11B1"/>
    <w:rsid w:val="00EA2224"/>
    <w:rsid w:val="00EA7194"/>
    <w:rsid w:val="00EB1329"/>
    <w:rsid w:val="00EB2987"/>
    <w:rsid w:val="00EB2D75"/>
    <w:rsid w:val="00EB34BE"/>
    <w:rsid w:val="00EB571A"/>
    <w:rsid w:val="00EC2804"/>
    <w:rsid w:val="00EC6117"/>
    <w:rsid w:val="00EC6138"/>
    <w:rsid w:val="00ED1DCF"/>
    <w:rsid w:val="00ED43C9"/>
    <w:rsid w:val="00EE2C60"/>
    <w:rsid w:val="00EE2E58"/>
    <w:rsid w:val="00EE487A"/>
    <w:rsid w:val="00EE734C"/>
    <w:rsid w:val="00EF6907"/>
    <w:rsid w:val="00EF6D91"/>
    <w:rsid w:val="00F01F54"/>
    <w:rsid w:val="00F04D4D"/>
    <w:rsid w:val="00F11DD8"/>
    <w:rsid w:val="00F12745"/>
    <w:rsid w:val="00F13766"/>
    <w:rsid w:val="00F20A77"/>
    <w:rsid w:val="00F22C60"/>
    <w:rsid w:val="00F231A4"/>
    <w:rsid w:val="00F23252"/>
    <w:rsid w:val="00F27B2A"/>
    <w:rsid w:val="00F31762"/>
    <w:rsid w:val="00F345D3"/>
    <w:rsid w:val="00F356ED"/>
    <w:rsid w:val="00F359B5"/>
    <w:rsid w:val="00F4144F"/>
    <w:rsid w:val="00F433F3"/>
    <w:rsid w:val="00F47F64"/>
    <w:rsid w:val="00F522D9"/>
    <w:rsid w:val="00F52F54"/>
    <w:rsid w:val="00F53584"/>
    <w:rsid w:val="00F61B24"/>
    <w:rsid w:val="00F62DE5"/>
    <w:rsid w:val="00F63F8A"/>
    <w:rsid w:val="00F6514E"/>
    <w:rsid w:val="00F703DC"/>
    <w:rsid w:val="00F71D06"/>
    <w:rsid w:val="00F73B46"/>
    <w:rsid w:val="00F73D01"/>
    <w:rsid w:val="00F7642B"/>
    <w:rsid w:val="00F76A43"/>
    <w:rsid w:val="00F80334"/>
    <w:rsid w:val="00F8139D"/>
    <w:rsid w:val="00F83DF9"/>
    <w:rsid w:val="00F85DA0"/>
    <w:rsid w:val="00F930AF"/>
    <w:rsid w:val="00F9352C"/>
    <w:rsid w:val="00F975B0"/>
    <w:rsid w:val="00FA15F1"/>
    <w:rsid w:val="00FA19F5"/>
    <w:rsid w:val="00FA4A69"/>
    <w:rsid w:val="00FA649A"/>
    <w:rsid w:val="00FB1248"/>
    <w:rsid w:val="00FB208D"/>
    <w:rsid w:val="00FB3CF4"/>
    <w:rsid w:val="00FB4A27"/>
    <w:rsid w:val="00FB4A49"/>
    <w:rsid w:val="00FB69B3"/>
    <w:rsid w:val="00FC6FBE"/>
    <w:rsid w:val="00FD1162"/>
    <w:rsid w:val="00FD2232"/>
    <w:rsid w:val="00FD4AE7"/>
    <w:rsid w:val="00FD65A9"/>
    <w:rsid w:val="00FD7508"/>
    <w:rsid w:val="00FE1E51"/>
    <w:rsid w:val="00FE2496"/>
    <w:rsid w:val="00FE6A2B"/>
    <w:rsid w:val="00FF0275"/>
    <w:rsid w:val="00FF07B3"/>
    <w:rsid w:val="00FF1E37"/>
    <w:rsid w:val="0370689E"/>
    <w:rsid w:val="039D52F0"/>
    <w:rsid w:val="04F90723"/>
    <w:rsid w:val="06257B5F"/>
    <w:rsid w:val="079004AC"/>
    <w:rsid w:val="0DC378F9"/>
    <w:rsid w:val="0ECD3A26"/>
    <w:rsid w:val="0F8E2C57"/>
    <w:rsid w:val="1059665E"/>
    <w:rsid w:val="10AC13BA"/>
    <w:rsid w:val="16036345"/>
    <w:rsid w:val="1AEC0734"/>
    <w:rsid w:val="1BA82850"/>
    <w:rsid w:val="1DEF20B0"/>
    <w:rsid w:val="1E0A220F"/>
    <w:rsid w:val="214243FA"/>
    <w:rsid w:val="24D71767"/>
    <w:rsid w:val="257A14F5"/>
    <w:rsid w:val="27196C26"/>
    <w:rsid w:val="27C511B6"/>
    <w:rsid w:val="29EF086F"/>
    <w:rsid w:val="2C255969"/>
    <w:rsid w:val="2EFFE297"/>
    <w:rsid w:val="2F7F7FD2"/>
    <w:rsid w:val="301437CA"/>
    <w:rsid w:val="37FC5FA6"/>
    <w:rsid w:val="41E64964"/>
    <w:rsid w:val="433E495C"/>
    <w:rsid w:val="44A11C02"/>
    <w:rsid w:val="48E30D04"/>
    <w:rsid w:val="4AC27CB3"/>
    <w:rsid w:val="4BF72BEF"/>
    <w:rsid w:val="4CFF65B2"/>
    <w:rsid w:val="4F2F42AE"/>
    <w:rsid w:val="50086C60"/>
    <w:rsid w:val="51DB3C59"/>
    <w:rsid w:val="54B232BA"/>
    <w:rsid w:val="55762E42"/>
    <w:rsid w:val="57A7B272"/>
    <w:rsid w:val="58470068"/>
    <w:rsid w:val="5A1720F9"/>
    <w:rsid w:val="5B9C37C2"/>
    <w:rsid w:val="5BA7C654"/>
    <w:rsid w:val="5EB23DC8"/>
    <w:rsid w:val="5EB9304F"/>
    <w:rsid w:val="644D484E"/>
    <w:rsid w:val="64C0607C"/>
    <w:rsid w:val="67663A9D"/>
    <w:rsid w:val="676F09E1"/>
    <w:rsid w:val="69B14718"/>
    <w:rsid w:val="69B77073"/>
    <w:rsid w:val="6BC46AD7"/>
    <w:rsid w:val="6D900D8B"/>
    <w:rsid w:val="6E1DD6B5"/>
    <w:rsid w:val="77FFF19E"/>
    <w:rsid w:val="79497737"/>
    <w:rsid w:val="794A7C18"/>
    <w:rsid w:val="7A7F1C49"/>
    <w:rsid w:val="7B330394"/>
    <w:rsid w:val="7B5B7AE6"/>
    <w:rsid w:val="7BA7071E"/>
    <w:rsid w:val="7BDF6DA8"/>
    <w:rsid w:val="7C7EDC1A"/>
    <w:rsid w:val="7CCED98D"/>
    <w:rsid w:val="7D08410F"/>
    <w:rsid w:val="7DB96DED"/>
    <w:rsid w:val="7DD3AD81"/>
    <w:rsid w:val="7F7FE70F"/>
    <w:rsid w:val="7FFF772F"/>
    <w:rsid w:val="95F35EF6"/>
    <w:rsid w:val="9BFFD860"/>
    <w:rsid w:val="AC5F73DE"/>
    <w:rsid w:val="B0EF641F"/>
    <w:rsid w:val="B5DDD2C8"/>
    <w:rsid w:val="B9DFABD9"/>
    <w:rsid w:val="BC0D83FC"/>
    <w:rsid w:val="BF3BDEFB"/>
    <w:rsid w:val="C75F6086"/>
    <w:rsid w:val="C7F7ED2D"/>
    <w:rsid w:val="CFAF854E"/>
    <w:rsid w:val="D8D7928E"/>
    <w:rsid w:val="D8FE3136"/>
    <w:rsid w:val="DDDE60B7"/>
    <w:rsid w:val="DDFB0BAE"/>
    <w:rsid w:val="DE9F6A22"/>
    <w:rsid w:val="DF4FCE6A"/>
    <w:rsid w:val="E4FED278"/>
    <w:rsid w:val="EDAA365C"/>
    <w:rsid w:val="EDADFC12"/>
    <w:rsid w:val="F2FD229B"/>
    <w:rsid w:val="F3F08023"/>
    <w:rsid w:val="F7F709E9"/>
    <w:rsid w:val="F7FF3690"/>
    <w:rsid w:val="F9BD3900"/>
    <w:rsid w:val="FC8B9876"/>
    <w:rsid w:val="FEDFF218"/>
    <w:rsid w:val="FEDFFFF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widowControl w:val="0"/>
      <w:spacing w:before="100" w:beforeAutospacing="1" w:after="100" w:afterAutospacing="1"/>
      <w:outlineLvl w:val="1"/>
    </w:pPr>
    <w:rPr>
      <w:rFonts w:ascii="Cambria" w:hAnsi="Cambria" w:eastAsia="黑体" w:cs="Times New Roman"/>
      <w:b/>
      <w:bCs/>
      <w:kern w:val="0"/>
      <w:sz w:val="36"/>
      <w:szCs w:val="32"/>
      <w:lang w:bidi="ar-SA"/>
    </w:rPr>
  </w:style>
  <w:style w:type="character" w:default="1" w:styleId="12">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200" w:firstLineChars="200"/>
    </w:pPr>
  </w:style>
  <w:style w:type="paragraph" w:styleId="4">
    <w:name w:val="Body Text"/>
    <w:basedOn w:val="1"/>
    <w:qFormat/>
    <w:uiPriority w:val="1"/>
    <w:pPr>
      <w:ind w:left="109"/>
    </w:pPr>
    <w:rPr>
      <w:rFonts w:ascii="仿宋_GB2312" w:hAnsi="仿宋_GB2312" w:eastAsia="仿宋_GB2312" w:cs="仿宋_GB2312"/>
      <w:sz w:val="32"/>
      <w:szCs w:val="32"/>
      <w:lang w:val="zh-CN" w:bidi="zh-CN"/>
    </w:rPr>
  </w:style>
  <w:style w:type="paragraph" w:styleId="5">
    <w:name w:val="Body Text Indent"/>
    <w:basedOn w:val="1"/>
    <w:qFormat/>
    <w:uiPriority w:val="0"/>
    <w:pPr>
      <w:ind w:firstLine="645"/>
    </w:pPr>
    <w:rPr>
      <w:rFonts w:ascii="仿宋_GB2312" w:hAnsi="Calibri" w:eastAsia="仿宋_GB2312"/>
      <w:sz w:val="32"/>
      <w:szCs w:val="32"/>
    </w:rPr>
  </w:style>
  <w:style w:type="paragraph" w:styleId="6">
    <w:name w:val="Date"/>
    <w:basedOn w:val="1"/>
    <w:next w:val="1"/>
    <w:qFormat/>
    <w:uiPriority w:val="0"/>
    <w:pPr>
      <w:ind w:left="100" w:leftChars="2500"/>
    </w:pPr>
  </w:style>
  <w:style w:type="paragraph" w:styleId="7">
    <w:name w:val="Balloon Text"/>
    <w:basedOn w:val="1"/>
    <w:semiHidden/>
    <w:qFormat/>
    <w:uiPriority w:val="0"/>
    <w:rPr>
      <w:sz w:val="18"/>
      <w:szCs w:val="18"/>
    </w:rPr>
  </w:style>
  <w:style w:type="paragraph" w:styleId="8">
    <w:name w:val="footer"/>
    <w:basedOn w:val="1"/>
    <w:link w:val="15"/>
    <w:qFormat/>
    <w:uiPriority w:val="0"/>
    <w:pPr>
      <w:tabs>
        <w:tab w:val="center" w:pos="4153"/>
        <w:tab w:val="right" w:pos="8306"/>
      </w:tabs>
      <w:snapToGrid w:val="0"/>
      <w:jc w:val="left"/>
    </w:pPr>
    <w:rPr>
      <w:sz w:val="18"/>
      <w:szCs w:val="18"/>
    </w:rPr>
  </w:style>
  <w:style w:type="paragraph" w:styleId="9">
    <w:name w:val="header"/>
    <w:basedOn w:val="1"/>
    <w:link w:val="16"/>
    <w:qFormat/>
    <w:uiPriority w:val="0"/>
    <w:pPr>
      <w:pBdr>
        <w:bottom w:val="single" w:color="auto" w:sz="6" w:space="1"/>
      </w:pBdr>
      <w:tabs>
        <w:tab w:val="center" w:pos="4153"/>
        <w:tab w:val="right" w:pos="8306"/>
      </w:tabs>
      <w:snapToGrid w:val="0"/>
      <w:jc w:val="center"/>
    </w:pPr>
    <w:rPr>
      <w:rFonts w:ascii="Calibri" w:hAnsi="Calibri"/>
      <w:sz w:val="18"/>
      <w:szCs w:val="18"/>
    </w:rPr>
  </w:style>
  <w:style w:type="paragraph" w:styleId="10">
    <w:name w:val="Normal (Web)"/>
    <w:basedOn w:val="1"/>
    <w:unhideWhenUsed/>
    <w:qFormat/>
    <w:uiPriority w:val="0"/>
    <w:pPr>
      <w:spacing w:before="100" w:beforeAutospacing="1" w:after="100" w:afterAutospacing="1"/>
      <w:ind w:right="238"/>
      <w:jc w:val="left"/>
    </w:pPr>
    <w:rPr>
      <w:b/>
      <w:kern w:val="0"/>
      <w:sz w:val="24"/>
      <w:szCs w:val="20"/>
    </w:rPr>
  </w:style>
  <w:style w:type="character" w:styleId="13">
    <w:name w:val="Strong"/>
    <w:qFormat/>
    <w:uiPriority w:val="0"/>
    <w:rPr>
      <w:b/>
    </w:rPr>
  </w:style>
  <w:style w:type="character" w:styleId="14">
    <w:name w:val="page number"/>
    <w:qFormat/>
    <w:uiPriority w:val="0"/>
  </w:style>
  <w:style w:type="character" w:customStyle="1" w:styleId="15">
    <w:name w:val="页脚 Char"/>
    <w:link w:val="8"/>
    <w:qFormat/>
    <w:uiPriority w:val="0"/>
    <w:rPr>
      <w:rFonts w:eastAsia="宋体"/>
      <w:kern w:val="2"/>
      <w:sz w:val="18"/>
      <w:szCs w:val="18"/>
      <w:lang w:val="en-US" w:eastAsia="zh-CN" w:bidi="ar-SA"/>
    </w:rPr>
  </w:style>
  <w:style w:type="character" w:customStyle="1" w:styleId="16">
    <w:name w:val="页眉 Char"/>
    <w:link w:val="9"/>
    <w:qFormat/>
    <w:uiPriority w:val="0"/>
    <w:rPr>
      <w:rFonts w:ascii="Calibri" w:hAnsi="Calibri" w:eastAsia="宋体"/>
      <w:kern w:val="2"/>
      <w:sz w:val="18"/>
      <w:szCs w:val="18"/>
      <w:lang w:val="en-US" w:eastAsia="zh-CN" w:bidi="ar-SA"/>
    </w:rPr>
  </w:style>
  <w:style w:type="paragraph" w:customStyle="1" w:styleId="17">
    <w:name w:val=" Char Char Char Char Char Char Char"/>
    <w:basedOn w:val="1"/>
    <w:qFormat/>
    <w:uiPriority w:val="0"/>
    <w:rPr>
      <w:rFonts w:ascii="Tahoma" w:hAnsi="Tahoma"/>
      <w:sz w:val="24"/>
      <w:szCs w:val="20"/>
    </w:rPr>
  </w:style>
  <w:style w:type="paragraph" w:customStyle="1" w:styleId="18">
    <w:name w:val="Char1 Char Char Char"/>
    <w:basedOn w:val="1"/>
    <w:qFormat/>
    <w:uiPriority w:val="0"/>
    <w:pPr>
      <w:widowControl/>
      <w:spacing w:after="160" w:line="240" w:lineRule="exact"/>
      <w:jc w:val="left"/>
    </w:pPr>
    <w:rPr>
      <w:szCs w:val="20"/>
    </w:rPr>
  </w:style>
  <w:style w:type="paragraph" w:customStyle="1" w:styleId="19">
    <w:name w:val="Char"/>
    <w:basedOn w:val="1"/>
    <w:qFormat/>
    <w:uiPriority w:val="0"/>
    <w:rPr>
      <w:rFonts w:ascii="Tahoma" w:hAnsi="Tahoma"/>
      <w:sz w:val="24"/>
      <w:szCs w:val="20"/>
    </w:rPr>
  </w:style>
  <w:style w:type="paragraph" w:customStyle="1" w:styleId="20">
    <w:name w:val="Char Char3 Char Char"/>
    <w:basedOn w:val="1"/>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hart" Target="charts/chart2.xml"/><Relationship Id="rId20" Type="http://schemas.openxmlformats.org/officeDocument/2006/relationships/chart" Target="charts/chart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_rels/chart2.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spPr>
        <a:noFill/>
        <a:ln>
          <a:noFill/>
        </a:ln>
        <a:effectLst/>
      </c:spPr>
      <c:txPr>
        <a:bodyPr rot="0" spcFirstLastPara="0" vertOverflow="ellipsis" vert="horz" wrap="square" anchor="ctr" anchorCtr="1"/>
        <a:lstStyle/>
        <a:p>
          <a:pPr>
            <a:defRPr lang="zh-CN" sz="1400" b="0" i="0" u="none" strike="noStrike" kern="1200" baseline="0">
              <a:solidFill>
                <a:schemeClr val="bg1">
                  <a:lumMod val="50000"/>
                </a:schemeClr>
              </a:solidFill>
              <a:latin typeface="+mn-lt"/>
              <a:ea typeface="+mn-ea"/>
              <a:cs typeface="+mn-cs"/>
            </a:defRPr>
          </a:pPr>
        </a:p>
      </c:txPr>
    </c:title>
    <c:autoTitleDeleted val="0"/>
    <c:plotArea>
      <c:layout/>
      <c:pieChart>
        <c:varyColors val="1"/>
        <c:ser>
          <c:idx val="0"/>
          <c:order val="0"/>
          <c:tx>
            <c:strRef>
              <c:f>Sheet1!$B$1</c:f>
              <c:strCache>
                <c:ptCount val="1"/>
                <c:pt idx="0">
                  <c:v>收入决算</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Pt>
            <c:idx val="3"/>
            <c:bubble3D val="0"/>
            <c:spPr>
              <a:solidFill>
                <a:schemeClr val="accent4"/>
              </a:solidFill>
              <a:ln>
                <a:solidFill>
                  <a:schemeClr val="bg1"/>
                </a:solidFill>
              </a:ln>
              <a:effectLst/>
            </c:spPr>
          </c:dPt>
          <c:dPt>
            <c:idx val="4"/>
            <c:bubble3D val="0"/>
            <c:spPr>
              <a:solidFill>
                <a:schemeClr val="accent5"/>
              </a:solidFill>
              <a:ln>
                <a:solidFill>
                  <a:schemeClr val="bg1"/>
                </a:solidFill>
              </a:ln>
              <a:effectLst/>
            </c:spPr>
          </c:dPt>
          <c:dPt>
            <c:idx val="5"/>
            <c:bubble3D val="0"/>
            <c:spPr>
              <a:solidFill>
                <a:schemeClr val="accent6"/>
              </a:solidFill>
              <a:ln>
                <a:solidFill>
                  <a:schemeClr val="bg1"/>
                </a:solidFill>
              </a:ln>
              <a:effectLst/>
            </c:spPr>
          </c:dPt>
          <c:dLbls>
            <c:dLbl>
              <c:idx val="0"/>
              <c:layout/>
              <c:tx>
                <c:rich>
                  <a:bodyPr rot="0" spcFirstLastPara="0" vertOverflow="ellipsis" vert="horz" wrap="square" lIns="38100" tIns="19050" rIns="38100" bIns="19050" anchor="ctr" anchorCtr="1"/>
                  <a:lstStyle/>
                  <a:p>
                    <a:pPr defTabSz="914400">
                      <a:defRPr lang="zh-CN" sz="1000" b="0" i="0" u="none" strike="noStrike" kern="1200" baseline="0">
                        <a:solidFill>
                          <a:schemeClr val="tx1">
                            <a:lumMod val="75000"/>
                            <a:lumOff val="25000"/>
                          </a:schemeClr>
                        </a:solidFill>
                        <a:latin typeface="+mn-lt"/>
                        <a:ea typeface="+mn-ea"/>
                        <a:cs typeface="+mn-cs"/>
                      </a:defRPr>
                    </a:pPr>
                    <a:r>
                      <a:t>100</a:t>
                    </a:r>
                    <a:r>
                      <a:rPr lang="en-US" altLang="zh-CN"/>
                      <a:t>%</a:t>
                    </a:r>
                    <a:endParaRPr lang="en-US" altLang="zh-CN"/>
                  </a:p>
                </c:rich>
              </c:tx>
              <c:dLblPos val="bestFit"/>
              <c:showLegendKey val="0"/>
              <c:showVal val="1"/>
              <c:showCatName val="0"/>
              <c:showSerName val="0"/>
              <c:showPercent val="0"/>
              <c:showBubbleSize val="0"/>
              <c:extLst>
                <c:ext xmlns:c15="http://schemas.microsoft.com/office/drawing/2012/chart" uri="{CE6537A1-D6FC-4f65-9D91-7224C49458BB}">
                  <c15:layout>
                    <c:manualLayout>
                      <c:w val="0.138700849776754"/>
                      <c:h val="0.145053818554587"/>
                    </c:manualLayout>
                  </c15:layout>
                </c:ext>
              </c:extLst>
            </c:dLbl>
            <c:dLbl>
              <c:idx val="1"/>
              <c:delete val="1"/>
            </c:dLbl>
            <c:dLbl>
              <c:idx val="2"/>
              <c:delete val="1"/>
            </c:dLbl>
            <c:dLbl>
              <c:idx val="3"/>
              <c:delete val="1"/>
            </c:dLbl>
            <c:dLbl>
              <c:idx val="4"/>
              <c:delete val="1"/>
            </c:dLbl>
            <c:dLbl>
              <c:idx val="5"/>
              <c:delete val="1"/>
            </c:dLbl>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lumMod val="75000"/>
                        <a:lumOff val="25000"/>
                      </a:schemeClr>
                    </a:solidFill>
                    <a:latin typeface="+mn-lt"/>
                    <a:ea typeface="+mn-ea"/>
                    <a:cs typeface="+mn-cs"/>
                  </a:defRPr>
                </a:pPr>
              </a:p>
            </c:txPr>
            <c:dLblPos val="bestFit"/>
            <c:showLegendKey val="0"/>
            <c:showVal val="0"/>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财政拨款收入</c:v>
                </c:pt>
                <c:pt idx="1">
                  <c:v>上级补助收入</c:v>
                </c:pt>
                <c:pt idx="2">
                  <c:v>事业收入</c:v>
                </c:pt>
                <c:pt idx="3">
                  <c:v>经营收入</c:v>
                </c:pt>
                <c:pt idx="4">
                  <c:v>附属单位收入</c:v>
                </c:pt>
                <c:pt idx="5">
                  <c:v>其他收入</c:v>
                </c:pt>
              </c:strCache>
            </c:strRef>
          </c:cat>
          <c:val>
            <c:numRef>
              <c:f>Sheet1!$B$2:$B$7</c:f>
              <c:numCache>
                <c:formatCode>General</c:formatCode>
                <c:ptCount val="6"/>
                <c:pt idx="0">
                  <c:v>100</c:v>
                </c:pt>
                <c:pt idx="1">
                  <c:v>0</c:v>
                </c:pt>
                <c:pt idx="2">
                  <c:v>0</c:v>
                </c:pt>
                <c:pt idx="3">
                  <c:v>0</c:v>
                </c:pt>
                <c:pt idx="4">
                  <c:v>0</c:v>
                </c:pt>
                <c:pt idx="5">
                  <c:v>0</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1"/>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2"/>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3"/>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4"/>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5"/>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baseline="0">
                <a:solidFill>
                  <a:schemeClr val="bg1">
                    <a:lumMod val="50000"/>
                  </a:schemeClr>
                </a:solidFill>
                <a:latin typeface="+mn-lt"/>
                <a:ea typeface="+mn-ea"/>
                <a:cs typeface="+mn-cs"/>
              </a:defRPr>
            </a:pPr>
            <a:r>
              <a:t>支出决算</a:t>
            </a:r>
          </a:p>
        </c:rich>
      </c:tx>
      <c:layout/>
      <c:overlay val="0"/>
      <c:spPr>
        <a:noFill/>
        <a:ln>
          <a:noFill/>
        </a:ln>
        <a:effectLst/>
      </c:spPr>
    </c:title>
    <c:autoTitleDeleted val="0"/>
    <c:plotArea>
      <c:layout/>
      <c:pieChart>
        <c:varyColors val="1"/>
        <c:ser>
          <c:idx val="0"/>
          <c:order val="0"/>
          <c:tx>
            <c:strRef>
              <c:f>Sheet1!$B$1</c:f>
              <c:strCache>
                <c:ptCount val="1"/>
                <c:pt idx="0">
                  <c:v>收入决算</c:v>
                </c:pt>
              </c:strCache>
            </c:strRef>
          </c:tx>
          <c:spPr/>
          <c:explosion val="0"/>
          <c:dPt>
            <c:idx val="0"/>
            <c:bubble3D val="0"/>
            <c:spPr>
              <a:solidFill>
                <a:schemeClr val="accent1"/>
              </a:solidFill>
              <a:ln>
                <a:solidFill>
                  <a:schemeClr val="bg1"/>
                </a:solidFill>
              </a:ln>
              <a:effectLst/>
            </c:spPr>
          </c:dPt>
          <c:dPt>
            <c:idx val="1"/>
            <c:bubble3D val="0"/>
            <c:spPr>
              <a:solidFill>
                <a:schemeClr val="accent2"/>
              </a:solidFill>
              <a:ln>
                <a:solidFill>
                  <a:schemeClr val="bg1"/>
                </a:solidFill>
              </a:ln>
              <a:effectLst/>
            </c:spPr>
          </c:dPt>
          <c:dPt>
            <c:idx val="2"/>
            <c:bubble3D val="0"/>
            <c:spPr>
              <a:solidFill>
                <a:schemeClr val="accent3"/>
              </a:solidFill>
              <a:ln>
                <a:solidFill>
                  <a:schemeClr val="bg1"/>
                </a:solidFill>
              </a:ln>
              <a:effectLst/>
            </c:spPr>
          </c:dPt>
          <c:dPt>
            <c:idx val="3"/>
            <c:bubble3D val="0"/>
            <c:spPr>
              <a:solidFill>
                <a:schemeClr val="accent4"/>
              </a:solidFill>
              <a:ln>
                <a:solidFill>
                  <a:schemeClr val="bg1"/>
                </a:solidFill>
              </a:ln>
              <a:effectLst/>
            </c:spPr>
          </c:dPt>
          <c:dPt>
            <c:idx val="4"/>
            <c:bubble3D val="0"/>
            <c:spPr>
              <a:solidFill>
                <a:schemeClr val="accent5"/>
              </a:solidFill>
              <a:ln>
                <a:solidFill>
                  <a:schemeClr val="bg1"/>
                </a:solidFill>
              </a:ln>
              <a:effectLst/>
            </c:spPr>
          </c:dPt>
          <c:dLbls>
            <c:dLbl>
              <c:idx val="0"/>
              <c:layout/>
              <c:tx>
                <c:rich>
                  <a:bodyPr rot="0" spcFirstLastPara="0" vertOverflow="ellipsis" vert="horz" wrap="square" lIns="38100" tIns="19050" rIns="38100" bIns="19050" anchor="ctr" anchorCtr="1"/>
                  <a:lstStyle/>
                  <a:p>
                    <a:pPr defTabSz="914400">
                      <a:defRPr lang="zh-CN" sz="1000" b="0" i="0" u="none" strike="noStrike" kern="1200" baseline="0">
                        <a:solidFill>
                          <a:schemeClr val="tx1">
                            <a:lumMod val="75000"/>
                            <a:lumOff val="25000"/>
                          </a:schemeClr>
                        </a:solidFill>
                        <a:latin typeface="+mn-lt"/>
                        <a:ea typeface="+mn-ea"/>
                        <a:cs typeface="+mn-cs"/>
                      </a:defRPr>
                    </a:pPr>
                    <a:r>
                      <a:t>100</a:t>
                    </a:r>
                    <a:r>
                      <a:rPr lang="en-US" altLang="zh-CN"/>
                      <a:t>%</a:t>
                    </a:r>
                    <a:endParaRPr lang="en-US" altLang="zh-CN"/>
                  </a:p>
                </c:rich>
              </c:tx>
              <c:dLblPos val="bestFit"/>
              <c:showLegendKey val="0"/>
              <c:showVal val="1"/>
              <c:showCatName val="0"/>
              <c:showSerName val="0"/>
              <c:showPercent val="0"/>
              <c:showBubbleSize val="0"/>
              <c:extLst>
                <c:ext xmlns:c15="http://schemas.microsoft.com/office/drawing/2012/chart" uri="{CE6537A1-D6FC-4f65-9D91-7224C49458BB}">
                  <c15:layout>
                    <c:manualLayout>
                      <c:w val="0.138700849776754"/>
                      <c:h val="0.145053818554587"/>
                    </c:manualLayout>
                  </c15:layout>
                </c:ext>
              </c:extLst>
            </c:dLbl>
            <c:dLbl>
              <c:idx val="1"/>
              <c:delete val="1"/>
            </c:dLbl>
            <c:dLbl>
              <c:idx val="2"/>
              <c:delete val="1"/>
            </c:dLbl>
            <c:dLbl>
              <c:idx val="3"/>
              <c:delete val="1"/>
            </c:dLbl>
            <c:dLbl>
              <c:idx val="4"/>
              <c:delete val="1"/>
            </c:dLbl>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lumMod val="75000"/>
                        <a:lumOff val="25000"/>
                      </a:schemeClr>
                    </a:solidFill>
                    <a:latin typeface="+mn-lt"/>
                    <a:ea typeface="+mn-ea"/>
                    <a:cs typeface="+mn-cs"/>
                  </a:defRPr>
                </a:pPr>
              </a:p>
            </c:txPr>
            <c:dLblPos val="bestFit"/>
            <c:showLegendKey val="0"/>
            <c:showVal val="0"/>
            <c:showCatName val="0"/>
            <c:showSerName val="0"/>
            <c:showPercent val="0"/>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Sheet1!$A$2:$A$6</c:f>
              <c:strCache>
                <c:ptCount val="5"/>
                <c:pt idx="0">
                  <c:v>基本支出</c:v>
                </c:pt>
                <c:pt idx="1">
                  <c:v>项目支出</c:v>
                </c:pt>
                <c:pt idx="2">
                  <c:v>上缴上级支出</c:v>
                </c:pt>
                <c:pt idx="3">
                  <c:v>经营支出</c:v>
                </c:pt>
                <c:pt idx="4">
                  <c:v>对附属单位补助支出</c:v>
                </c:pt>
              </c:strCache>
            </c:strRef>
          </c:cat>
          <c:val>
            <c:numRef>
              <c:f>Sheet1!$B$2:$B$6</c:f>
              <c:numCache>
                <c:formatCode>General</c:formatCode>
                <c:ptCount val="5"/>
                <c:pt idx="0">
                  <c:v>100</c:v>
                </c:pt>
                <c:pt idx="1">
                  <c:v>0</c:v>
                </c:pt>
                <c:pt idx="2">
                  <c:v>0</c:v>
                </c:pt>
                <c:pt idx="3">
                  <c:v>0</c:v>
                </c:pt>
                <c:pt idx="4">
                  <c:v>0</c:v>
                </c:pt>
              </c:numCache>
            </c:numRef>
          </c:val>
        </c:ser>
        <c:dLbls>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1"/>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2"/>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3"/>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egendEntry>
        <c:idx val="4"/>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bg1">
                  <a:lumMod val="50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08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08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styleClr val="auto"/>
    </cs:lnRef>
    <cs:fillRef idx="1">
      <cs:styleClr val="auto"/>
    </cs:fillRef>
    <cs:effectRef idx="0"/>
    <cs:fontRef idx="minor">
      <a:schemeClr val="dk1"/>
    </cs:fontRef>
    <cs:spPr>
      <a:ln>
        <a:solidFill>
          <a:schemeClr val="bg1"/>
        </a:solidFill>
      </a:ln>
      <a:effectLst/>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lt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38</Pages>
  <Words>7874</Words>
  <Characters>8595</Characters>
  <Lines>77</Lines>
  <Paragraphs>21</Paragraphs>
  <TotalTime>9</TotalTime>
  <ScaleCrop>false</ScaleCrop>
  <LinksUpToDate>false</LinksUpToDate>
  <CharactersWithSpaces>8755</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2017-07-12T07:16:00Z</dcterms:created>
  <dc:creator>常程</dc:creator>
  <cp:lastModifiedBy>user</cp:lastModifiedBy>
  <cp:lastPrinted>2020-08-08T03:39:00Z</cp:lastPrinted>
  <dcterms:modified xsi:type="dcterms:W3CDTF">2024-07-08T06:28:59Z</dcterms:modified>
  <dc:title>北京市财政局关于做好向市人大常委会报送2015年度市级部门决算（草案）</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C53E0049DD7D4F56A956C4A3BA3D12CC_13</vt:lpwstr>
  </property>
</Properties>
</file>