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北京市密云区人民政府办公室</w:t>
      </w:r>
    </w:p>
    <w:p>
      <w:pPr>
        <w:jc w:val="center"/>
        <w:rPr>
          <w:rFonts w:hint="eastAsia" w:ascii="黑体" w:eastAsia="黑体"/>
          <w:sz w:val="72"/>
          <w:szCs w:val="72"/>
          <w:lang w:eastAsia="zh-CN"/>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r>
        <w:rPr>
          <w:rFonts w:hint="eastAsia" w:ascii="黑体" w:eastAsia="黑体"/>
          <w:sz w:val="72"/>
          <w:szCs w:val="72"/>
          <w:lang w:eastAsia="zh-CN"/>
        </w:rPr>
        <w:t>公开</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br w:type="page"/>
      </w:r>
    </w:p>
    <w:p>
      <w:pPr>
        <w:rPr>
          <w:rFonts w:hint="eastAsia"/>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152255" cy="6063615"/>
            <wp:effectExtent l="0" t="0" r="6985" b="1905"/>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9152255" cy="6063615"/>
                    </a:xfrm>
                    <a:prstGeom prst="rect">
                      <a:avLst/>
                    </a:prstGeom>
                    <a:noFill/>
                    <a:ln>
                      <a:noFill/>
                    </a:ln>
                  </pic:spPr>
                </pic:pic>
              </a:graphicData>
            </a:graphic>
          </wp:anchor>
        </w:drawing>
      </w:r>
    </w:p>
    <w:p>
      <w:pPr>
        <w:rPr>
          <w:rFonts w:hint="eastAsia" w:ascii="宋体" w:hAnsi="宋体" w:cs="宋体"/>
          <w:b/>
          <w:bCs/>
          <w:spacing w:val="40"/>
          <w:kern w:val="0"/>
          <w:sz w:val="32"/>
          <w:szCs w:val="32"/>
        </w:rPr>
      </w:pPr>
      <w:r>
        <w:rPr>
          <w:rFonts w:hint="eastAsia" w:ascii="宋体" w:hAnsi="宋体" w:cs="宋体"/>
          <w:b/>
          <w:bCs/>
          <w:spacing w:val="40"/>
          <w:kern w:val="0"/>
          <w:sz w:val="32"/>
          <w:szCs w:val="32"/>
        </w:rPr>
        <w:br w:type="page"/>
      </w:r>
      <w: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083675" cy="4838700"/>
            <wp:effectExtent l="0" t="0" r="14605" b="7620"/>
            <wp:wrapSquare wrapText="bothSides"/>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8"/>
                    <a:stretch>
                      <a:fillRect/>
                    </a:stretch>
                  </pic:blipFill>
                  <pic:spPr>
                    <a:xfrm>
                      <a:off x="0" y="0"/>
                      <a:ext cx="9083675" cy="4838700"/>
                    </a:xfrm>
                    <a:prstGeom prst="rect">
                      <a:avLst/>
                    </a:prstGeom>
                    <a:noFill/>
                    <a:ln>
                      <a:noFill/>
                    </a:ln>
                  </pic:spPr>
                </pic:pic>
              </a:graphicData>
            </a:graphic>
          </wp:anchor>
        </w:drawing>
      </w: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8907780" cy="4838700"/>
            <wp:effectExtent l="0" t="0" r="7620" b="7620"/>
            <wp:wrapSquare wrapText="bothSides"/>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9"/>
                    <a:stretch>
                      <a:fillRect/>
                    </a:stretch>
                  </pic:blipFill>
                  <pic:spPr>
                    <a:xfrm>
                      <a:off x="0" y="0"/>
                      <a:ext cx="8907780" cy="4838700"/>
                    </a:xfrm>
                    <a:prstGeom prst="rect">
                      <a:avLst/>
                    </a:prstGeom>
                    <a:noFill/>
                    <a:ln>
                      <a:noFill/>
                    </a:ln>
                  </pic:spPr>
                </pic:pic>
              </a:graphicData>
            </a:graphic>
          </wp:anchor>
        </w:drawing>
      </w:r>
      <w:r>
        <w:rPr>
          <w:rFonts w:hint="eastAsia" w:ascii="宋体" w:hAnsi="宋体" w:cs="宋体"/>
          <w:b/>
          <w:bCs/>
          <w:spacing w:val="40"/>
          <w:kern w:val="0"/>
          <w:sz w:val="32"/>
          <w:szCs w:val="32"/>
        </w:rPr>
        <w:br w:type="page"/>
      </w: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27305</wp:posOffset>
            </wp:positionH>
            <wp:positionV relativeFrom="paragraph">
              <wp:posOffset>-69215</wp:posOffset>
            </wp:positionV>
            <wp:extent cx="9177020" cy="6076315"/>
            <wp:effectExtent l="0" t="0" r="12700" b="4445"/>
            <wp:wrapSquare wrapText="bothSides"/>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0"/>
                    <a:stretch>
                      <a:fillRect/>
                    </a:stretch>
                  </pic:blipFill>
                  <pic:spPr>
                    <a:xfrm>
                      <a:off x="0" y="0"/>
                      <a:ext cx="9177020" cy="6076315"/>
                    </a:xfrm>
                    <a:prstGeom prst="rect">
                      <a:avLst/>
                    </a:prstGeom>
                    <a:noFill/>
                    <a:ln>
                      <a:noFill/>
                    </a:ln>
                  </pic:spPr>
                </pic:pic>
              </a:graphicData>
            </a:graphic>
          </wp:anchor>
        </w:drawing>
      </w:r>
      <w:r>
        <w:rPr>
          <w:rFonts w:hint="eastAsia" w:ascii="宋体" w:hAnsi="宋体" w:cs="宋体"/>
          <w:b/>
          <w:bCs/>
          <w:spacing w:val="40"/>
          <w:kern w:val="0"/>
          <w:sz w:val="32"/>
          <w:szCs w:val="32"/>
        </w:rPr>
        <w:br w:type="page"/>
      </w: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9205595" cy="4838700"/>
            <wp:effectExtent l="0" t="0" r="14605" b="7620"/>
            <wp:wrapSquare wrapText="bothSides"/>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1"/>
                    <a:stretch>
                      <a:fillRect/>
                    </a:stretch>
                  </pic:blipFill>
                  <pic:spPr>
                    <a:xfrm>
                      <a:off x="0" y="0"/>
                      <a:ext cx="9205595" cy="4838700"/>
                    </a:xfrm>
                    <a:prstGeom prst="rect">
                      <a:avLst/>
                    </a:prstGeom>
                    <a:noFill/>
                    <a:ln>
                      <a:noFill/>
                    </a:ln>
                  </pic:spPr>
                </pic:pic>
              </a:graphicData>
            </a:graphic>
          </wp:anchor>
        </w:drawing>
      </w:r>
      <w:r>
        <w:rPr>
          <w:rFonts w:hint="eastAsia" w:ascii="宋体" w:hAnsi="宋体" w:cs="宋体"/>
          <w:b/>
          <w:bCs/>
          <w:spacing w:val="40"/>
          <w:kern w:val="0"/>
          <w:sz w:val="32"/>
          <w:szCs w:val="32"/>
        </w:rPr>
        <w:br w:type="page"/>
      </w: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754380</wp:posOffset>
            </wp:positionH>
            <wp:positionV relativeFrom="paragraph">
              <wp:posOffset>114300</wp:posOffset>
            </wp:positionV>
            <wp:extent cx="7330440" cy="4968240"/>
            <wp:effectExtent l="0" t="0" r="0" b="0"/>
            <wp:wrapSquare wrapText="bothSides"/>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12"/>
                    <a:stretch>
                      <a:fillRect/>
                    </a:stretch>
                  </pic:blipFill>
                  <pic:spPr>
                    <a:xfrm>
                      <a:off x="0" y="0"/>
                      <a:ext cx="7330440" cy="4968240"/>
                    </a:xfrm>
                    <a:prstGeom prst="rect">
                      <a:avLst/>
                    </a:prstGeom>
                    <a:noFill/>
                    <a:ln>
                      <a:noFill/>
                    </a:ln>
                  </pic:spPr>
                </pic:pic>
              </a:graphicData>
            </a:graphic>
          </wp:anchor>
        </w:drawing>
      </w:r>
      <w:r>
        <w:rPr>
          <w:rFonts w:hint="eastAsia" w:ascii="宋体" w:hAnsi="宋体" w:cs="宋体"/>
          <w:b/>
          <w:bCs/>
          <w:spacing w:val="40"/>
          <w:kern w:val="0"/>
          <w:sz w:val="32"/>
          <w:szCs w:val="32"/>
        </w:rPr>
        <w:br w:type="page"/>
      </w: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0</wp:posOffset>
            </wp:positionH>
            <wp:positionV relativeFrom="paragraph">
              <wp:posOffset>33655</wp:posOffset>
            </wp:positionV>
            <wp:extent cx="9357360" cy="6089015"/>
            <wp:effectExtent l="0" t="0" r="0" b="6985"/>
            <wp:wrapSquare wrapText="bothSides"/>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13"/>
                    <a:stretch>
                      <a:fillRect/>
                    </a:stretch>
                  </pic:blipFill>
                  <pic:spPr>
                    <a:xfrm>
                      <a:off x="0" y="0"/>
                      <a:ext cx="9357360" cy="6089015"/>
                    </a:xfrm>
                    <a:prstGeom prst="rect">
                      <a:avLst/>
                    </a:prstGeom>
                    <a:noFill/>
                    <a:ln>
                      <a:noFill/>
                    </a:ln>
                  </pic:spPr>
                </pic:pic>
              </a:graphicData>
            </a:graphic>
          </wp:anchor>
        </w:drawing>
      </w:r>
      <w:r>
        <w:rPr>
          <w:rFonts w:hint="eastAsia" w:ascii="宋体" w:hAnsi="宋体" w:cs="宋体"/>
          <w:b/>
          <w:bCs/>
          <w:spacing w:val="40"/>
          <w:kern w:val="0"/>
          <w:sz w:val="32"/>
          <w:szCs w:val="32"/>
        </w:rPr>
        <w:br w:type="page"/>
      </w:r>
    </w:p>
    <w:p>
      <w:pPr>
        <w:rPr>
          <w:rFonts w:hint="eastAsia" w:ascii="宋体" w:hAnsi="宋体" w:cs="宋体"/>
          <w:b/>
          <w:bCs/>
          <w:spacing w:val="40"/>
          <w:kern w:val="0"/>
          <w:sz w:val="32"/>
          <w:szCs w:val="32"/>
        </w:rPr>
      </w:pPr>
      <w:r>
        <w:rPr>
          <w:rFonts w:hint="eastAsia" w:ascii="宋体" w:hAnsi="宋体" w:cs="宋体"/>
          <w:b/>
          <w:bCs/>
          <w:spacing w:val="40"/>
          <w:kern w:val="0"/>
          <w:sz w:val="32"/>
          <w:szCs w:val="32"/>
        </w:rPr>
        <w:br w:type="page"/>
      </w:r>
      <w: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250680" cy="1478280"/>
            <wp:effectExtent l="0" t="0" r="0" b="0"/>
            <wp:wrapSquare wrapText="bothSides"/>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14"/>
                    <a:stretch>
                      <a:fillRect/>
                    </a:stretch>
                  </pic:blipFill>
                  <pic:spPr>
                    <a:xfrm>
                      <a:off x="0" y="0"/>
                      <a:ext cx="9250680" cy="1478280"/>
                    </a:xfrm>
                    <a:prstGeom prst="rect">
                      <a:avLst/>
                    </a:prstGeom>
                    <a:noFill/>
                    <a:ln>
                      <a:noFill/>
                    </a:ln>
                  </pic:spPr>
                </pic:pic>
              </a:graphicData>
            </a:graphic>
          </wp:anchor>
        </w:drawing>
      </w: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111760</wp:posOffset>
            </wp:positionH>
            <wp:positionV relativeFrom="paragraph">
              <wp:posOffset>-33655</wp:posOffset>
            </wp:positionV>
            <wp:extent cx="9205595" cy="6136640"/>
            <wp:effectExtent l="0" t="0" r="14605" b="5080"/>
            <wp:wrapSquare wrapText="bothSides"/>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15"/>
                    <a:stretch>
                      <a:fillRect/>
                    </a:stretch>
                  </pic:blipFill>
                  <pic:spPr>
                    <a:xfrm>
                      <a:off x="0" y="0"/>
                      <a:ext cx="9205595" cy="6136640"/>
                    </a:xfrm>
                    <a:prstGeom prst="rect">
                      <a:avLst/>
                    </a:prstGeom>
                    <a:noFill/>
                    <a:ln>
                      <a:noFill/>
                    </a:ln>
                  </pic:spPr>
                </pic:pic>
              </a:graphicData>
            </a:graphic>
          </wp:anchor>
        </w:drawing>
      </w:r>
      <w:r>
        <w:rPr>
          <w:rFonts w:hint="eastAsia" w:ascii="宋体" w:hAnsi="宋体" w:cs="宋体"/>
          <w:b/>
          <w:bCs/>
          <w:spacing w:val="40"/>
          <w:kern w:val="0"/>
          <w:sz w:val="32"/>
          <w:szCs w:val="32"/>
        </w:rPr>
        <w:br w:type="page"/>
      </w:r>
    </w:p>
    <w:p>
      <w:pPr>
        <w:rPr>
          <w:rFonts w:hint="eastAsia" w:ascii="宋体" w:hAnsi="宋体" w:cs="宋体"/>
          <w:b/>
          <w:bCs/>
          <w:spacing w:val="40"/>
          <w:kern w:val="0"/>
          <w:sz w:val="32"/>
          <w:szCs w:val="32"/>
        </w:rPr>
      </w:pP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187440" cy="1478280"/>
            <wp:effectExtent l="0" t="0" r="0" b="0"/>
            <wp:wrapSquare wrapText="bothSides"/>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16"/>
                    <a:stretch>
                      <a:fillRect/>
                    </a:stretch>
                  </pic:blipFill>
                  <pic:spPr>
                    <a:xfrm>
                      <a:off x="0" y="0"/>
                      <a:ext cx="6187440" cy="1478280"/>
                    </a:xfrm>
                    <a:prstGeom prst="rect">
                      <a:avLst/>
                    </a:prstGeom>
                    <a:noFill/>
                    <a:ln>
                      <a:noFill/>
                    </a:ln>
                  </pic:spPr>
                </pic:pic>
              </a:graphicData>
            </a:graphic>
          </wp:anchor>
        </w:drawing>
      </w:r>
    </w:p>
    <w:p>
      <w:pPr>
        <w:rPr>
          <w:rFonts w:hint="eastAsia" w:ascii="宋体" w:hAnsi="宋体" w:cs="宋体"/>
          <w:b/>
          <w:bCs/>
          <w:spacing w:val="40"/>
          <w:kern w:val="0"/>
          <w:sz w:val="32"/>
          <w:szCs w:val="32"/>
        </w:rPr>
      </w:pPr>
    </w:p>
    <w:p>
      <w:pPr>
        <w:rPr>
          <w:rFonts w:hint="eastAsia" w:ascii="宋体" w:hAnsi="宋体" w:cs="宋体"/>
          <w:b/>
          <w:bCs/>
          <w:spacing w:val="40"/>
          <w:kern w:val="0"/>
          <w:sz w:val="32"/>
          <w:szCs w:val="32"/>
        </w:rPr>
      </w:pPr>
    </w:p>
    <w:p>
      <w:pPr>
        <w:rPr>
          <w:rFonts w:hint="eastAsia" w:ascii="宋体" w:hAnsi="宋体" w:cs="宋体"/>
          <w:b/>
          <w:bCs/>
          <w:spacing w:val="40"/>
          <w:kern w:val="0"/>
          <w:sz w:val="32"/>
          <w:szCs w:val="32"/>
        </w:rPr>
      </w:pPr>
    </w:p>
    <w:p>
      <w:pPr>
        <w:rPr>
          <w:rFonts w:hint="eastAsia" w:ascii="宋体" w:hAnsi="宋体" w:cs="宋体"/>
          <w:b/>
          <w:bCs/>
          <w:spacing w:val="40"/>
          <w:kern w:val="0"/>
          <w:sz w:val="32"/>
          <w:szCs w:val="32"/>
        </w:rPr>
      </w:pP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273540" cy="1676400"/>
            <wp:effectExtent l="0" t="0" r="7620" b="0"/>
            <wp:wrapSquare wrapText="bothSides"/>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17"/>
                    <a:stretch>
                      <a:fillRect/>
                    </a:stretch>
                  </pic:blipFill>
                  <pic:spPr>
                    <a:xfrm>
                      <a:off x="0" y="0"/>
                      <a:ext cx="9273540" cy="1676400"/>
                    </a:xfrm>
                    <a:prstGeom prst="rect">
                      <a:avLst/>
                    </a:prstGeom>
                    <a:noFill/>
                    <a:ln>
                      <a:noFill/>
                    </a:ln>
                  </pic:spPr>
                </pic:pic>
              </a:graphicData>
            </a:graphic>
          </wp:anchor>
        </w:drawing>
      </w:r>
      <w:r>
        <w:rPr>
          <w:rFonts w:hint="eastAsia" w:ascii="宋体" w:hAnsi="宋体" w:cs="宋体"/>
          <w:b/>
          <w:bCs/>
          <w:spacing w:val="40"/>
          <w:kern w:val="0"/>
          <w:sz w:val="32"/>
          <w:szCs w:val="32"/>
        </w:rPr>
        <w:br w:type="page"/>
      </w: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1965960</wp:posOffset>
            </wp:positionH>
            <wp:positionV relativeFrom="paragraph">
              <wp:posOffset>7620</wp:posOffset>
            </wp:positionV>
            <wp:extent cx="5661660" cy="3970020"/>
            <wp:effectExtent l="0" t="0" r="7620" b="7620"/>
            <wp:wrapSquare wrapText="bothSides"/>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pic:cNvPicPr>
                      <a:picLocks noChangeAspect="1"/>
                    </pic:cNvPicPr>
                  </pic:nvPicPr>
                  <pic:blipFill>
                    <a:blip r:embed="rId18"/>
                    <a:stretch>
                      <a:fillRect/>
                    </a:stretch>
                  </pic:blipFill>
                  <pic:spPr>
                    <a:xfrm>
                      <a:off x="0" y="0"/>
                      <a:ext cx="5661660" cy="3970020"/>
                    </a:xfrm>
                    <a:prstGeom prst="rect">
                      <a:avLst/>
                    </a:prstGeom>
                    <a:noFill/>
                    <a:ln>
                      <a:noFill/>
                    </a:ln>
                  </pic:spPr>
                </pic:pic>
              </a:graphicData>
            </a:graphic>
          </wp:anchor>
        </w:drawing>
      </w:r>
      <w:r>
        <w:rPr>
          <w:rFonts w:hint="eastAsia" w:ascii="宋体" w:hAnsi="宋体" w:cs="宋体"/>
          <w:b/>
          <w:bCs/>
          <w:spacing w:val="40"/>
          <w:kern w:val="0"/>
          <w:sz w:val="32"/>
          <w:szCs w:val="32"/>
        </w:rPr>
        <w:br w:type="page"/>
      </w:r>
    </w:p>
    <w:p>
      <w:pPr>
        <w:rPr>
          <w:rFonts w:hint="eastAsia" w:ascii="宋体" w:hAnsi="宋体" w:cs="宋体"/>
          <w:b/>
          <w:bCs/>
          <w:spacing w:val="40"/>
          <w:kern w:val="0"/>
          <w:sz w:val="32"/>
          <w:szCs w:val="32"/>
        </w:rPr>
      </w:pPr>
      <w:r>
        <w:drawing>
          <wp:anchor distT="0" distB="0" distL="114300" distR="114300" simplePos="0" relativeHeight="251672576" behindDoc="0" locked="0" layoutInCell="1" allowOverlap="1">
            <wp:simplePos x="0" y="0"/>
            <wp:positionH relativeFrom="column">
              <wp:posOffset>1943100</wp:posOffset>
            </wp:positionH>
            <wp:positionV relativeFrom="paragraph">
              <wp:posOffset>-93980</wp:posOffset>
            </wp:positionV>
            <wp:extent cx="5661660" cy="6280150"/>
            <wp:effectExtent l="0" t="0" r="7620" b="13970"/>
            <wp:wrapSquare wrapText="bothSides"/>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19"/>
                    <a:stretch>
                      <a:fillRect/>
                    </a:stretch>
                  </pic:blipFill>
                  <pic:spPr>
                    <a:xfrm>
                      <a:off x="0" y="0"/>
                      <a:ext cx="5661660" cy="6280150"/>
                    </a:xfrm>
                    <a:prstGeom prst="rect">
                      <a:avLst/>
                    </a:prstGeom>
                    <a:noFill/>
                    <a:ln>
                      <a:noFill/>
                    </a:ln>
                  </pic:spPr>
                </pic:pic>
              </a:graphicData>
            </a:graphic>
          </wp:anchor>
        </w:drawing>
      </w:r>
      <w:r>
        <w:rPr>
          <w:rFonts w:hint="eastAsia" w:ascii="宋体" w:hAnsi="宋体" w:cs="宋体"/>
          <w:b/>
          <w:bCs/>
          <w:spacing w:val="40"/>
          <w:kern w:val="0"/>
          <w:sz w:val="32"/>
          <w:szCs w:val="32"/>
        </w:rPr>
        <w:br w:type="page"/>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hAnsi="黑体" w:eastAsia="黑体" w:cs="黑体"/>
          <w:b/>
          <w:sz w:val="28"/>
          <w:szCs w:val="28"/>
        </w:rPr>
      </w:pPr>
      <w:r>
        <w:rPr>
          <w:rFonts w:hint="eastAsia" w:ascii="黑体" w:hAnsi="黑体" w:eastAsia="黑体" w:cs="黑体"/>
          <w:b w:val="0"/>
          <w:bCs/>
          <w:sz w:val="28"/>
          <w:szCs w:val="28"/>
        </w:rPr>
        <w:t>一、部门/单位基本情况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（一）主要职责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1、贯彻执行区政府的决策和指示，负责处理区政府日常具体事务。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2、起草、印发以区政府和区政府办公室名义上报下发的文件；审核办理以区政府和区政府办公室名义转发的文件；起草区政府工作总结、工作计划和年度《政府工作报告》。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政务信息的收集、加工整理、编发、传递和反馈，并围绕区政府的中心工作开展调研，为区政府领导决策提供依据；编发《昨日区情》、《密云政务》，负责向市政府上报信息以及区政府信息公开的组织、协调、监督、管理等事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4、督促、检查市政府、市政府有关部门和区政府重要决策、工作部署以及区级领导交办事项的贯彻落实。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5、负责区政府常务会、区长办公会、区政府全体会议和区政府有关会议的筹备，并负责会议决定事项的督办落实工作。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6、负责区政府内外联系及公关性工作，综合协调区政府各部门之间的关系；负责与市政府和区委、区人大、区政协的联络工作；受区长、副区长的委托，代表区政府牵头组织重要政务活动及临时性工作。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7、负责市、区人大会议和政协会议交由区政府办理的意见、建议和提案的落实工作；负责人大、政协交由区政府承办的有关事项；协助有关部门做好市、区人大代表和政协委员视察活动的组织筹备联络工作。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8、负责外事调研、涉外事件处理、因公出国（境）、外国人来华邀请的审核、报批以及区委外事工作领导小组的日常工作。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负责区政府的文件收发、传递、保管、机要保密、档案立卷、印信管理和值班、接待等日常行政工作。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、办理区政府领导同志交办的其他事项。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（二）机构设置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1、行政内设职能科室情况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机构改革后，区政府办内设职能科室7个，即值班室、秘书科、信息科、督查室、联络科、行政科、外事科，以及机关党委（党建科）、机关纪委、机关工会，共10个科级机构。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2、所属事业单位情况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设有2个事业科室，即区政府绩效考评中心和区政府办公室综合服务中心。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人员构成情况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lang w:val="en-US" w:eastAsia="zh-CN"/>
        </w:rPr>
        <w:t>1、行政编制情况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区政府办行政编制35名，其中区政府领导行政编制7名，区政府办主任1名、副主任5名，科级领导职数10正1副（含机关党委专职副书记兼党建科科长1名、机关纪委书记1名、工会专职副主席1名）。实有30人。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所属事业编制情况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区政府办事业编制</w:t>
      </w:r>
      <w:r>
        <w:rPr>
          <w:rFonts w:hint="eastAsia" w:ascii="仿宋_GB2312" w:hAnsi="仿宋_GB2312" w:eastAsia="仿宋_GB2312" w:cs="仿宋_GB2312"/>
          <w:sz w:val="28"/>
          <w:szCs w:val="28"/>
          <w:highlight w:val="none"/>
          <w:lang w:val="en-US" w:eastAsia="zh-CN"/>
        </w:rPr>
        <w:t>22</w:t>
      </w:r>
      <w:r>
        <w:rPr>
          <w:rFonts w:hint="eastAsia" w:ascii="仿宋_GB2312" w:hAnsi="仿宋_GB2312" w:eastAsia="仿宋_GB2312" w:cs="仿宋_GB2312"/>
          <w:sz w:val="28"/>
          <w:szCs w:val="28"/>
          <w:lang w:val="en-US" w:eastAsia="zh-CN"/>
        </w:rPr>
        <w:t>名，科级领导职数2正3副。实有12人。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3、工勤人员编制情况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区政府办原有行政工勤编制23名，行政工勤编制随人员退休、调出逐步核减，空出指标由劳务派遣人员补充。目前，政府办实有行政工勤编制17名，劳务派遣编制6名。实有行政工勤编制16人，劳务派遣6人。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2013.36</w:t>
      </w:r>
      <w:r>
        <w:rPr>
          <w:rFonts w:hint="eastAsia" w:ascii="仿宋_GB2312" w:eastAsia="仿宋_GB2312"/>
          <w:sz w:val="28"/>
          <w:szCs w:val="28"/>
        </w:rPr>
        <w:t>万元，</w:t>
      </w:r>
      <w:r>
        <w:rPr>
          <w:rFonts w:ascii="仿宋_GB2312" w:eastAsia="仿宋_GB2312"/>
          <w:sz w:val="28"/>
          <w:szCs w:val="28"/>
        </w:rPr>
        <w:t>比</w:t>
      </w:r>
      <w:r>
        <w:rPr>
          <w:rFonts w:hint="eastAsia" w:ascii="仿宋_GB2312" w:eastAsia="仿宋_GB2312"/>
          <w:sz w:val="28"/>
          <w:szCs w:val="28"/>
        </w:rPr>
        <w:t>20</w:t>
      </w:r>
      <w:r>
        <w:rPr>
          <w:rFonts w:ascii="仿宋_GB2312" w:eastAsia="仿宋_GB2312"/>
          <w:sz w:val="28"/>
          <w:szCs w:val="28"/>
        </w:rPr>
        <w:t>22</w:t>
      </w:r>
      <w:r>
        <w:rPr>
          <w:rFonts w:hint="eastAsia" w:ascii="仿宋_GB2312" w:eastAsia="仿宋_GB2312"/>
          <w:sz w:val="28"/>
          <w:szCs w:val="28"/>
        </w:rPr>
        <w:t>年度</w:t>
      </w:r>
      <w:r>
        <w:rPr>
          <w:rFonts w:hint="eastAsia" w:ascii="仿宋_GB2312" w:eastAsia="仿宋_GB2312"/>
          <w:sz w:val="28"/>
          <w:szCs w:val="28"/>
          <w:lang w:val="en-US" w:eastAsia="zh-CN"/>
        </w:rPr>
        <w:t>2129.08</w:t>
      </w:r>
      <w:r>
        <w:rPr>
          <w:rFonts w:hint="eastAsia" w:ascii="仿宋_GB2312" w:eastAsia="仿宋_GB2312"/>
          <w:sz w:val="28"/>
          <w:szCs w:val="28"/>
        </w:rPr>
        <w:t>万元减少</w:t>
      </w:r>
      <w:r>
        <w:rPr>
          <w:rFonts w:hint="eastAsia" w:ascii="仿宋_GB2312" w:eastAsia="仿宋_GB2312"/>
          <w:sz w:val="28"/>
          <w:szCs w:val="28"/>
          <w:lang w:val="en-US" w:eastAsia="zh-CN"/>
        </w:rPr>
        <w:t>115.72</w:t>
      </w:r>
      <w:r>
        <w:rPr>
          <w:rFonts w:hint="eastAsia" w:ascii="仿宋_GB2312" w:eastAsia="仿宋_GB2312"/>
          <w:sz w:val="28"/>
          <w:szCs w:val="28"/>
        </w:rPr>
        <w:t>万元，下降</w:t>
      </w:r>
      <w:r>
        <w:rPr>
          <w:rFonts w:hint="eastAsia" w:ascii="仿宋_GB2312" w:eastAsia="仿宋_GB2312"/>
          <w:sz w:val="28"/>
          <w:szCs w:val="28"/>
          <w:lang w:val="en-US" w:eastAsia="zh-CN"/>
        </w:rPr>
        <w:t>5.44</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1963.36</w:t>
      </w:r>
      <w:r>
        <w:rPr>
          <w:rFonts w:hint="eastAsia" w:ascii="仿宋_GB2312" w:eastAsia="仿宋_GB2312"/>
          <w:sz w:val="28"/>
          <w:szCs w:val="28"/>
        </w:rPr>
        <w:t>万元，</w:t>
      </w:r>
      <w:r>
        <w:rPr>
          <w:rFonts w:ascii="仿宋_GB2312" w:eastAsia="仿宋_GB2312"/>
          <w:sz w:val="28"/>
          <w:szCs w:val="28"/>
        </w:rPr>
        <w:t>比</w:t>
      </w:r>
      <w:r>
        <w:rPr>
          <w:rFonts w:hint="eastAsia" w:ascii="仿宋_GB2312" w:eastAsia="仿宋_GB2312"/>
          <w:sz w:val="28"/>
          <w:szCs w:val="28"/>
        </w:rPr>
        <w:t>20</w:t>
      </w:r>
      <w:r>
        <w:rPr>
          <w:rFonts w:ascii="仿宋_GB2312" w:eastAsia="仿宋_GB2312"/>
          <w:sz w:val="28"/>
          <w:szCs w:val="28"/>
        </w:rPr>
        <w:t>22</w:t>
      </w:r>
      <w:r>
        <w:rPr>
          <w:rFonts w:hint="eastAsia" w:ascii="仿宋_GB2312" w:eastAsia="仿宋_GB2312"/>
          <w:sz w:val="28"/>
          <w:szCs w:val="28"/>
        </w:rPr>
        <w:t>年度</w:t>
      </w:r>
      <w:r>
        <w:rPr>
          <w:rFonts w:hint="eastAsia" w:ascii="仿宋_GB2312" w:eastAsia="仿宋_GB2312"/>
          <w:sz w:val="28"/>
          <w:szCs w:val="28"/>
          <w:lang w:val="en-US" w:eastAsia="zh-CN"/>
        </w:rPr>
        <w:t>2129.08</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165.72</w:t>
      </w:r>
      <w:r>
        <w:rPr>
          <w:rFonts w:hint="eastAsia" w:ascii="仿宋_GB2312" w:eastAsia="仿宋_GB2312"/>
          <w:sz w:val="28"/>
          <w:szCs w:val="28"/>
        </w:rPr>
        <w:t>万元，下降</w:t>
      </w:r>
      <w:r>
        <w:rPr>
          <w:rFonts w:hint="eastAsia" w:ascii="仿宋_GB2312" w:eastAsia="仿宋_GB2312"/>
          <w:sz w:val="28"/>
          <w:szCs w:val="28"/>
          <w:lang w:val="en-US" w:eastAsia="zh-CN"/>
        </w:rPr>
        <w:t>7.78</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1963.36</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1963.36</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pStyle w:val="3"/>
        <w:ind w:firstLine="0"/>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图1：收入决算</w:t>
      </w:r>
    </w:p>
    <w:p>
      <w:pPr>
        <w:rPr>
          <w:rFonts w:hint="default"/>
          <w:lang w:val="en-US"/>
        </w:rPr>
      </w:pPr>
      <w:r>
        <w:rPr>
          <w:rFonts w:hint="eastAsia"/>
          <w:lang w:val="en-US" w:eastAsia="zh-CN"/>
        </w:rPr>
        <w:drawing>
          <wp:anchor distT="0" distB="0" distL="114300" distR="114300" simplePos="0" relativeHeight="251675648" behindDoc="0" locked="0" layoutInCell="1" allowOverlap="1">
            <wp:simplePos x="0" y="0"/>
            <wp:positionH relativeFrom="column">
              <wp:posOffset>1980565</wp:posOffset>
            </wp:positionH>
            <wp:positionV relativeFrom="paragraph">
              <wp:posOffset>114935</wp:posOffset>
            </wp:positionV>
            <wp:extent cx="4572000" cy="2743200"/>
            <wp:effectExtent l="4445" t="4445" r="10795" b="1079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bidi w:val="0"/>
        <w:jc w:val="center"/>
        <w:rPr>
          <w:rFonts w:hint="eastAsia"/>
          <w:lang w:val="en-US" w:eastAsia="zh-CN"/>
        </w:rPr>
      </w:pP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2013.36</w:t>
      </w:r>
      <w:r>
        <w:rPr>
          <w:rFonts w:hint="eastAsia" w:ascii="仿宋_GB2312" w:eastAsia="仿宋_GB2312"/>
          <w:sz w:val="28"/>
          <w:szCs w:val="28"/>
        </w:rPr>
        <w:t>万元，</w:t>
      </w:r>
      <w:r>
        <w:rPr>
          <w:rFonts w:ascii="仿宋_GB2312" w:eastAsia="仿宋_GB2312"/>
          <w:sz w:val="28"/>
          <w:szCs w:val="28"/>
        </w:rPr>
        <w:t>比</w:t>
      </w:r>
      <w:r>
        <w:rPr>
          <w:rFonts w:hint="eastAsia" w:ascii="仿宋_GB2312" w:eastAsia="仿宋_GB2312"/>
          <w:sz w:val="28"/>
          <w:szCs w:val="28"/>
        </w:rPr>
        <w:t>20</w:t>
      </w:r>
      <w:r>
        <w:rPr>
          <w:rFonts w:ascii="仿宋_GB2312" w:eastAsia="仿宋_GB2312"/>
          <w:sz w:val="28"/>
          <w:szCs w:val="28"/>
        </w:rPr>
        <w:t>22</w:t>
      </w:r>
      <w:r>
        <w:rPr>
          <w:rFonts w:hint="eastAsia" w:ascii="仿宋_GB2312" w:eastAsia="仿宋_GB2312"/>
          <w:sz w:val="28"/>
          <w:szCs w:val="28"/>
        </w:rPr>
        <w:t>年度</w:t>
      </w:r>
      <w:r>
        <w:rPr>
          <w:rFonts w:hint="eastAsia" w:ascii="仿宋_GB2312" w:eastAsia="仿宋_GB2312"/>
          <w:sz w:val="28"/>
          <w:szCs w:val="28"/>
          <w:lang w:val="en-US" w:eastAsia="zh-CN"/>
        </w:rPr>
        <w:t>2129.08</w:t>
      </w:r>
      <w:r>
        <w:rPr>
          <w:rFonts w:hint="eastAsia" w:ascii="仿宋_GB2312" w:eastAsia="仿宋_GB2312"/>
          <w:sz w:val="28"/>
          <w:szCs w:val="28"/>
        </w:rPr>
        <w:t>万元减少</w:t>
      </w:r>
      <w:r>
        <w:rPr>
          <w:rFonts w:hint="eastAsia" w:ascii="仿宋_GB2312" w:eastAsia="仿宋_GB2312"/>
          <w:sz w:val="28"/>
          <w:szCs w:val="28"/>
          <w:lang w:val="en-US" w:eastAsia="zh-CN"/>
        </w:rPr>
        <w:t>115.72</w:t>
      </w:r>
      <w:r>
        <w:rPr>
          <w:rFonts w:hint="eastAsia" w:ascii="仿宋_GB2312" w:eastAsia="仿宋_GB2312"/>
          <w:sz w:val="28"/>
          <w:szCs w:val="28"/>
        </w:rPr>
        <w:t>万元，下降</w:t>
      </w:r>
      <w:r>
        <w:rPr>
          <w:rFonts w:hint="eastAsia" w:ascii="仿宋_GB2312" w:eastAsia="仿宋_GB2312"/>
          <w:sz w:val="28"/>
          <w:szCs w:val="28"/>
          <w:lang w:val="en-US" w:eastAsia="zh-CN"/>
        </w:rPr>
        <w:t>5.44</w:t>
      </w:r>
      <w:r>
        <w:rPr>
          <w:rFonts w:hint="eastAsia" w:ascii="仿宋_GB2312" w:eastAsia="仿宋_GB2312"/>
          <w:sz w:val="28"/>
          <w:szCs w:val="28"/>
        </w:rPr>
        <w:t>%，其中：基本支出</w:t>
      </w:r>
      <w:r>
        <w:rPr>
          <w:rFonts w:ascii="仿宋_GB2312" w:eastAsia="仿宋_GB2312"/>
          <w:sz w:val="28"/>
          <w:szCs w:val="28"/>
        </w:rPr>
        <w:t>1905.26</w:t>
      </w:r>
      <w:r>
        <w:rPr>
          <w:rFonts w:hint="eastAsia" w:ascii="仿宋_GB2312" w:eastAsia="仿宋_GB2312"/>
          <w:sz w:val="28"/>
          <w:szCs w:val="28"/>
        </w:rPr>
        <w:t>万元，占支出合计的</w:t>
      </w:r>
      <w:r>
        <w:rPr>
          <w:rFonts w:ascii="仿宋_GB2312" w:eastAsia="仿宋_GB2312"/>
          <w:sz w:val="28"/>
          <w:szCs w:val="28"/>
        </w:rPr>
        <w:t>94.63</w:t>
      </w:r>
      <w:r>
        <w:rPr>
          <w:rFonts w:hint="eastAsia" w:ascii="仿宋_GB2312" w:eastAsia="仿宋_GB2312"/>
          <w:sz w:val="28"/>
          <w:szCs w:val="28"/>
        </w:rPr>
        <w:t>%；项目支出</w:t>
      </w:r>
      <w:r>
        <w:rPr>
          <w:rFonts w:ascii="仿宋_GB2312" w:eastAsia="仿宋_GB2312"/>
          <w:sz w:val="28"/>
          <w:szCs w:val="28"/>
        </w:rPr>
        <w:t>108.11</w:t>
      </w:r>
      <w:r>
        <w:rPr>
          <w:rFonts w:hint="eastAsia" w:ascii="仿宋_GB2312" w:eastAsia="仿宋_GB2312"/>
          <w:sz w:val="28"/>
          <w:szCs w:val="28"/>
        </w:rPr>
        <w:t>万元，占支出合计的</w:t>
      </w:r>
      <w:r>
        <w:rPr>
          <w:rFonts w:ascii="仿宋_GB2312" w:eastAsia="仿宋_GB2312"/>
          <w:sz w:val="28"/>
          <w:szCs w:val="28"/>
        </w:rPr>
        <w:t>5.36</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anchor distT="0" distB="0" distL="114300" distR="114300" simplePos="0" relativeHeight="251676672" behindDoc="0" locked="0" layoutInCell="1" allowOverlap="1">
            <wp:simplePos x="0" y="0"/>
            <wp:positionH relativeFrom="column">
              <wp:posOffset>2481580</wp:posOffset>
            </wp:positionH>
            <wp:positionV relativeFrom="paragraph">
              <wp:posOffset>282575</wp:posOffset>
            </wp:positionV>
            <wp:extent cx="4572000" cy="2743200"/>
            <wp:effectExtent l="4445" t="4445" r="10795" b="1079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2013.36</w:t>
      </w:r>
      <w:r>
        <w:rPr>
          <w:rFonts w:hint="eastAsia" w:ascii="仿宋_GB2312" w:eastAsia="仿宋_GB2312"/>
          <w:sz w:val="28"/>
          <w:szCs w:val="28"/>
        </w:rPr>
        <w:t>万元，比2022年度</w:t>
      </w:r>
      <w:r>
        <w:rPr>
          <w:rFonts w:hint="eastAsia" w:ascii="仿宋_GB2312" w:eastAsia="仿宋_GB2312"/>
          <w:sz w:val="28"/>
          <w:szCs w:val="28"/>
          <w:lang w:val="en-US" w:eastAsia="zh-CN"/>
        </w:rPr>
        <w:t>2129.08</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115.72</w:t>
      </w:r>
      <w:r>
        <w:rPr>
          <w:rFonts w:hint="eastAsia" w:ascii="仿宋_GB2312" w:eastAsia="仿宋_GB2312"/>
          <w:sz w:val="28"/>
          <w:szCs w:val="28"/>
          <w:lang w:eastAsia="zh-CN"/>
        </w:rPr>
        <w:t>万元，下降</w:t>
      </w:r>
      <w:r>
        <w:rPr>
          <w:rFonts w:hint="eastAsia" w:ascii="仿宋_GB2312" w:eastAsia="仿宋_GB2312"/>
          <w:sz w:val="28"/>
          <w:szCs w:val="28"/>
          <w:lang w:val="en-US" w:eastAsia="zh-CN"/>
        </w:rPr>
        <w:t>5.44</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eastAsia="仿宋_GB2312"/>
          <w:sz w:val="28"/>
          <w:szCs w:val="28"/>
          <w:lang w:eastAsia="zh-CN"/>
        </w:rPr>
        <w:t>人员减少、项目数量和支出减少</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2013.36</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1484.59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73.74</w:t>
      </w:r>
      <w:r>
        <w:rPr>
          <w:rFonts w:hint="eastAsia" w:ascii="仿宋_GB2312" w:eastAsia="仿宋_GB2312"/>
          <w:sz w:val="28"/>
          <w:szCs w:val="28"/>
        </w:rPr>
        <w:t>%；社会保障和就业支出</w:t>
      </w:r>
      <w:r>
        <w:rPr>
          <w:rFonts w:hint="eastAsia" w:ascii="仿宋_GB2312" w:eastAsia="仿宋_GB2312"/>
          <w:sz w:val="28"/>
          <w:szCs w:val="28"/>
          <w:lang w:val="en-US" w:eastAsia="zh-CN"/>
        </w:rPr>
        <w:t>260.57万元，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12.94%;卫生健康支出126.83万元，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6.3%;住房保障支出141.37万元，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7.02%</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1484.59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1210.58万元</w:t>
      </w:r>
      <w:r>
        <w:rPr>
          <w:rFonts w:hint="eastAsia" w:ascii="仿宋_GB2312" w:eastAsia="仿宋_GB2312"/>
          <w:sz w:val="28"/>
          <w:szCs w:val="28"/>
        </w:rPr>
        <w:t>增加</w:t>
      </w:r>
      <w:r>
        <w:rPr>
          <w:rFonts w:hint="eastAsia" w:ascii="仿宋_GB2312" w:eastAsia="仿宋_GB2312"/>
          <w:sz w:val="28"/>
          <w:szCs w:val="28"/>
          <w:lang w:val="en-US" w:eastAsia="zh-CN"/>
        </w:rPr>
        <w:t>274.01</w:t>
      </w:r>
      <w:r>
        <w:rPr>
          <w:rFonts w:hint="eastAsia" w:ascii="仿宋_GB2312" w:eastAsia="仿宋_GB2312"/>
          <w:sz w:val="28"/>
          <w:szCs w:val="28"/>
        </w:rPr>
        <w:t>万元，增长</w:t>
      </w:r>
      <w:r>
        <w:rPr>
          <w:rFonts w:hint="eastAsia" w:ascii="仿宋_GB2312" w:eastAsia="仿宋_GB2312"/>
          <w:sz w:val="28"/>
          <w:szCs w:val="28"/>
          <w:lang w:val="en-US" w:eastAsia="zh-CN"/>
        </w:rPr>
        <w:t>22.63</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政府办公厅（室）及相关机构事务</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1484.59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274.01</w:t>
      </w:r>
      <w:r>
        <w:rPr>
          <w:rFonts w:hint="eastAsia" w:ascii="仿宋_GB2312" w:eastAsia="仿宋_GB2312"/>
          <w:sz w:val="28"/>
          <w:szCs w:val="28"/>
        </w:rPr>
        <w:t>万元，增长</w:t>
      </w:r>
      <w:r>
        <w:rPr>
          <w:rFonts w:hint="eastAsia" w:ascii="仿宋_GB2312" w:eastAsia="仿宋_GB2312"/>
          <w:sz w:val="28"/>
          <w:szCs w:val="28"/>
          <w:lang w:val="en-US" w:eastAsia="zh-CN"/>
        </w:rPr>
        <w:t>22.63</w:t>
      </w:r>
      <w:r>
        <w:rPr>
          <w:rFonts w:hint="eastAsia" w:ascii="仿宋_GB2312" w:eastAsia="仿宋_GB2312"/>
          <w:sz w:val="28"/>
          <w:szCs w:val="28"/>
        </w:rPr>
        <w:t>%。主要原因：202</w:t>
      </w:r>
      <w:r>
        <w:rPr>
          <w:rFonts w:hint="eastAsia" w:ascii="仿宋_GB2312" w:eastAsia="仿宋_GB2312"/>
          <w:sz w:val="28"/>
          <w:szCs w:val="28"/>
          <w:lang w:val="en-US" w:eastAsia="zh-CN"/>
        </w:rPr>
        <w:t>3</w:t>
      </w:r>
      <w:r>
        <w:rPr>
          <w:rFonts w:hint="eastAsia" w:ascii="仿宋_GB2312" w:eastAsia="仿宋_GB2312"/>
          <w:sz w:val="28"/>
          <w:szCs w:val="28"/>
        </w:rPr>
        <w:t>年政策性增资及人员调动增加工资福利支出经费。</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2、“社会保障和就业支出”(类)20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260.57</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w:t>
      </w:r>
      <w:r>
        <w:rPr>
          <w:rFonts w:hint="eastAsia" w:ascii="仿宋_GB2312" w:eastAsia="仿宋_GB2312"/>
          <w:sz w:val="28"/>
          <w:szCs w:val="28"/>
          <w:lang w:val="en-US" w:eastAsia="zh-CN"/>
        </w:rPr>
        <w:t>204.91万元</w:t>
      </w:r>
      <w:r>
        <w:rPr>
          <w:rFonts w:hint="eastAsia" w:ascii="仿宋_GB2312" w:eastAsia="仿宋_GB2312"/>
          <w:sz w:val="28"/>
          <w:szCs w:val="28"/>
        </w:rPr>
        <w:t>增加</w:t>
      </w:r>
      <w:r>
        <w:rPr>
          <w:rFonts w:hint="eastAsia" w:ascii="仿宋_GB2312" w:eastAsia="仿宋_GB2312"/>
          <w:sz w:val="28"/>
          <w:szCs w:val="28"/>
          <w:lang w:val="en-US" w:eastAsia="zh-CN"/>
        </w:rPr>
        <w:t>55.66</w:t>
      </w:r>
      <w:r>
        <w:rPr>
          <w:rFonts w:hint="eastAsia" w:ascii="仿宋_GB2312" w:eastAsia="仿宋_GB2312"/>
          <w:sz w:val="28"/>
          <w:szCs w:val="28"/>
        </w:rPr>
        <w:t>万元，增长</w:t>
      </w:r>
      <w:r>
        <w:rPr>
          <w:rFonts w:hint="eastAsia" w:ascii="仿宋_GB2312" w:eastAsia="仿宋_GB2312"/>
          <w:sz w:val="28"/>
          <w:szCs w:val="28"/>
          <w:lang w:val="en-US" w:eastAsia="zh-CN"/>
        </w:rPr>
        <w:t>27.16</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行政单位基本养老支出</w:t>
      </w:r>
      <w:r>
        <w:rPr>
          <w:rFonts w:hint="eastAsia" w:ascii="仿宋_GB2312" w:eastAsia="仿宋_GB2312"/>
          <w:sz w:val="28"/>
          <w:szCs w:val="28"/>
        </w:rPr>
        <w:t>”（款）20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260.57</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w:t>
      </w:r>
      <w:r>
        <w:rPr>
          <w:rFonts w:hint="eastAsia" w:ascii="仿宋_GB2312" w:eastAsia="仿宋_GB2312"/>
          <w:sz w:val="28"/>
          <w:szCs w:val="28"/>
          <w:lang w:val="en-US" w:eastAsia="zh-CN"/>
        </w:rPr>
        <w:t>204.91万元</w:t>
      </w:r>
      <w:r>
        <w:rPr>
          <w:rFonts w:hint="eastAsia" w:ascii="仿宋_GB2312" w:eastAsia="仿宋_GB2312"/>
          <w:sz w:val="28"/>
          <w:szCs w:val="28"/>
        </w:rPr>
        <w:t>增加</w:t>
      </w:r>
      <w:r>
        <w:rPr>
          <w:rFonts w:hint="eastAsia" w:ascii="仿宋_GB2312" w:eastAsia="仿宋_GB2312"/>
          <w:sz w:val="28"/>
          <w:szCs w:val="28"/>
          <w:lang w:val="en-US" w:eastAsia="zh-CN"/>
        </w:rPr>
        <w:t>55.66</w:t>
      </w:r>
      <w:r>
        <w:rPr>
          <w:rFonts w:hint="eastAsia" w:ascii="仿宋_GB2312" w:eastAsia="仿宋_GB2312"/>
          <w:sz w:val="28"/>
          <w:szCs w:val="28"/>
        </w:rPr>
        <w:t>万元，增长</w:t>
      </w:r>
      <w:r>
        <w:rPr>
          <w:rFonts w:hint="eastAsia" w:ascii="仿宋_GB2312" w:eastAsia="仿宋_GB2312"/>
          <w:sz w:val="28"/>
          <w:szCs w:val="28"/>
          <w:lang w:val="en-US" w:eastAsia="zh-CN"/>
        </w:rPr>
        <w:t>27.16</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eastAsia="仿宋_GB2312"/>
          <w:sz w:val="28"/>
          <w:szCs w:val="28"/>
          <w:lang w:eastAsia="zh-CN"/>
        </w:rPr>
        <w:t>养老保险、职业年金调整增长</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、“卫生健康支出”(类)20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126.83</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w:t>
      </w:r>
      <w:r>
        <w:rPr>
          <w:rFonts w:hint="eastAsia" w:ascii="仿宋_GB2312" w:eastAsia="仿宋_GB2312"/>
          <w:sz w:val="28"/>
          <w:szCs w:val="28"/>
          <w:lang w:val="en-US" w:eastAsia="zh-CN"/>
        </w:rPr>
        <w:t>108.3万元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18.53</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17.11</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行政事业单位医疗</w:t>
      </w:r>
      <w:r>
        <w:rPr>
          <w:rFonts w:hint="eastAsia" w:ascii="仿宋_GB2312" w:eastAsia="仿宋_GB2312"/>
          <w:sz w:val="28"/>
          <w:szCs w:val="28"/>
        </w:rPr>
        <w:t>”（款）20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126.83</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w:t>
      </w:r>
      <w:r>
        <w:rPr>
          <w:rFonts w:hint="eastAsia" w:ascii="仿宋_GB2312" w:eastAsia="仿宋_GB2312"/>
          <w:sz w:val="28"/>
          <w:szCs w:val="28"/>
          <w:lang w:val="en-US" w:eastAsia="zh-CN"/>
        </w:rPr>
        <w:t>108.3万元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18.53</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17.11</w:t>
      </w:r>
      <w:r>
        <w:rPr>
          <w:rFonts w:hint="eastAsia" w:ascii="仿宋_GB2312" w:eastAsia="仿宋_GB2312"/>
          <w:sz w:val="28"/>
          <w:szCs w:val="28"/>
        </w:rPr>
        <w:t>%。主要原因：</w:t>
      </w:r>
      <w:r>
        <w:rPr>
          <w:rFonts w:hint="eastAsia" w:ascii="仿宋_GB2312" w:eastAsia="仿宋_GB2312"/>
          <w:sz w:val="28"/>
          <w:szCs w:val="28"/>
          <w:lang w:eastAsia="zh-CN"/>
        </w:rPr>
        <w:t>医疗保险调整增长</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4、“住房保障支出”</w:t>
      </w:r>
      <w:r>
        <w:rPr>
          <w:rFonts w:hint="eastAsia" w:ascii="仿宋_GB2312" w:eastAsia="仿宋_GB2312"/>
          <w:sz w:val="28"/>
          <w:szCs w:val="28"/>
        </w:rPr>
        <w:t>(类)20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141.37</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w:t>
      </w:r>
      <w:r>
        <w:rPr>
          <w:rFonts w:hint="eastAsia" w:ascii="仿宋_GB2312" w:eastAsia="仿宋_GB2312"/>
          <w:sz w:val="28"/>
          <w:szCs w:val="28"/>
          <w:lang w:val="en-US" w:eastAsia="zh-CN"/>
        </w:rPr>
        <w:t>114.48万元增加26.89万元，增长23.49%</w:t>
      </w:r>
      <w:r>
        <w:rPr>
          <w:rFonts w:hint="eastAsia" w:ascii="仿宋_GB2312" w:eastAsia="仿宋_GB2312"/>
          <w:sz w:val="28"/>
          <w:szCs w:val="28"/>
        </w:rPr>
        <w:t>。</w:t>
      </w:r>
      <w:r>
        <w:rPr>
          <w:rFonts w:hint="eastAsia" w:ascii="仿宋_GB2312" w:eastAsia="仿宋_GB2312"/>
          <w:sz w:val="28"/>
          <w:szCs w:val="28"/>
          <w:lang w:eastAsia="zh-CN"/>
        </w:rPr>
        <w:t>主要原因：公积金调整增长。</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1、“城乡社区支出”</w:t>
      </w:r>
      <w:r>
        <w:rPr>
          <w:rFonts w:hint="eastAsia" w:ascii="仿宋_GB2312" w:eastAsia="仿宋_GB2312"/>
          <w:sz w:val="28"/>
          <w:szCs w:val="28"/>
          <w:lang w:eastAsia="zh-CN"/>
        </w:rPr>
        <w:t>我单位无此类支出安排，</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年度年初预算增加（减少）</w:t>
      </w:r>
      <w:r>
        <w:rPr>
          <w:rFonts w:hint="eastAsia" w:ascii="仿宋_GB2312" w:eastAsia="仿宋_GB2312"/>
          <w:sz w:val="28"/>
          <w:szCs w:val="28"/>
          <w:lang w:val="en-US" w:eastAsia="zh-CN"/>
        </w:rPr>
        <w:t>0</w:t>
      </w:r>
      <w:r>
        <w:rPr>
          <w:rFonts w:hint="eastAsia" w:ascii="仿宋_GB2312" w:eastAsia="仿宋_GB2312"/>
          <w:sz w:val="28"/>
          <w:szCs w:val="28"/>
        </w:rPr>
        <w:t>万元，增长（下降）</w:t>
      </w:r>
      <w:r>
        <w:rPr>
          <w:rFonts w:hint="eastAsia" w:ascii="仿宋_GB2312" w:eastAsia="仿宋_GB2312"/>
          <w:sz w:val="28"/>
          <w:szCs w:val="28"/>
          <w:lang w:val="en-US" w:eastAsia="zh-CN"/>
        </w:rPr>
        <w:t>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“城市公用事业附加及对应专项债务收入安排的支出”</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年度年初预算增加（减少）</w:t>
      </w:r>
      <w:r>
        <w:rPr>
          <w:rFonts w:hint="eastAsia" w:ascii="仿宋_GB2312" w:eastAsia="仿宋_GB2312"/>
          <w:sz w:val="28"/>
          <w:szCs w:val="28"/>
          <w:lang w:val="en-US" w:eastAsia="zh-CN"/>
        </w:rPr>
        <w:t>0</w:t>
      </w:r>
      <w:r>
        <w:rPr>
          <w:rFonts w:hint="eastAsia" w:ascii="仿宋_GB2312" w:eastAsia="仿宋_GB2312"/>
          <w:sz w:val="28"/>
          <w:szCs w:val="28"/>
        </w:rPr>
        <w:t>万元，增长（下降）</w:t>
      </w:r>
      <w:r>
        <w:rPr>
          <w:rFonts w:hint="eastAsia" w:ascii="仿宋_GB2312" w:eastAsia="仿宋_GB2312"/>
          <w:sz w:val="28"/>
          <w:szCs w:val="28"/>
          <w:lang w:val="en-US" w:eastAsia="zh-CN"/>
        </w:rPr>
        <w:t>0</w:t>
      </w:r>
      <w:r>
        <w:rPr>
          <w:rFonts w:hint="eastAsia" w:ascii="仿宋_GB2312" w:eastAsia="仿宋_GB2312"/>
          <w:sz w:val="28"/>
          <w:szCs w:val="28"/>
        </w:rPr>
        <w:t>%。主要原因</w:t>
      </w:r>
      <w:r>
        <w:rPr>
          <w:rFonts w:hint="eastAsia" w:ascii="仿宋_GB2312" w:eastAsia="仿宋_GB2312"/>
          <w:sz w:val="28"/>
          <w:szCs w:val="28"/>
          <w:lang w:eastAsia="zh-CN"/>
        </w:rPr>
        <w:t>：我单位无此项支出安排。</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1905.26</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2</w:t>
      </w:r>
      <w:r>
        <w:rPr>
          <w:rFonts w:hint="eastAsia" w:ascii="仿宋_GB2312" w:eastAsia="仿宋_GB2312"/>
          <w:sz w:val="28"/>
          <w:szCs w:val="28"/>
        </w:rPr>
        <w:t>个事业单位。202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1.56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1.5</w:t>
      </w:r>
      <w:r>
        <w:rPr>
          <w:rFonts w:hint="eastAsia" w:ascii="仿宋_GB2312" w:eastAsia="仿宋_GB2312"/>
          <w:sz w:val="28"/>
          <w:szCs w:val="28"/>
          <w:lang w:val="en-US" w:eastAsia="zh-CN"/>
        </w:rPr>
        <w:t>6</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1.56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1.5</w:t>
      </w:r>
      <w:r>
        <w:rPr>
          <w:rFonts w:hint="eastAsia" w:ascii="仿宋_GB2312" w:eastAsia="仿宋_GB2312"/>
          <w:sz w:val="28"/>
          <w:szCs w:val="28"/>
          <w:lang w:val="en-US" w:eastAsia="zh-CN"/>
        </w:rPr>
        <w:t>6</w:t>
      </w:r>
      <w:r>
        <w:rPr>
          <w:rFonts w:hint="eastAsia" w:ascii="仿宋_GB2312" w:eastAsia="仿宋_GB2312"/>
          <w:sz w:val="28"/>
          <w:szCs w:val="28"/>
        </w:rPr>
        <w:t>万元。主要原因：</w:t>
      </w:r>
      <w:r>
        <w:rPr>
          <w:rFonts w:hint="eastAsia" w:ascii="仿宋_GB2312" w:eastAsia="仿宋_GB2312"/>
          <w:sz w:val="28"/>
          <w:szCs w:val="28"/>
          <w:lang w:val="en-US" w:eastAsia="zh-CN"/>
        </w:rPr>
        <w:t>2023年度参加上级部门组织的出国团组</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年度因公出国（境）费用主要用于</w:t>
      </w:r>
      <w:r>
        <w:rPr>
          <w:rFonts w:hint="eastAsia" w:ascii="仿宋_GB2312" w:eastAsia="仿宋_GB2312"/>
          <w:sz w:val="28"/>
          <w:szCs w:val="28"/>
          <w:lang w:eastAsia="zh-CN"/>
        </w:rPr>
        <w:t>参加市政府外事办组织的北京市政府友好代表团赴日本友好城市交流访问</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eastAsia" w:ascii="仿宋_GB2312" w:eastAsia="仿宋_GB2312"/>
          <w:sz w:val="28"/>
          <w:szCs w:val="28"/>
          <w:lang w:val="en-US" w:eastAsia="zh-CN"/>
        </w:rPr>
        <w:t>1</w:t>
      </w:r>
      <w:r>
        <w:rPr>
          <w:rFonts w:hint="eastAsia" w:ascii="仿宋_GB2312" w:eastAsia="仿宋_GB2312"/>
          <w:sz w:val="28"/>
          <w:szCs w:val="28"/>
        </w:rPr>
        <w:t>个、</w:t>
      </w:r>
      <w:r>
        <w:rPr>
          <w:rFonts w:hint="eastAsia" w:ascii="仿宋_GB2312" w:eastAsia="仿宋_GB2312"/>
          <w:sz w:val="28"/>
          <w:szCs w:val="28"/>
          <w:lang w:val="en-US" w:eastAsia="zh-CN"/>
        </w:rPr>
        <w:t>1</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1.56</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tabs>
          <w:tab w:val="center" w:pos="6979"/>
        </w:tabs>
        <w:ind w:firstLine="554" w:firstLineChars="198"/>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年度决算数0万元，比202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年度年初预算数0万元增加（减少）0万元。主要原因：</w:t>
      </w:r>
      <w:r>
        <w:rPr>
          <w:rFonts w:hint="eastAsia" w:ascii="仿宋_GB2312" w:eastAsia="仿宋_GB2312"/>
          <w:sz w:val="28"/>
          <w:szCs w:val="28"/>
          <w:lang w:eastAsia="zh-CN"/>
        </w:rPr>
        <w:t>我单位公车全部调拨到机关事务服务中心统一管理，相关车辆运行维护费用也由该事务服务中心列支，所以我单位无公车购置发生</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年度决算数0万元，比202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年度年初预算数0万元增加（减少）0万元，主要原因：</w:t>
      </w:r>
      <w:r>
        <w:rPr>
          <w:rFonts w:hint="eastAsia" w:ascii="仿宋_GB2312" w:eastAsia="仿宋_GB2312"/>
          <w:sz w:val="28"/>
          <w:szCs w:val="28"/>
          <w:lang w:eastAsia="zh-CN"/>
        </w:rPr>
        <w:t>我单位公车全部调拨到机关事务服务中心统一管理，相关车辆运行维护费用也由该事务服务中心列支，所以我单位无公车运行维护费用发生</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年度公务用车运行维护费中，公务用车加油0万元，公务用车维修0万元，公务用车保险0万元，公务用车其他支出0万元。202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0</w:t>
      </w:r>
      <w:r>
        <w:rPr>
          <w:rFonts w:hint="eastAsia" w:ascii="仿宋_GB2312" w:eastAsia="仿宋_GB2312"/>
          <w:sz w:val="28"/>
          <w:szCs w:val="28"/>
        </w:rPr>
        <w:t>辆，车均运行维护费</w:t>
      </w:r>
      <w:r>
        <w:rPr>
          <w:rFonts w:hint="eastAsia" w:ascii="仿宋_GB2312" w:eastAsia="仿宋_GB2312"/>
          <w:sz w:val="28"/>
          <w:szCs w:val="28"/>
          <w:lang w:val="en-US" w:eastAsia="zh-CN"/>
        </w:rPr>
        <w:t>0</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bookmarkStart w:id="0" w:name="_GoBack"/>
      <w:bookmarkEnd w:id="0"/>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58.67</w:t>
      </w:r>
      <w:r>
        <w:rPr>
          <w:rFonts w:hint="eastAsia" w:ascii="仿宋_GB2312" w:eastAsia="仿宋_GB2312"/>
          <w:sz w:val="28"/>
          <w:szCs w:val="28"/>
        </w:rPr>
        <w:t>万元，比</w:t>
      </w:r>
      <w:r>
        <w:rPr>
          <w:rFonts w:hint="eastAsia" w:ascii="仿宋_GB2312" w:eastAsia="仿宋_GB2312"/>
          <w:sz w:val="28"/>
          <w:szCs w:val="28"/>
          <w:highlight w:val="none"/>
        </w:rPr>
        <w:t>上年增加</w:t>
      </w:r>
      <w:r>
        <w:rPr>
          <w:rFonts w:hint="eastAsia" w:ascii="仿宋_GB2312" w:eastAsia="仿宋_GB2312"/>
          <w:sz w:val="28"/>
          <w:szCs w:val="28"/>
          <w:highlight w:val="none"/>
          <w:lang w:val="en-US" w:eastAsia="zh-CN"/>
        </w:rPr>
        <w:t>12.</w:t>
      </w:r>
      <w:r>
        <w:rPr>
          <w:rFonts w:hint="eastAsia" w:ascii="仿宋_GB2312" w:eastAsia="仿宋_GB2312"/>
          <w:sz w:val="28"/>
          <w:szCs w:val="28"/>
          <w:lang w:val="en-US" w:eastAsia="zh-CN"/>
        </w:rPr>
        <w:t>01</w:t>
      </w:r>
      <w:r>
        <w:rPr>
          <w:rFonts w:hint="eastAsia" w:ascii="仿宋_GB2312" w:eastAsia="仿宋_GB2312"/>
          <w:sz w:val="28"/>
          <w:szCs w:val="28"/>
        </w:rPr>
        <w:t>万元，增加原因：</w:t>
      </w:r>
      <w:r>
        <w:rPr>
          <w:rFonts w:hint="eastAsia" w:ascii="仿宋_GB2312" w:eastAsia="仿宋_GB2312"/>
          <w:sz w:val="28"/>
          <w:szCs w:val="28"/>
          <w:lang w:eastAsia="zh-CN"/>
        </w:rPr>
        <w:t>工会经费、福利费比</w:t>
      </w:r>
      <w:r>
        <w:rPr>
          <w:rFonts w:hint="eastAsia" w:ascii="仿宋_GB2312" w:eastAsia="仿宋_GB2312"/>
          <w:sz w:val="28"/>
          <w:szCs w:val="28"/>
          <w:lang w:val="en-US" w:eastAsia="zh-CN"/>
        </w:rPr>
        <w:t>2022年增加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1.8</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1.8</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本部门共有</w:t>
      </w:r>
      <w:r>
        <w:rPr>
          <w:rFonts w:hint="eastAsia" w:ascii="仿宋_GB2312" w:eastAsia="仿宋_GB2312"/>
          <w:sz w:val="28"/>
          <w:szCs w:val="28"/>
        </w:rPr>
        <w:t>车辆</w:t>
      </w:r>
      <w:r>
        <w:rPr>
          <w:rFonts w:hint="eastAsia" w:ascii="仿宋_GB2312" w:eastAsia="仿宋_GB2312"/>
          <w:sz w:val="28"/>
          <w:szCs w:val="28"/>
          <w:lang w:val="en-US" w:eastAsia="zh-CN"/>
        </w:rPr>
        <w:t>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22.5</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r>
        <w:rPr>
          <w:rFonts w:hint="eastAsia" w:ascii="黑体" w:eastAsia="黑体"/>
          <w:sz w:val="28"/>
          <w:szCs w:val="28"/>
          <w:lang w:val="en-US" w:eastAsia="zh-CN"/>
        </w:rPr>
        <w:t>1</w:t>
      </w:r>
      <w:r>
        <w:rPr>
          <w:rFonts w:hint="eastAsia" w:ascii="黑体" w:eastAsia="黑体"/>
          <w:sz w:val="28"/>
          <w:szCs w:val="28"/>
          <w:lang w:eastAsia="zh-CN"/>
        </w:rPr>
        <w:t>）</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r>
        <w:rPr>
          <w:rFonts w:hint="eastAsia" w:ascii="黑体" w:eastAsia="黑体"/>
          <w:sz w:val="28"/>
          <w:szCs w:val="28"/>
          <w:lang w:val="en-US" w:eastAsia="zh-CN"/>
        </w:rPr>
        <w:t>2</w:t>
      </w:r>
      <w:r>
        <w:rPr>
          <w:rFonts w:hint="eastAsia" w:ascii="黑体" w:eastAsia="黑体"/>
          <w:sz w:val="28"/>
          <w:szCs w:val="28"/>
          <w:lang w:eastAsia="zh-CN"/>
        </w:rPr>
        <w:t>）</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r>
        <w:rPr>
          <w:rFonts w:hint="eastAsia" w:ascii="黑体" w:eastAsia="黑体"/>
          <w:sz w:val="28"/>
          <w:szCs w:val="28"/>
          <w:lang w:val="en-US" w:eastAsia="zh-CN"/>
        </w:rPr>
        <w:t>3</w:t>
      </w:r>
      <w:r>
        <w:rPr>
          <w:rFonts w:hint="eastAsia" w:ascii="黑体" w:eastAsia="黑体"/>
          <w:sz w:val="28"/>
          <w:szCs w:val="28"/>
          <w:lang w:eastAsia="zh-CN"/>
        </w:rPr>
        <w:t>）</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p>
    <w:p>
      <w:pPr>
        <w:ind w:firstLine="1120" w:firstLineChars="4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无中央转移支付项目</w:t>
      </w: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rPr>
      </w:pPr>
    </w:p>
    <w:p>
      <w:pPr>
        <w:pStyle w:val="2"/>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tabs>
          <w:tab w:val="center" w:pos="6979"/>
        </w:tabs>
        <w:spacing w:line="580" w:lineRule="exact"/>
        <w:ind w:firstLine="700" w:firstLineChars="2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机构设置</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区政府办内设职能科室7个，即值班室、秘书科、信息科、督查室、联络科、行政科、外事科，以及机关党委（党建科）、机关纪委、机关工会，共10个科级机构。设有2个正科级事业单位，区政府绩效考评中心和区政府办公室综合服务中心。</w:t>
      </w:r>
    </w:p>
    <w:p>
      <w:pPr>
        <w:tabs>
          <w:tab w:val="center" w:pos="6979"/>
        </w:tabs>
        <w:spacing w:line="580" w:lineRule="exact"/>
        <w:ind w:firstLine="700" w:firstLineChars="25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工作职责</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（1）贯彻执行区政府的决策和指示，负责处理区政府日常具体事务。</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（2）起草、印发以区政府和区政府办公室名义上报下发的文件；审核办理以区政府和区政府办公室名义转发的文件；起草区政府工作总结、工作计划和年度《政府工作报告》。</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负责政务信息的收集、加工整理、编发、传递和反馈，并围绕区政府的中心工作开展调研，为区政府领导决策提供依据；编发《昨日区情》、《密云政务》，负责向市政府上报信息以及区政府信息公开的组织、协调、监督、管理等事宜。</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（4）督促、检查市政府、市政府有关部门和区政府重要决策、工作部署以及区级领导交办事项的贯彻落实。</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（5）负责区政府常务会、区长办公会、区政府全体会议和区政府有关会议的筹备，并负责会议决定事项的督办落实工作。</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（6）负责区政府内外联系及公关性工作，综合协调区政府各部门之间的关系；负责与市政府和区委、区人大、区政协的联络工作；受区长、副区长的委托，代表区政府牵头组织重要政务活动及临时性工作。</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（7）负责市、区人大会议和政协会议交由区政府办理的意见、建议和提案的落实工作；负责人大、政协交由区政府承办的有关事项；协助有关部门做好市、区人大代表和政协委员视察活动的组织筹备联络工作。</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（8）负责外事调研、涉外事件处理、因公出国（境）、外国人来华邀请的审核、报批以及区委外事工作领导小组的日常工作。</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9</w:t>
      </w:r>
      <w:r>
        <w:rPr>
          <w:rFonts w:hint="eastAsia" w:ascii="仿宋_GB2312" w:hAnsi="Times New Roman" w:eastAsia="仿宋_GB2312" w:cs="Times New Roman"/>
          <w:sz w:val="28"/>
          <w:szCs w:val="28"/>
        </w:rPr>
        <w:t>）负责区政府的文件收发、传递、保管、机要保密、档案立卷、印信管理和值班、接待等日常行政工作。</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10</w:t>
      </w:r>
      <w:r>
        <w:rPr>
          <w:rFonts w:hint="eastAsia" w:ascii="仿宋_GB2312" w:hAnsi="Times New Roman" w:eastAsia="仿宋_GB2312" w:cs="Times New Roman"/>
          <w:sz w:val="28"/>
          <w:szCs w:val="28"/>
        </w:rPr>
        <w:t>）办理区政府领导同志交办的其他事项。</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tabs>
          <w:tab w:val="center" w:pos="6979"/>
        </w:tabs>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根据市级绩效任务结合政府办工作职责，以《部门整体绩效评价指标体系评价表》为参考，在财政预算资金范围内，合理设置绩效目标，有效推动各项任务做实做细，顺利完成市级各项任务目标。</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年</w:t>
      </w:r>
      <w:r>
        <w:rPr>
          <w:rFonts w:ascii="仿宋_GB2312" w:hAnsi="宋体" w:eastAsia="仿宋_GB2312" w:cs="宋体"/>
          <w:color w:val="000000"/>
          <w:kern w:val="0"/>
          <w:sz w:val="28"/>
          <w:szCs w:val="28"/>
        </w:rPr>
        <w:t>全年</w:t>
      </w:r>
      <w:r>
        <w:rPr>
          <w:rFonts w:hint="eastAsia" w:ascii="仿宋_GB2312" w:hAnsi="宋体" w:eastAsia="仿宋_GB2312" w:cs="宋体"/>
          <w:color w:val="000000"/>
          <w:kern w:val="0"/>
          <w:sz w:val="28"/>
          <w:szCs w:val="28"/>
        </w:rPr>
        <w:t>预算数</w:t>
      </w:r>
      <w:r>
        <w:rPr>
          <w:rFonts w:hint="eastAsia" w:ascii="仿宋_GB2312" w:hAnsi="宋体" w:eastAsia="仿宋_GB2312" w:cs="宋体"/>
          <w:color w:val="000000"/>
          <w:kern w:val="0"/>
          <w:sz w:val="28"/>
          <w:szCs w:val="28"/>
          <w:lang w:val="en-US" w:eastAsia="zh-CN"/>
        </w:rPr>
        <w:t>2013.36</w:t>
      </w:r>
      <w:r>
        <w:rPr>
          <w:rFonts w:hint="eastAsia" w:ascii="仿宋_GB2312" w:hAnsi="宋体" w:eastAsia="仿宋_GB2312" w:cs="宋体"/>
          <w:color w:val="000000"/>
          <w:kern w:val="0"/>
          <w:sz w:val="28"/>
          <w:szCs w:val="28"/>
        </w:rPr>
        <w:t>万元</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其中</w:t>
      </w:r>
      <w:r>
        <w:rPr>
          <w:rFonts w:ascii="仿宋_GB2312" w:hAnsi="宋体" w:eastAsia="仿宋_GB2312" w:cs="宋体"/>
          <w:color w:val="000000"/>
          <w:kern w:val="0"/>
          <w:sz w:val="28"/>
          <w:szCs w:val="28"/>
        </w:rPr>
        <w:t>，基本</w:t>
      </w:r>
      <w:r>
        <w:rPr>
          <w:rFonts w:hint="eastAsia" w:ascii="仿宋_GB2312" w:hAnsi="宋体" w:eastAsia="仿宋_GB2312" w:cs="宋体"/>
          <w:color w:val="000000"/>
          <w:kern w:val="0"/>
          <w:sz w:val="28"/>
          <w:szCs w:val="28"/>
        </w:rPr>
        <w:t>支出</w:t>
      </w:r>
      <w:r>
        <w:rPr>
          <w:rFonts w:ascii="仿宋_GB2312" w:hAnsi="宋体" w:eastAsia="仿宋_GB2312" w:cs="宋体"/>
          <w:color w:val="000000"/>
          <w:kern w:val="0"/>
          <w:sz w:val="28"/>
          <w:szCs w:val="28"/>
        </w:rPr>
        <w:t>预算数</w:t>
      </w:r>
      <w:r>
        <w:rPr>
          <w:rFonts w:hint="eastAsia" w:ascii="仿宋_GB2312" w:hAnsi="宋体" w:eastAsia="仿宋_GB2312" w:cs="宋体"/>
          <w:color w:val="000000"/>
          <w:kern w:val="0"/>
          <w:sz w:val="28"/>
          <w:szCs w:val="28"/>
          <w:lang w:val="en-US" w:eastAsia="zh-CN"/>
        </w:rPr>
        <w:t>1905.26</w:t>
      </w:r>
      <w:r>
        <w:rPr>
          <w:rFonts w:ascii="仿宋_GB2312" w:hAnsi="宋体" w:eastAsia="仿宋_GB2312" w:cs="宋体"/>
          <w:color w:val="000000"/>
          <w:kern w:val="0"/>
          <w:sz w:val="28"/>
          <w:szCs w:val="28"/>
        </w:rPr>
        <w:t>万元，</w:t>
      </w:r>
      <w:r>
        <w:rPr>
          <w:rFonts w:hint="eastAsia" w:ascii="仿宋_GB2312" w:hAnsi="宋体" w:eastAsia="仿宋_GB2312" w:cs="宋体"/>
          <w:color w:val="000000"/>
          <w:kern w:val="0"/>
          <w:sz w:val="28"/>
          <w:szCs w:val="28"/>
        </w:rPr>
        <w:t>项目支出预算数</w:t>
      </w:r>
      <w:r>
        <w:rPr>
          <w:rFonts w:hint="eastAsia" w:ascii="仿宋_GB2312" w:hAnsi="宋体" w:eastAsia="仿宋_GB2312" w:cs="宋体"/>
          <w:color w:val="000000"/>
          <w:kern w:val="0"/>
          <w:sz w:val="28"/>
          <w:szCs w:val="28"/>
          <w:lang w:val="en-US" w:eastAsia="zh-CN"/>
        </w:rPr>
        <w:t>108.11</w:t>
      </w:r>
      <w:r>
        <w:rPr>
          <w:rFonts w:ascii="仿宋_GB2312" w:hAnsi="宋体" w:eastAsia="仿宋_GB2312" w:cs="宋体"/>
          <w:color w:val="000000"/>
          <w:kern w:val="0"/>
          <w:sz w:val="28"/>
          <w:szCs w:val="28"/>
        </w:rPr>
        <w:t>万元，其他支出</w:t>
      </w:r>
      <w:r>
        <w:rPr>
          <w:rFonts w:hint="eastAsia" w:ascii="仿宋_GB2312" w:hAnsi="宋体" w:eastAsia="仿宋_GB2312" w:cs="宋体"/>
          <w:color w:val="000000"/>
          <w:kern w:val="0"/>
          <w:sz w:val="28"/>
          <w:szCs w:val="28"/>
        </w:rPr>
        <w:t>预算数</w:t>
      </w:r>
      <w:r>
        <w:rPr>
          <w:rFonts w:hint="eastAsia" w:ascii="仿宋_GB2312" w:hAnsi="宋体" w:eastAsia="仿宋_GB2312" w:cs="宋体"/>
          <w:color w:val="000000"/>
          <w:kern w:val="0"/>
          <w:sz w:val="28"/>
          <w:szCs w:val="28"/>
          <w:lang w:val="en-US" w:eastAsia="zh-CN"/>
        </w:rPr>
        <w:t>0</w:t>
      </w:r>
      <w:r>
        <w:rPr>
          <w:rFonts w:ascii="仿宋_GB2312" w:hAnsi="宋体" w:eastAsia="仿宋_GB2312" w:cs="宋体"/>
          <w:color w:val="000000"/>
          <w:kern w:val="0"/>
          <w:sz w:val="28"/>
          <w:szCs w:val="28"/>
        </w:rPr>
        <w:t>万元</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资金总体</w:t>
      </w:r>
      <w:r>
        <w:rPr>
          <w:rFonts w:hint="eastAsia" w:ascii="仿宋_GB2312" w:hAnsi="宋体" w:eastAsia="仿宋_GB2312" w:cs="宋体"/>
          <w:color w:val="000000"/>
          <w:kern w:val="0"/>
          <w:sz w:val="28"/>
          <w:szCs w:val="28"/>
        </w:rPr>
        <w:t>支出</w:t>
      </w:r>
      <w:r>
        <w:rPr>
          <w:rFonts w:hint="eastAsia" w:ascii="仿宋_GB2312" w:hAnsi="宋体" w:eastAsia="仿宋_GB2312" w:cs="宋体"/>
          <w:color w:val="000000"/>
          <w:kern w:val="0"/>
          <w:sz w:val="28"/>
          <w:szCs w:val="28"/>
          <w:lang w:val="en-US" w:eastAsia="zh-CN"/>
        </w:rPr>
        <w:t>2013.36</w:t>
      </w:r>
      <w:r>
        <w:rPr>
          <w:rFonts w:ascii="仿宋_GB2312" w:hAnsi="宋体" w:eastAsia="仿宋_GB2312" w:cs="宋体"/>
          <w:color w:val="000000"/>
          <w:kern w:val="0"/>
          <w:sz w:val="28"/>
          <w:szCs w:val="28"/>
        </w:rPr>
        <w:t>万元，其中，基本支出</w:t>
      </w:r>
      <w:r>
        <w:rPr>
          <w:rFonts w:hint="eastAsia" w:ascii="仿宋_GB2312" w:hAnsi="宋体" w:eastAsia="仿宋_GB2312" w:cs="宋体"/>
          <w:color w:val="000000"/>
          <w:kern w:val="0"/>
          <w:sz w:val="28"/>
          <w:szCs w:val="28"/>
          <w:lang w:val="en-US" w:eastAsia="zh-CN"/>
        </w:rPr>
        <w:t>1905.26</w:t>
      </w:r>
      <w:r>
        <w:rPr>
          <w:rFonts w:ascii="仿宋_GB2312" w:hAnsi="宋体" w:eastAsia="仿宋_GB2312" w:cs="宋体"/>
          <w:color w:val="000000"/>
          <w:kern w:val="0"/>
          <w:sz w:val="28"/>
          <w:szCs w:val="28"/>
        </w:rPr>
        <w:t>万元，项目</w:t>
      </w:r>
      <w:r>
        <w:rPr>
          <w:rFonts w:hint="eastAsia" w:ascii="仿宋_GB2312" w:hAnsi="宋体" w:eastAsia="仿宋_GB2312" w:cs="宋体"/>
          <w:color w:val="000000"/>
          <w:kern w:val="0"/>
          <w:sz w:val="28"/>
          <w:szCs w:val="28"/>
        </w:rPr>
        <w:t>支出</w:t>
      </w:r>
      <w:r>
        <w:rPr>
          <w:rFonts w:hint="eastAsia" w:ascii="仿宋_GB2312" w:hAnsi="宋体" w:eastAsia="仿宋_GB2312" w:cs="宋体"/>
          <w:color w:val="000000"/>
          <w:kern w:val="0"/>
          <w:sz w:val="28"/>
          <w:szCs w:val="28"/>
          <w:lang w:val="en-US" w:eastAsia="zh-CN"/>
        </w:rPr>
        <w:t>108.11</w:t>
      </w:r>
      <w:r>
        <w:rPr>
          <w:rFonts w:ascii="仿宋_GB2312" w:hAnsi="宋体" w:eastAsia="仿宋_GB2312" w:cs="宋体"/>
          <w:color w:val="000000"/>
          <w:kern w:val="0"/>
          <w:sz w:val="28"/>
          <w:szCs w:val="28"/>
        </w:rPr>
        <w:t>万元，其他支出</w:t>
      </w:r>
      <w:r>
        <w:rPr>
          <w:rFonts w:hint="eastAsia" w:ascii="仿宋_GB2312" w:hAnsi="宋体" w:eastAsia="仿宋_GB2312" w:cs="宋体"/>
          <w:color w:val="000000"/>
          <w:kern w:val="0"/>
          <w:sz w:val="28"/>
          <w:szCs w:val="28"/>
          <w:lang w:val="en-US" w:eastAsia="zh-CN"/>
        </w:rPr>
        <w:t>0</w:t>
      </w:r>
      <w:r>
        <w:rPr>
          <w:rFonts w:ascii="仿宋_GB2312" w:hAnsi="宋体" w:eastAsia="仿宋_GB2312" w:cs="宋体"/>
          <w:color w:val="000000"/>
          <w:kern w:val="0"/>
          <w:sz w:val="28"/>
          <w:szCs w:val="28"/>
        </w:rPr>
        <w:t>万元。</w:t>
      </w:r>
      <w:r>
        <w:rPr>
          <w:rFonts w:hint="eastAsia" w:ascii="仿宋_GB2312" w:hAnsi="宋体" w:eastAsia="仿宋_GB2312" w:cs="宋体"/>
          <w:color w:val="000000"/>
          <w:kern w:val="0"/>
          <w:sz w:val="28"/>
          <w:szCs w:val="28"/>
        </w:rPr>
        <w:t>预算</w:t>
      </w:r>
      <w:r>
        <w:rPr>
          <w:rFonts w:ascii="仿宋_GB2312" w:hAnsi="宋体" w:eastAsia="仿宋_GB2312" w:cs="宋体"/>
          <w:color w:val="000000"/>
          <w:kern w:val="0"/>
          <w:sz w:val="28"/>
          <w:szCs w:val="28"/>
        </w:rPr>
        <w:t>执行率为</w:t>
      </w:r>
      <w:r>
        <w:rPr>
          <w:rFonts w:hint="eastAsia" w:ascii="仿宋_GB2312" w:hAnsi="宋体" w:eastAsia="仿宋_GB2312" w:cs="宋体"/>
          <w:color w:val="000000"/>
          <w:kern w:val="0"/>
          <w:sz w:val="28"/>
          <w:szCs w:val="28"/>
          <w:lang w:val="en-US" w:eastAsia="zh-CN"/>
        </w:rPr>
        <w:t>100%</w:t>
      </w:r>
      <w:r>
        <w:rPr>
          <w:rFonts w:hint="eastAsia" w:ascii="仿宋_GB2312" w:hAnsi="宋体" w:eastAsia="仿宋_GB2312" w:cs="宋体"/>
          <w:color w:val="000000"/>
          <w:kern w:val="0"/>
          <w:sz w:val="28"/>
          <w:szCs w:val="28"/>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20" w:firstLineChars="150"/>
        <w:rPr>
          <w:rFonts w:ascii="楷体_GB2312" w:eastAsia="楷体_GB2312"/>
          <w:sz w:val="28"/>
          <w:szCs w:val="28"/>
        </w:rPr>
      </w:pPr>
      <w:r>
        <w:rPr>
          <w:rFonts w:hint="eastAsia" w:ascii="楷体_GB2312" w:eastAsia="楷体_GB2312"/>
          <w:sz w:val="28"/>
          <w:szCs w:val="28"/>
        </w:rPr>
        <w:t>（一）产出完成情况分析</w:t>
      </w:r>
    </w:p>
    <w:p>
      <w:pPr>
        <w:spacing w:line="600" w:lineRule="exact"/>
        <w:ind w:left="105" w:leftChars="50" w:firstLine="420" w:firstLineChars="15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1.产出</w:t>
      </w:r>
      <w:r>
        <w:rPr>
          <w:rFonts w:ascii="仿宋_GB2312" w:hAnsi="宋体" w:eastAsia="仿宋_GB2312" w:cs="宋体"/>
          <w:color w:val="000000"/>
          <w:kern w:val="0"/>
          <w:sz w:val="28"/>
          <w:szCs w:val="28"/>
        </w:rPr>
        <w:t>质量</w:t>
      </w:r>
      <w:r>
        <w:rPr>
          <w:rFonts w:hint="eastAsia" w:ascii="仿宋_GB2312" w:hAnsi="宋体" w:eastAsia="仿宋_GB2312" w:cs="宋体"/>
          <w:color w:val="000000"/>
          <w:kern w:val="0"/>
          <w:sz w:val="28"/>
          <w:szCs w:val="28"/>
          <w:lang w:eastAsia="zh-CN"/>
        </w:rPr>
        <w:t>。按照区委、区政府对政府办的工作要求，高标准、保质量完成各项工作。</w:t>
      </w:r>
    </w:p>
    <w:p>
      <w:pPr>
        <w:spacing w:line="600" w:lineRule="exact"/>
        <w:ind w:left="105" w:leftChars="50" w:firstLine="420" w:firstLineChars="150"/>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rPr>
        <w:t>.产出</w:t>
      </w:r>
      <w:r>
        <w:rPr>
          <w:rFonts w:ascii="仿宋_GB2312" w:hAnsi="宋体" w:eastAsia="仿宋_GB2312" w:cs="宋体"/>
          <w:color w:val="000000"/>
          <w:kern w:val="0"/>
          <w:sz w:val="28"/>
          <w:szCs w:val="28"/>
        </w:rPr>
        <w:t>进度</w:t>
      </w:r>
      <w:r>
        <w:rPr>
          <w:rFonts w:hint="eastAsia" w:ascii="仿宋_GB2312" w:hAnsi="宋体" w:eastAsia="仿宋_GB2312" w:cs="宋体"/>
          <w:color w:val="000000"/>
          <w:kern w:val="0"/>
          <w:sz w:val="28"/>
          <w:szCs w:val="28"/>
          <w:lang w:eastAsia="zh-CN"/>
        </w:rPr>
        <w:t>。按进度完成全年各项工作。</w:t>
      </w:r>
    </w:p>
    <w:p>
      <w:pPr>
        <w:spacing w:line="600" w:lineRule="exact"/>
        <w:ind w:left="105" w:leftChars="50" w:firstLine="420" w:firstLineChars="15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3</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产出</w:t>
      </w:r>
      <w:r>
        <w:rPr>
          <w:rFonts w:ascii="仿宋_GB2312" w:hAnsi="宋体" w:eastAsia="仿宋_GB2312" w:cs="宋体"/>
          <w:color w:val="000000"/>
          <w:kern w:val="0"/>
          <w:sz w:val="28"/>
          <w:szCs w:val="28"/>
        </w:rPr>
        <w:t>成本</w:t>
      </w:r>
      <w:r>
        <w:rPr>
          <w:rFonts w:hint="eastAsia" w:ascii="仿宋_GB2312" w:hAnsi="宋体" w:eastAsia="仿宋_GB2312" w:cs="宋体"/>
          <w:color w:val="000000"/>
          <w:kern w:val="0"/>
          <w:sz w:val="28"/>
          <w:szCs w:val="28"/>
          <w:lang w:eastAsia="zh-CN"/>
        </w:rPr>
        <w:t>。严格执行预算，全年支出不超预算收入。</w:t>
      </w:r>
      <w:r>
        <w:rPr>
          <w:rFonts w:hint="eastAsia" w:ascii="仿宋_GB2312" w:hAnsi="宋体" w:eastAsia="仿宋_GB2312" w:cs="宋体"/>
          <w:color w:val="000000"/>
          <w:kern w:val="0"/>
          <w:sz w:val="28"/>
          <w:szCs w:val="28"/>
        </w:rPr>
        <w:t xml:space="preserve">                                    </w:t>
      </w:r>
    </w:p>
    <w:p>
      <w:pPr>
        <w:spacing w:line="600" w:lineRule="exact"/>
        <w:ind w:left="105" w:leftChars="50" w:firstLine="420" w:firstLineChars="150"/>
        <w:rPr>
          <w:rFonts w:ascii="楷体_GB2312" w:eastAsia="楷体_GB2312"/>
          <w:sz w:val="28"/>
          <w:szCs w:val="28"/>
        </w:rPr>
      </w:pPr>
      <w:r>
        <w:rPr>
          <w:rFonts w:hint="eastAsia" w:ascii="楷体_GB2312" w:eastAsia="楷体_GB2312"/>
          <w:sz w:val="28"/>
          <w:szCs w:val="28"/>
        </w:rPr>
        <w:t>（二）效果</w:t>
      </w:r>
      <w:r>
        <w:rPr>
          <w:rFonts w:ascii="楷体_GB2312" w:eastAsia="楷体_GB2312"/>
          <w:sz w:val="28"/>
          <w:szCs w:val="28"/>
        </w:rPr>
        <w:t>实现情况分析</w:t>
      </w:r>
    </w:p>
    <w:p>
      <w:pPr>
        <w:spacing w:line="600" w:lineRule="exact"/>
        <w:ind w:left="105" w:leftChars="50" w:firstLine="420" w:firstLineChars="15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1.社会效益</w:t>
      </w:r>
      <w:r>
        <w:rPr>
          <w:rFonts w:hint="eastAsia" w:ascii="仿宋_GB2312" w:hAnsi="宋体" w:eastAsia="仿宋_GB2312" w:cs="宋体"/>
          <w:color w:val="000000"/>
          <w:kern w:val="0"/>
          <w:sz w:val="28"/>
          <w:szCs w:val="28"/>
          <w:lang w:eastAsia="zh-CN"/>
        </w:rPr>
        <w:t>。推动全区各项工作顺利开展，确保各项政策做实、做细。</w:t>
      </w:r>
    </w:p>
    <w:p>
      <w:pPr>
        <w:spacing w:line="600" w:lineRule="exact"/>
        <w:ind w:left="105" w:leftChars="50" w:firstLine="420" w:firstLineChars="15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2</w:t>
      </w:r>
      <w:r>
        <w:rPr>
          <w:rFonts w:hint="eastAsia" w:ascii="仿宋_GB2312" w:hAnsi="宋体" w:eastAsia="仿宋_GB2312" w:cs="宋体"/>
          <w:color w:val="000000"/>
          <w:kern w:val="0"/>
          <w:sz w:val="28"/>
          <w:szCs w:val="28"/>
        </w:rPr>
        <w:t>可持续</w:t>
      </w:r>
      <w:r>
        <w:rPr>
          <w:rFonts w:ascii="仿宋_GB2312" w:hAnsi="宋体" w:eastAsia="仿宋_GB2312" w:cs="宋体"/>
          <w:color w:val="000000"/>
          <w:kern w:val="0"/>
          <w:sz w:val="28"/>
          <w:szCs w:val="28"/>
        </w:rPr>
        <w:t>性影响</w:t>
      </w:r>
      <w:r>
        <w:rPr>
          <w:rFonts w:hint="eastAsia" w:ascii="仿宋_GB2312" w:hAnsi="宋体" w:eastAsia="仿宋_GB2312" w:cs="宋体"/>
          <w:color w:val="000000"/>
          <w:kern w:val="0"/>
          <w:sz w:val="28"/>
          <w:szCs w:val="28"/>
          <w:lang w:eastAsia="zh-CN"/>
        </w:rPr>
        <w:t>。确保各项政策制定和执行的连续性。</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20" w:firstLineChars="150"/>
        <w:rPr>
          <w:rFonts w:ascii="楷体_GB2312" w:eastAsia="楷体_GB2312"/>
          <w:sz w:val="28"/>
          <w:szCs w:val="28"/>
        </w:rPr>
      </w:pPr>
      <w:r>
        <w:rPr>
          <w:rFonts w:hint="eastAsia" w:ascii="楷体_GB2312" w:eastAsia="楷体_GB2312"/>
          <w:sz w:val="28"/>
          <w:szCs w:val="28"/>
        </w:rPr>
        <w:t>（一）财务管理</w:t>
      </w:r>
    </w:p>
    <w:p>
      <w:pPr>
        <w:spacing w:line="600" w:lineRule="exact"/>
        <w:ind w:left="105" w:leftChars="50" w:firstLine="420" w:firstLineChars="15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1.财务</w:t>
      </w:r>
      <w:r>
        <w:rPr>
          <w:rFonts w:ascii="仿宋_GB2312" w:hAnsi="宋体" w:eastAsia="仿宋_GB2312" w:cs="宋体"/>
          <w:color w:val="000000"/>
          <w:kern w:val="0"/>
          <w:sz w:val="28"/>
          <w:szCs w:val="28"/>
        </w:rPr>
        <w:t>管理制度健全性</w:t>
      </w:r>
      <w:r>
        <w:rPr>
          <w:rFonts w:hint="eastAsia" w:ascii="仿宋_GB2312" w:hAnsi="宋体" w:eastAsia="仿宋_GB2312" w:cs="宋体"/>
          <w:color w:val="000000"/>
          <w:kern w:val="0"/>
          <w:sz w:val="28"/>
          <w:szCs w:val="28"/>
          <w:lang w:eastAsia="zh-CN"/>
        </w:rPr>
        <w:t>。严格落实区财政局各项财务规定，并根据我单位实际情况，制定了具体的财务管理办法，加强财务制度化建设。根据“三重一大”规定和财务规定，合理合规使用资金，确保资金安全。</w:t>
      </w:r>
    </w:p>
    <w:p>
      <w:pPr>
        <w:spacing w:line="600" w:lineRule="exact"/>
        <w:ind w:left="105" w:leftChars="50" w:firstLine="420" w:firstLineChars="15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2.资金使用合规性</w:t>
      </w:r>
      <w:r>
        <w:rPr>
          <w:rFonts w:ascii="仿宋_GB2312" w:hAnsi="宋体" w:eastAsia="仿宋_GB2312" w:cs="宋体"/>
          <w:color w:val="000000"/>
          <w:kern w:val="0"/>
          <w:sz w:val="28"/>
          <w:szCs w:val="28"/>
        </w:rPr>
        <w:t>和安全性</w:t>
      </w:r>
      <w:r>
        <w:rPr>
          <w:rFonts w:hint="eastAsia" w:ascii="仿宋_GB2312" w:hAnsi="宋体" w:eastAsia="仿宋_GB2312" w:cs="宋体"/>
          <w:color w:val="000000"/>
          <w:kern w:val="0"/>
          <w:sz w:val="28"/>
          <w:szCs w:val="28"/>
          <w:lang w:eastAsia="zh-CN"/>
        </w:rPr>
        <w:t>。严格按照资金使用范围进行列支，保证资金支付合法合规；严格执行财务规定，履行签批流程，确保资金使用安全。</w:t>
      </w:r>
    </w:p>
    <w:p>
      <w:pPr>
        <w:spacing w:line="600" w:lineRule="exact"/>
        <w:ind w:left="105" w:leftChars="50" w:firstLine="420" w:firstLineChars="150"/>
        <w:rPr>
          <w:rFonts w:hint="eastAsia" w:ascii="仿宋_GB2312" w:hAnsi="宋体" w:eastAsia="仿宋_GB2312" w:cs="宋体"/>
          <w:color w:val="000000"/>
          <w:kern w:val="0"/>
          <w:sz w:val="28"/>
          <w:szCs w:val="28"/>
          <w:lang w:eastAsia="zh-CN"/>
        </w:rPr>
      </w:pP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会计</w:t>
      </w:r>
      <w:r>
        <w:rPr>
          <w:rFonts w:ascii="仿宋_GB2312" w:hAnsi="宋体" w:eastAsia="仿宋_GB2312" w:cs="宋体"/>
          <w:color w:val="000000"/>
          <w:kern w:val="0"/>
          <w:sz w:val="28"/>
          <w:szCs w:val="28"/>
        </w:rPr>
        <w:t>基础信息完善性</w:t>
      </w:r>
      <w:r>
        <w:rPr>
          <w:rFonts w:hint="eastAsia" w:ascii="仿宋_GB2312" w:hAnsi="宋体" w:eastAsia="仿宋_GB2312" w:cs="宋体"/>
          <w:color w:val="000000"/>
          <w:kern w:val="0"/>
          <w:sz w:val="28"/>
          <w:szCs w:val="28"/>
          <w:lang w:eastAsia="zh-CN"/>
        </w:rPr>
        <w:t>。及时更新完善各项会计基础信息，确保信息准确。</w:t>
      </w:r>
    </w:p>
    <w:p>
      <w:pPr>
        <w:spacing w:line="600" w:lineRule="exact"/>
        <w:ind w:left="105" w:leftChars="50" w:firstLine="420" w:firstLineChars="150"/>
        <w:rPr>
          <w:rFonts w:hint="eastAsia" w:ascii="楷体_GB2312" w:eastAsia="楷体_GB2312"/>
          <w:sz w:val="28"/>
          <w:szCs w:val="28"/>
          <w:lang w:eastAsia="zh-CN"/>
        </w:rPr>
      </w:pPr>
      <w:r>
        <w:rPr>
          <w:rFonts w:hint="eastAsia" w:ascii="楷体_GB2312" w:eastAsia="楷体_GB2312"/>
          <w:sz w:val="28"/>
          <w:szCs w:val="28"/>
        </w:rPr>
        <w:t>（二）资产管理</w:t>
      </w:r>
      <w:r>
        <w:rPr>
          <w:rFonts w:hint="eastAsia" w:ascii="楷体_GB2312" w:eastAsia="楷体_GB2312"/>
          <w:sz w:val="28"/>
          <w:szCs w:val="28"/>
          <w:lang w:eastAsia="zh-CN"/>
        </w:rPr>
        <w:t>。</w:t>
      </w:r>
    </w:p>
    <w:p>
      <w:pPr>
        <w:spacing w:line="600" w:lineRule="exact"/>
        <w:ind w:left="105" w:leftChars="50" w:firstLine="420" w:firstLineChars="150"/>
        <w:rPr>
          <w:rFonts w:hint="eastAsia" w:ascii="楷体_GB2312" w:eastAsia="楷体_GB2312"/>
          <w:sz w:val="28"/>
          <w:szCs w:val="28"/>
          <w:lang w:val="en-US" w:eastAsia="zh-CN"/>
        </w:rPr>
      </w:pPr>
      <w:r>
        <w:rPr>
          <w:rFonts w:hint="eastAsia" w:ascii="仿宋_GB2312" w:hAnsi="宋体" w:eastAsia="仿宋_GB2312" w:cs="宋体"/>
          <w:color w:val="000000"/>
          <w:kern w:val="0"/>
          <w:sz w:val="28"/>
          <w:szCs w:val="28"/>
          <w:lang w:val="en-US" w:eastAsia="zh-CN"/>
        </w:rPr>
        <w:t>合理设置资产管理岗位，采购、发放、固定资产实物由综合服务中心负责，固定资产账目、结算由行政科负责，不兼容岗位间形成相互制约、相互监督的关系，确保我单位资产安全。</w:t>
      </w:r>
    </w:p>
    <w:p>
      <w:pPr>
        <w:spacing w:line="600" w:lineRule="exact"/>
        <w:ind w:left="105" w:leftChars="50" w:firstLine="420" w:firstLineChars="150"/>
        <w:rPr>
          <w:rFonts w:ascii="楷体_GB2312" w:eastAsia="楷体_GB2312"/>
          <w:sz w:val="28"/>
          <w:szCs w:val="28"/>
        </w:rPr>
      </w:pPr>
      <w:r>
        <w:rPr>
          <w:rFonts w:hint="eastAsia" w:ascii="楷体_GB2312" w:eastAsia="楷体_GB2312"/>
          <w:sz w:val="28"/>
          <w:szCs w:val="28"/>
        </w:rPr>
        <w:t>（三）绩效</w:t>
      </w:r>
      <w:r>
        <w:rPr>
          <w:rFonts w:ascii="楷体_GB2312" w:eastAsia="楷体_GB2312"/>
          <w:sz w:val="28"/>
          <w:szCs w:val="28"/>
        </w:rPr>
        <w:t>管理</w:t>
      </w:r>
    </w:p>
    <w:p>
      <w:pPr>
        <w:pStyle w:val="4"/>
        <w:rPr>
          <w:rFonts w:hint="default"/>
          <w:sz w:val="28"/>
          <w:szCs w:val="28"/>
          <w:lang w:val="en-US" w:eastAsia="zh-CN"/>
        </w:rPr>
      </w:pPr>
      <w:r>
        <w:rPr>
          <w:rFonts w:hint="eastAsia"/>
          <w:sz w:val="28"/>
          <w:szCs w:val="28"/>
          <w:lang w:val="en-US" w:eastAsia="zh-CN"/>
        </w:rPr>
        <w:t xml:space="preserve">    我单位由主管领导牵头，明确责任科室具体负责，对项目申请、执行、评价等各个环节进行全面监督，具体落实科室高度重视项目绩效管理，按时、高效、高质量完成各项任务工作，确保财政资金发挥作用。</w:t>
      </w:r>
    </w:p>
    <w:p>
      <w:pPr>
        <w:spacing w:line="600" w:lineRule="exact"/>
        <w:ind w:left="105" w:leftChars="50" w:firstLine="420" w:firstLineChars="150"/>
        <w:rPr>
          <w:rFonts w:hint="eastAsia" w:ascii="楷体_GB2312" w:eastAsia="楷体_GB2312"/>
          <w:sz w:val="28"/>
          <w:szCs w:val="28"/>
        </w:rPr>
      </w:pPr>
      <w:r>
        <w:rPr>
          <w:rFonts w:hint="eastAsia" w:ascii="楷体_GB2312" w:eastAsia="楷体_GB2312"/>
          <w:sz w:val="28"/>
          <w:szCs w:val="28"/>
        </w:rPr>
        <w:t>（四）结转结余率</w:t>
      </w:r>
    </w:p>
    <w:p>
      <w:pPr>
        <w:pStyle w:val="4"/>
        <w:rPr>
          <w:rFonts w:hint="eastAsia"/>
          <w:sz w:val="28"/>
          <w:szCs w:val="28"/>
          <w:lang w:val="en-US" w:eastAsia="zh-CN"/>
        </w:rPr>
      </w:pPr>
      <w:r>
        <w:rPr>
          <w:rFonts w:hint="eastAsia"/>
          <w:sz w:val="28"/>
          <w:szCs w:val="28"/>
          <w:lang w:val="en-US" w:eastAsia="zh-CN"/>
        </w:rPr>
        <w:t xml:space="preserve">    预算执行率100%，无结转结余。</w:t>
      </w:r>
    </w:p>
    <w:p>
      <w:pPr>
        <w:spacing w:line="600" w:lineRule="exact"/>
        <w:ind w:left="105" w:leftChars="50" w:firstLine="420" w:firstLineChars="150"/>
        <w:rPr>
          <w:rFonts w:ascii="楷体_GB2312" w:eastAsia="楷体_GB2312"/>
          <w:sz w:val="28"/>
          <w:szCs w:val="28"/>
        </w:rPr>
      </w:pPr>
      <w:r>
        <w:rPr>
          <w:rFonts w:hint="eastAsia" w:ascii="楷体_GB2312" w:eastAsia="楷体_GB2312"/>
          <w:sz w:val="28"/>
          <w:szCs w:val="28"/>
        </w:rPr>
        <w:t>（五）部门</w:t>
      </w:r>
      <w:r>
        <w:rPr>
          <w:rFonts w:ascii="楷体_GB2312" w:eastAsia="楷体_GB2312"/>
          <w:sz w:val="28"/>
          <w:szCs w:val="28"/>
        </w:rPr>
        <w:t>预决算差异率</w:t>
      </w:r>
    </w:p>
    <w:p>
      <w:pPr>
        <w:pStyle w:val="4"/>
        <w:rPr>
          <w:sz w:val="28"/>
          <w:szCs w:val="28"/>
        </w:rPr>
      </w:pPr>
      <w:r>
        <w:rPr>
          <w:rFonts w:hint="eastAsia"/>
          <w:sz w:val="28"/>
          <w:szCs w:val="28"/>
          <w:lang w:val="en-US" w:eastAsia="zh-CN"/>
        </w:rPr>
        <w:t xml:space="preserve">    部门预决算一致。</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20" w:firstLineChars="150"/>
        <w:rPr>
          <w:rFonts w:hint="eastAsia" w:ascii="楷体_GB2312" w:eastAsia="楷体_GB2312"/>
          <w:sz w:val="28"/>
          <w:szCs w:val="28"/>
        </w:rPr>
      </w:pPr>
      <w:r>
        <w:rPr>
          <w:rFonts w:hint="eastAsia" w:ascii="楷体_GB2312" w:eastAsia="楷体_GB2312"/>
          <w:sz w:val="28"/>
          <w:szCs w:val="28"/>
        </w:rPr>
        <w:t>（一）评价</w:t>
      </w:r>
      <w:r>
        <w:rPr>
          <w:rFonts w:ascii="楷体_GB2312" w:eastAsia="楷体_GB2312"/>
          <w:sz w:val="28"/>
          <w:szCs w:val="28"/>
        </w:rPr>
        <w:t>得分</w:t>
      </w:r>
      <w:r>
        <w:rPr>
          <w:rFonts w:hint="eastAsia" w:ascii="楷体_GB2312" w:eastAsia="楷体_GB2312"/>
          <w:sz w:val="28"/>
          <w:szCs w:val="28"/>
        </w:rPr>
        <w:t>情况</w:t>
      </w:r>
    </w:p>
    <w:p>
      <w:pPr>
        <w:pStyle w:val="4"/>
        <w:rPr>
          <w:rFonts w:hint="eastAsia"/>
          <w:sz w:val="28"/>
          <w:szCs w:val="28"/>
          <w:lang w:val="en-US" w:eastAsia="zh-CN"/>
        </w:rPr>
      </w:pPr>
      <w:r>
        <w:rPr>
          <w:rFonts w:hint="eastAsia"/>
          <w:sz w:val="28"/>
          <w:szCs w:val="28"/>
          <w:lang w:val="en-US" w:eastAsia="zh-CN"/>
        </w:rPr>
        <w:t xml:space="preserve">    经评价，总体绩效评分为100分，圆满完成总体绩效目标。</w:t>
      </w:r>
    </w:p>
    <w:p>
      <w:pPr>
        <w:spacing w:line="600" w:lineRule="exact"/>
        <w:ind w:left="105" w:leftChars="50" w:firstLine="420" w:firstLineChars="150"/>
        <w:rPr>
          <w:rFonts w:hint="eastAsia" w:ascii="楷体_GB2312" w:eastAsia="楷体_GB2312"/>
          <w:sz w:val="28"/>
          <w:szCs w:val="28"/>
        </w:rPr>
      </w:pPr>
      <w:r>
        <w:rPr>
          <w:rFonts w:hint="eastAsia" w:ascii="楷体_GB2312" w:eastAsia="楷体_GB2312"/>
          <w:sz w:val="28"/>
          <w:szCs w:val="28"/>
        </w:rPr>
        <w:t>（二）存在的问题及原因分析</w:t>
      </w:r>
    </w:p>
    <w:p>
      <w:pPr>
        <w:pStyle w:val="4"/>
        <w:rPr>
          <w:rFonts w:hint="eastAsia"/>
          <w:sz w:val="28"/>
          <w:szCs w:val="28"/>
          <w:lang w:val="en-US" w:eastAsia="zh-CN"/>
        </w:rPr>
      </w:pPr>
      <w:r>
        <w:rPr>
          <w:rFonts w:hint="eastAsia"/>
          <w:sz w:val="28"/>
          <w:szCs w:val="28"/>
          <w:lang w:val="en-US" w:eastAsia="zh-CN"/>
        </w:rPr>
        <w:t xml:space="preserve">    在实际工作中，存在绩效目标调整不及时的情况。市级部门在布置工作任务后，根据后续实际情况，会有进一步要求，在落实市级任务过程中，工作内容在随时调整，而绩效目标设定后不能随工作任务变动而及时进行调整。</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p>
    <w:p>
      <w:pPr>
        <w:spacing w:line="600" w:lineRule="exact"/>
        <w:ind w:firstLine="560" w:firstLineChars="20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进一步加强绩效管理培训，提高绩效监督水平，增强意识，有效提高预算资金使用效率，提升工作效果。</w:t>
      </w:r>
    </w:p>
    <w:p>
      <w:pPr>
        <w:spacing w:line="600" w:lineRule="exact"/>
        <w:ind w:firstLine="640" w:firstLineChars="200"/>
        <w:rPr>
          <w:rFonts w:hint="eastAsia" w:ascii="仿宋_GB2312" w:hAnsi="宋体" w:eastAsia="仿宋_GB2312" w:cs="宋体"/>
          <w:color w:val="000000"/>
          <w:kern w:val="0"/>
          <w:sz w:val="32"/>
          <w:szCs w:val="32"/>
        </w:rPr>
      </w:pPr>
    </w:p>
    <w:p>
      <w:pPr>
        <w:spacing w:line="48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firstLine="420"/>
        <w:rPr>
          <w:rFonts w:hint="eastAsia"/>
        </w:rPr>
      </w:pPr>
    </w:p>
    <w:p>
      <w:pPr>
        <w:pStyle w:val="2"/>
        <w:ind w:firstLine="0" w:firstLineChars="0"/>
        <w:rPr>
          <w:rFonts w:hint="eastAsia" w:ascii="黑体" w:eastAsia="黑体"/>
          <w:sz w:val="32"/>
          <w:szCs w:val="32"/>
        </w:rPr>
      </w:pPr>
    </w:p>
    <w:tbl>
      <w:tblPr>
        <w:tblStyle w:val="11"/>
        <w:tblW w:w="14786" w:type="dxa"/>
        <w:tblInd w:w="0" w:type="dxa"/>
        <w:tblLayout w:type="fixed"/>
        <w:tblCellMar>
          <w:top w:w="0" w:type="dxa"/>
          <w:left w:w="108" w:type="dxa"/>
          <w:bottom w:w="0" w:type="dxa"/>
          <w:right w:w="108" w:type="dxa"/>
        </w:tblCellMar>
      </w:tblPr>
      <w:tblGrid>
        <w:gridCol w:w="1041"/>
        <w:gridCol w:w="1079"/>
        <w:gridCol w:w="692"/>
        <w:gridCol w:w="698"/>
        <w:gridCol w:w="1011"/>
        <w:gridCol w:w="686"/>
        <w:gridCol w:w="686"/>
        <w:gridCol w:w="4397"/>
        <w:gridCol w:w="4496"/>
      </w:tblGrid>
      <w:tr>
        <w:tblPrEx>
          <w:tblLayout w:type="fixed"/>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Layout w:type="fixed"/>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r>
              <w:rPr>
                <w:rFonts w:hint="eastAsia" w:ascii="宋体" w:hAnsi="宋体" w:cs="宋体"/>
                <w:color w:val="000000"/>
                <w:kern w:val="0"/>
                <w:sz w:val="20"/>
                <w:szCs w:val="20"/>
                <w:lang w:val="en-US" w:eastAsia="zh-CN"/>
              </w:rPr>
              <w:t>23</w:t>
            </w:r>
            <w:r>
              <w:rPr>
                <w:rFonts w:hint="eastAsia" w:ascii="宋体" w:hAnsi="宋体" w:cs="宋体"/>
                <w:color w:val="000000"/>
                <w:kern w:val="0"/>
                <w:sz w:val="20"/>
                <w:szCs w:val="20"/>
              </w:rPr>
              <w:t>）</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2013.36</w:t>
            </w:r>
            <w:r>
              <w:rPr>
                <w:rFonts w:hint="eastAsia" w:ascii="宋体" w:hAnsi="宋体" w:cs="宋体"/>
                <w:color w:val="000000"/>
                <w:kern w:val="0"/>
                <w:sz w:val="20"/>
                <w:szCs w:val="20"/>
              </w:rPr>
              <w:t>　</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2013.36</w:t>
            </w:r>
            <w:r>
              <w:rPr>
                <w:rFonts w:hint="eastAsia" w:ascii="宋体" w:hAnsi="宋体" w:cs="宋体"/>
                <w:color w:val="000000"/>
                <w:kern w:val="0"/>
                <w:sz w:val="20"/>
                <w:szCs w:val="20"/>
              </w:rPr>
              <w:t>　</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1905.26</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1905.26</w:t>
            </w:r>
            <w:r>
              <w:rPr>
                <w:rFonts w:hint="eastAsia" w:ascii="宋体" w:hAnsi="宋体" w:cs="宋体"/>
                <w:color w:val="000000"/>
                <w:kern w:val="0"/>
                <w:sz w:val="20"/>
                <w:szCs w:val="20"/>
              </w:rPr>
              <w:t>　</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108.11</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108.11</w:t>
            </w: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6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质量</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按照要求完成各项工作</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完成</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trHeight w:val="11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进度</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按进度完成工作</w:t>
            </w: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完成</w:t>
            </w:r>
            <w:r>
              <w:rPr>
                <w:rFonts w:hint="eastAsia" w:ascii="宋体" w:hAnsi="宋体" w:cs="宋体"/>
                <w:color w:val="000000"/>
                <w:kern w:val="0"/>
                <w:sz w:val="20"/>
                <w:szCs w:val="20"/>
              </w:rPr>
              <w:t>　</w:t>
            </w:r>
          </w:p>
        </w:tc>
        <w:tc>
          <w:tcPr>
            <w:tcW w:w="68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58"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成本</w:t>
            </w:r>
          </w:p>
        </w:tc>
        <w:tc>
          <w:tcPr>
            <w:tcW w:w="698"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0"/>
                <w:szCs w:val="20"/>
              </w:rPr>
            </w:pPr>
            <w:r>
              <w:rPr>
                <w:rFonts w:hint="eastAsia" w:ascii="宋体" w:hAnsi="宋体" w:cs="宋体"/>
                <w:color w:val="000000"/>
                <w:kern w:val="0"/>
                <w:sz w:val="20"/>
                <w:szCs w:val="20"/>
                <w:lang w:eastAsia="zh-CN"/>
              </w:rPr>
              <w:t>不超预算标准</w:t>
            </w: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完成</w:t>
            </w:r>
          </w:p>
        </w:tc>
        <w:tc>
          <w:tcPr>
            <w:tcW w:w="68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社会效益</w:t>
            </w: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推动各项工作开展、各项政策落实</w:t>
            </w: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完成</w:t>
            </w:r>
            <w:r>
              <w:rPr>
                <w:rFonts w:hint="eastAsia" w:ascii="宋体" w:hAnsi="宋体" w:cs="宋体"/>
                <w:color w:val="000000"/>
                <w:kern w:val="0"/>
                <w:sz w:val="20"/>
                <w:szCs w:val="20"/>
              </w:rPr>
              <w:t>　</w:t>
            </w:r>
          </w:p>
        </w:tc>
        <w:tc>
          <w:tcPr>
            <w:tcW w:w="68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　</w:t>
            </w:r>
          </w:p>
        </w:tc>
        <w:tc>
          <w:tcPr>
            <w:tcW w:w="4397"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可持续影响</w:t>
            </w: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各项政策连续性</w:t>
            </w: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完成</w:t>
            </w: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15</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Layout w:type="fixed"/>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制定并完善相关制度</w:t>
            </w: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完成</w:t>
            </w:r>
            <w:r>
              <w:rPr>
                <w:rFonts w:hint="eastAsia" w:ascii="宋体" w:hAnsi="宋体" w:cs="宋体"/>
                <w:color w:val="000000"/>
                <w:kern w:val="0"/>
                <w:sz w:val="20"/>
                <w:szCs w:val="20"/>
              </w:rPr>
              <w:t>　</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合规、安全使用资金</w:t>
            </w: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完成</w:t>
            </w:r>
            <w:r>
              <w:rPr>
                <w:rFonts w:hint="eastAsia" w:ascii="宋体" w:hAnsi="宋体" w:cs="宋体"/>
                <w:color w:val="000000"/>
                <w:kern w:val="0"/>
                <w:sz w:val="20"/>
                <w:szCs w:val="20"/>
              </w:rPr>
              <w:t>　</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准确、完整</w:t>
            </w: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完成</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规范</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eastAsia="zh-CN"/>
              </w:rPr>
              <w:t>合理</w:t>
            </w:r>
            <w:r>
              <w:rPr>
                <w:rFonts w:hint="eastAsia" w:ascii="宋体" w:hAnsi="宋体" w:cs="宋体"/>
                <w:color w:val="000000"/>
                <w:kern w:val="0"/>
                <w:sz w:val="20"/>
                <w:szCs w:val="20"/>
              </w:rPr>
              <w:t>　</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完成</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69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eastAsia="zh-CN"/>
              </w:rPr>
              <w:t>准确及时</w:t>
            </w: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完成</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390"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trHeight w:val="404" w:hRule="atLeast"/>
        </w:trPr>
        <w:tc>
          <w:tcPr>
            <w:tcW w:w="452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86" w:type="dxa"/>
            <w:tcBorders>
              <w:top w:val="nil"/>
              <w:left w:val="nil"/>
              <w:bottom w:val="single" w:color="auto" w:sz="4" w:space="0"/>
              <w:right w:val="nil"/>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88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政府察访核验工作经费项目：为全面、准确掌握年度绩效任务落实情况，聘请第三方开展察访核验，察验内容包括市政府下达的全部绩效任务，通过梳理台账、资料审核、现场察验等方法，及时发现、解决难点问题，强化过程管理和跟踪调查，有效推动绩效任务的全面落实。投入资金22.5万元。</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2.外事交流国际差旅费项目：参加市政府外事办组织的市政府友好代表团，赴日友好城市进行交流访问，推动密云区友好城市建设。投入资金1.56万元。</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（二）项目绩效目标。包括总体目标和阶段性目标。</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1.政府察访核验工作经费项目总体目标：推动市级绩效任务全面落实。</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2.外事交流国际差旅费项目：推动密云区友好城市建设。</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绩效评价目的、对象和范围。</w:t>
      </w:r>
    </w:p>
    <w:p>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通过开展绩效评价，提高财政资金使用效率，推动项目落实。评价对象包括</w:t>
      </w:r>
      <w:r>
        <w:rPr>
          <w:rFonts w:hint="eastAsia" w:ascii="仿宋_GB2312" w:hAnsi="仿宋_GB2312" w:eastAsia="仿宋_GB2312" w:cs="仿宋_GB2312"/>
          <w:sz w:val="28"/>
          <w:szCs w:val="28"/>
          <w:lang w:val="en-US" w:eastAsia="zh-CN"/>
        </w:rPr>
        <w:t>政府察访核验工作经费项目等2个项目。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绩效评价原则、评价指标体系评价标准等</w:t>
      </w:r>
      <w:r>
        <w:rPr>
          <w:rFonts w:hint="eastAsia" w:ascii="仿宋_GB2312" w:hAnsi="仿宋_GB2312" w:eastAsia="仿宋_GB2312" w:cs="仿宋_GB2312"/>
          <w:sz w:val="28"/>
          <w:szCs w:val="28"/>
          <w:lang w:eastAsia="zh-CN"/>
        </w:rPr>
        <w:t>，详见自评表</w:t>
      </w:r>
      <w:r>
        <w:rPr>
          <w:rFonts w:hint="eastAsia" w:ascii="仿宋_GB2312" w:hAnsi="仿宋_GB2312" w:eastAsia="仿宋_GB2312" w:cs="仿宋_GB2312"/>
          <w:sz w:val="28"/>
          <w:szCs w:val="28"/>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绩效评价工作过程。</w:t>
      </w:r>
    </w:p>
    <w:p>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通过部门自评和单位评价，对项目绩效目标落实情况进行评价。</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项目实施过程完整，达到预期效果，充分发挥了财政资金作用。</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1.项目决策情况。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根据工作开展需要，经研究决定开展相关项目。决策过程严格执行“三重一大”相关要求。</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2.项目过程情况。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项目实施过程中，项目负责同志认真履职，监督项目实施推进，确保实现预期效果。</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3.项目产出情况。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通过项目实施，完成对市级绩效任务的检查，形成工作台账和评价报告；圆满完成外事交流团组任务1次。</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4.项目效益情况。</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通过项目实施，有效提高了工作效率，对市级绩效任务落实情况进行了实地检查，并建立台账，有效推动市级绩效任务落实到位；通过外事交流，有效提高我区对外交往成果。</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因经费问题，无法聘请专业人员开展绩效评价工作。绩效评估专业性较强，绩效评价人员对绩效管理并不精通，影响项目绩效评估质量。</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kinsoku/>
        <w:wordWrap/>
        <w:overflowPunct/>
        <w:topLinePunct w:val="0"/>
        <w:autoSpaceDE/>
        <w:autoSpaceDN/>
        <w:bidi w:val="0"/>
        <w:adjustRightInd/>
        <w:snapToGrid/>
        <w:spacing w:line="560" w:lineRule="atLeas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加强绩效评价培训，一方面，在项目实施前期对主责科室加强培训，细化绩效目标设定，提高绩效管理意识，压实责任；另一方面，加强评价人员培训，提高业务水平，切实提高绩效评价效果。</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无。</w:t>
      </w:r>
    </w:p>
    <w:p>
      <w:pPr>
        <w:pStyle w:val="2"/>
        <w:rPr>
          <w:rFonts w:hint="eastAsia" w:ascii="仿宋_GB2312" w:hAnsi="仿宋_GB2312" w:eastAsia="仿宋_GB2312" w:cs="仿宋_GB2312"/>
          <w:kern w:val="2"/>
          <w:sz w:val="28"/>
          <w:szCs w:val="28"/>
          <w:lang w:val="en-US" w:eastAsia="zh-CN" w:bidi="ar-S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2"/>
        <w:rPr>
          <w:rFonts w:hint="eastAsia"/>
        </w:rPr>
      </w:pPr>
    </w:p>
    <w:p>
      <w:pPr>
        <w:spacing w:line="480" w:lineRule="exact"/>
        <w:jc w:val="center"/>
        <w:rPr>
          <w:rFonts w:hint="eastAsia" w:ascii="方正小标宋简体" w:hAnsi="黑体" w:eastAsia="方正小标宋简体" w:cs="Times New Roman"/>
          <w:sz w:val="36"/>
          <w:szCs w:val="36"/>
          <w:lang w:eastAsia="zh-CN"/>
        </w:rPr>
      </w:pPr>
      <w:r>
        <w:rPr>
          <w:rFonts w:hint="eastAsia" w:ascii="方正小标宋简体" w:hAnsi="黑体" w:eastAsia="方正小标宋简体" w:cs="Times New Roman"/>
          <w:sz w:val="36"/>
          <w:szCs w:val="36"/>
        </w:rPr>
        <w:t>项目支出绩效自评表</w:t>
      </w:r>
      <w:r>
        <w:rPr>
          <w:rFonts w:hint="eastAsia" w:ascii="方正小标宋简体" w:hAnsi="黑体" w:eastAsia="方正小标宋简体" w:cs="Times New Roman"/>
          <w:sz w:val="36"/>
          <w:szCs w:val="36"/>
          <w:lang w:eastAsia="zh-CN"/>
        </w:rPr>
        <w:t>（一）</w:t>
      </w:r>
    </w:p>
    <w:p>
      <w:pPr>
        <w:pStyle w:val="4"/>
        <w:jc w:val="center"/>
        <w:rPr>
          <w:rFonts w:hint="eastAsia"/>
        </w:rPr>
      </w:pPr>
      <w:r>
        <w:rPr>
          <w:rFonts w:hint="eastAsia"/>
        </w:rPr>
        <w:t xml:space="preserve">（ </w:t>
      </w:r>
      <w:r>
        <w:rPr>
          <w:rFonts w:hint="eastAsia"/>
          <w:lang w:val="en-US" w:eastAsia="zh-CN"/>
        </w:rPr>
        <w:t>2023</w:t>
      </w:r>
      <w:r>
        <w:rPr>
          <w:rFonts w:hint="eastAsia"/>
        </w:rPr>
        <w:t>年度）</w:t>
      </w:r>
    </w:p>
    <w:tbl>
      <w:tblPr>
        <w:tblStyle w:val="11"/>
        <w:tblpPr w:leftFromText="180" w:rightFromText="180" w:vertAnchor="text" w:horzAnchor="page" w:tblpX="1610" w:tblpY="87"/>
        <w:tblOverlap w:val="never"/>
        <w:tblW w:w="13620" w:type="dxa"/>
        <w:tblInd w:w="0" w:type="dxa"/>
        <w:tblLayout w:type="fixed"/>
        <w:tblCellMar>
          <w:top w:w="0" w:type="dxa"/>
          <w:left w:w="108" w:type="dxa"/>
          <w:bottom w:w="0" w:type="dxa"/>
          <w:right w:w="108" w:type="dxa"/>
        </w:tblCellMar>
      </w:tblPr>
      <w:tblGrid>
        <w:gridCol w:w="585"/>
        <w:gridCol w:w="975"/>
        <w:gridCol w:w="1105"/>
        <w:gridCol w:w="727"/>
        <w:gridCol w:w="1127"/>
        <w:gridCol w:w="1277"/>
        <w:gridCol w:w="1368"/>
        <w:gridCol w:w="2388"/>
        <w:gridCol w:w="279"/>
        <w:gridCol w:w="284"/>
        <w:gridCol w:w="420"/>
        <w:gridCol w:w="143"/>
        <w:gridCol w:w="703"/>
        <w:gridCol w:w="2239"/>
      </w:tblGrid>
      <w:tr>
        <w:tblPrEx>
          <w:tblLayout w:type="fixed"/>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0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区政府20</w:t>
            </w:r>
            <w:r>
              <w:rPr>
                <w:rFonts w:hint="eastAsia" w:ascii="仿宋_GB2312" w:hAnsi="宋体" w:eastAsia="仿宋_GB2312" w:cs="宋体"/>
                <w:kern w:val="0"/>
                <w:szCs w:val="21"/>
                <w:lang w:val="en-US" w:eastAsia="zh-CN"/>
              </w:rPr>
              <w:t>23</w:t>
            </w:r>
            <w:r>
              <w:rPr>
                <w:rFonts w:hint="eastAsia" w:ascii="仿宋_GB2312" w:hAnsi="宋体" w:eastAsia="仿宋_GB2312" w:cs="宋体"/>
                <w:kern w:val="0"/>
                <w:szCs w:val="21"/>
                <w:lang w:eastAsia="zh-CN"/>
              </w:rPr>
              <w:t>年度察访核验项目</w:t>
            </w:r>
          </w:p>
        </w:tc>
      </w:tr>
      <w:tr>
        <w:tblPrEx>
          <w:tblLayout w:type="fixed"/>
          <w:tblCellMar>
            <w:top w:w="0" w:type="dxa"/>
            <w:left w:w="108" w:type="dxa"/>
            <w:bottom w:w="0" w:type="dxa"/>
            <w:right w:w="108" w:type="dxa"/>
          </w:tblCellMar>
        </w:tblPrEx>
        <w:trPr>
          <w:trHeight w:val="47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560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区政府绩效办</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78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清研灵智信息咨询（北京）有限公司</w:t>
            </w:r>
          </w:p>
        </w:tc>
      </w:tr>
      <w:tr>
        <w:tblPrEx>
          <w:tblLayout w:type="fixed"/>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560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崔宇杰</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378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69055730</w:t>
            </w:r>
          </w:p>
        </w:tc>
      </w:tr>
      <w:tr>
        <w:tblPrEx>
          <w:tblLayout w:type="fixed"/>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22.5</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22.5</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60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22.5</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22.5</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22.5</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293"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657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64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597"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57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eastAsia="zh-CN"/>
              </w:rPr>
              <w:t>采取线上线下相结合、明查暗访相结合等方式，对202</w:t>
            </w:r>
            <w:r>
              <w:rPr>
                <w:rFonts w:hint="eastAsia" w:ascii="仿宋_GB2312" w:hAnsi="宋体" w:eastAsia="仿宋_GB2312" w:cs="仿宋_GB2312"/>
                <w:color w:val="000000"/>
                <w:szCs w:val="21"/>
                <w:lang w:val="en-US" w:eastAsia="zh-CN"/>
              </w:rPr>
              <w:t>3</w:t>
            </w:r>
            <w:r>
              <w:rPr>
                <w:rFonts w:hint="eastAsia" w:ascii="仿宋_GB2312" w:hAnsi="宋体" w:eastAsia="仿宋_GB2312" w:cs="仿宋_GB2312"/>
                <w:color w:val="000000"/>
                <w:szCs w:val="21"/>
                <w:lang w:eastAsia="zh-CN"/>
              </w:rPr>
              <w:t>年度市政府绩效任务及绩效整改事项落实情况开展察访核验，全面掌握任务落实情况，查找存在问题及不足，有针对性的提出整改意见，推动年度任务全面落实</w:t>
            </w:r>
          </w:p>
        </w:tc>
        <w:tc>
          <w:tcPr>
            <w:tcW w:w="6456" w:type="dxa"/>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lang w:eastAsia="zh-CN"/>
              </w:rPr>
            </w:pPr>
            <w:r>
              <w:rPr>
                <w:rFonts w:hint="eastAsia" w:ascii="仿宋_GB2312" w:hAnsi="宋体" w:eastAsia="仿宋_GB2312" w:cs="仿宋_GB2312"/>
                <w:color w:val="000000"/>
                <w:szCs w:val="21"/>
                <w:lang w:eastAsia="zh-CN"/>
              </w:rPr>
              <w:t>按要求完成了任务进度和外点核验，形成了问题清单，对各责任部门进行了通报反馈，有效推动了任务落实</w:t>
            </w:r>
          </w:p>
        </w:tc>
      </w:tr>
      <w:tr>
        <w:tblPrEx>
          <w:tblLayout w:type="fixed"/>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31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3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2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670"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lang w:eastAsia="zh-CN"/>
              </w:rPr>
            </w:pPr>
            <w:r>
              <w:rPr>
                <w:rFonts w:hint="eastAsia" w:ascii="仿宋_GB2312" w:hAnsi="宋体" w:eastAsia="仿宋_GB2312" w:cs="仿宋_GB2312"/>
                <w:i w:val="0"/>
                <w:color w:val="000000"/>
                <w:kern w:val="0"/>
                <w:sz w:val="24"/>
                <w:szCs w:val="24"/>
                <w:u w:val="none"/>
                <w:lang w:val="en-US" w:eastAsia="zh-CN" w:bidi="ar"/>
              </w:rPr>
              <w:t>年度完成外点核验数量</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300个</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320个</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82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核验进度和点位情况</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rPr>
            </w:pPr>
            <w:r>
              <w:rPr>
                <w:rFonts w:hint="eastAsia" w:ascii="仿宋_GB2312" w:hAnsi="宋体" w:eastAsia="仿宋_GB2312" w:cs="仿宋_GB2312"/>
                <w:i w:val="0"/>
                <w:color w:val="000000"/>
                <w:kern w:val="0"/>
                <w:sz w:val="24"/>
                <w:szCs w:val="24"/>
                <w:u w:val="none"/>
                <w:lang w:val="en-US" w:eastAsia="zh-CN" w:bidi="ar"/>
              </w:rPr>
              <w:t>做到察“细”、访“深”、核“实”、验“准”</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仿宋_GB2312"/>
                <w:i w:val="0"/>
                <w:color w:val="000000"/>
                <w:kern w:val="0"/>
                <w:sz w:val="24"/>
                <w:szCs w:val="24"/>
                <w:u w:val="none"/>
                <w:lang w:val="en-US" w:eastAsia="zh-CN" w:bidi="ar"/>
              </w:rPr>
              <w:t>深入90个单位，核验点位320个，核验结果向各责任部门进行了通报。</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731"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rPr>
            </w:pPr>
            <w:r>
              <w:rPr>
                <w:rFonts w:hint="eastAsia" w:ascii="仿宋_GB2312" w:hAnsi="宋体" w:eastAsia="仿宋_GB2312" w:cs="仿宋_GB2312"/>
                <w:i w:val="0"/>
                <w:color w:val="000000"/>
                <w:kern w:val="0"/>
                <w:sz w:val="24"/>
                <w:szCs w:val="24"/>
                <w:u w:val="none"/>
                <w:lang w:val="en-US" w:eastAsia="zh-CN" w:bidi="ar"/>
              </w:rPr>
              <w:t>年底前1次</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仿宋_GB2312"/>
                <w:i w:val="0"/>
                <w:color w:val="000000"/>
                <w:kern w:val="0"/>
                <w:sz w:val="24"/>
                <w:szCs w:val="24"/>
                <w:u w:val="none"/>
                <w:lang w:val="en-US" w:eastAsia="zh-CN" w:bidi="ar"/>
              </w:rPr>
              <w:t>10-11月</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仿宋_GB2312"/>
                <w:i w:val="0"/>
                <w:color w:val="000000"/>
                <w:kern w:val="0"/>
                <w:sz w:val="24"/>
                <w:szCs w:val="24"/>
                <w:u w:val="none"/>
                <w:lang w:val="en-US" w:eastAsia="zh-CN" w:bidi="ar"/>
              </w:rPr>
              <w:t>11月底前完成</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合同约定金额</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rPr>
            </w:pPr>
            <w:r>
              <w:rPr>
                <w:rFonts w:hint="eastAsia" w:ascii="仿宋_GB2312" w:hAnsi="宋体" w:eastAsia="仿宋_GB2312" w:cs="仿宋_GB2312"/>
                <w:i w:val="0"/>
                <w:color w:val="000000"/>
                <w:kern w:val="0"/>
                <w:sz w:val="24"/>
                <w:szCs w:val="24"/>
                <w:u w:val="none"/>
                <w:lang w:val="en-US" w:eastAsia="zh-CN" w:bidi="ar"/>
              </w:rPr>
              <w:t>22.5万元</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未超额支付</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33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推动全区绿色高质量发展</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推动高质量发展指标落实</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较好的完成了指标核验任务，对相关问题进行了通报整改。</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33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推动民生工作有效落实</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重点围绕民生实事项目核验</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较好的完成了指标核验任务，对相关问题进行了通报整改。</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89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宋体" w:eastAsia="仿宋_GB2312" w:cs="仿宋_GB2312"/>
                <w:i w:val="0"/>
                <w:color w:val="000000"/>
                <w:kern w:val="0"/>
                <w:sz w:val="24"/>
                <w:szCs w:val="24"/>
                <w:u w:val="none"/>
                <w:lang w:val="en-US" w:eastAsia="zh-CN" w:bidi="ar"/>
              </w:rPr>
              <w:t>生态效益指标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推动生态环境保护</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推动生态环境相关指标任务落实</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大气、水、土壤等环境指标任务有效推进，相关问题得到整改。</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64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宋体" w:eastAsia="仿宋_GB2312" w:cs="仿宋_GB2312"/>
                <w:i w:val="0"/>
                <w:color w:val="000000"/>
                <w:kern w:val="0"/>
                <w:sz w:val="24"/>
                <w:szCs w:val="24"/>
                <w:u w:val="none"/>
                <w:lang w:val="en-US" w:eastAsia="zh-CN" w:bidi="ar"/>
              </w:rPr>
              <w:t>可持续影响指标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提高部门履职效率</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提高政府行政效能和服务管理水平</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各单位对落实市级重点考核任务的意识明显增强，工作推动更加有力，完成效果不断提升。</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7" w:hRule="exact"/>
        </w:trPr>
        <w:tc>
          <w:tcPr>
            <w:tcW w:w="955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spacing w:line="480" w:lineRule="exact"/>
        <w:jc w:val="center"/>
        <w:rPr>
          <w:rFonts w:hint="eastAsia" w:ascii="方正小标宋简体" w:hAnsi="黑体" w:eastAsia="方正小标宋简体" w:cs="Times New Roman"/>
          <w:sz w:val="36"/>
          <w:szCs w:val="36"/>
          <w:lang w:eastAsia="zh-CN"/>
        </w:rPr>
      </w:pPr>
      <w:r>
        <w:rPr>
          <w:rFonts w:hint="eastAsia" w:ascii="方正小标宋简体" w:hAnsi="黑体" w:eastAsia="方正小标宋简体" w:cs="Times New Roman"/>
          <w:sz w:val="36"/>
          <w:szCs w:val="36"/>
        </w:rPr>
        <w:t>项目支出绩效自评表</w:t>
      </w:r>
      <w:r>
        <w:rPr>
          <w:rFonts w:hint="eastAsia" w:ascii="方正小标宋简体" w:hAnsi="黑体" w:eastAsia="方正小标宋简体" w:cs="Times New Roman"/>
          <w:sz w:val="36"/>
          <w:szCs w:val="36"/>
          <w:lang w:eastAsia="zh-CN"/>
        </w:rPr>
        <w:t>（二）</w:t>
      </w:r>
    </w:p>
    <w:p>
      <w:pPr>
        <w:pStyle w:val="4"/>
        <w:jc w:val="center"/>
        <w:rPr>
          <w:rFonts w:hint="eastAsia"/>
        </w:rPr>
      </w:pPr>
      <w:r>
        <w:rPr>
          <w:rFonts w:hint="eastAsia"/>
        </w:rPr>
        <w:t xml:space="preserve">（ </w:t>
      </w:r>
      <w:r>
        <w:rPr>
          <w:rFonts w:hint="eastAsia"/>
          <w:lang w:val="en-US" w:eastAsia="zh-CN"/>
        </w:rPr>
        <w:t>2023</w:t>
      </w:r>
      <w:r>
        <w:rPr>
          <w:rFonts w:hint="eastAsia"/>
        </w:rPr>
        <w:t>年度）</w:t>
      </w:r>
    </w:p>
    <w:tbl>
      <w:tblPr>
        <w:tblStyle w:val="11"/>
        <w:tblpPr w:leftFromText="180" w:rightFromText="180" w:vertAnchor="text" w:horzAnchor="page" w:tblpX="1610" w:tblpY="87"/>
        <w:tblOverlap w:val="never"/>
        <w:tblW w:w="13620" w:type="dxa"/>
        <w:tblInd w:w="0" w:type="dxa"/>
        <w:tblLayout w:type="fixed"/>
        <w:tblCellMar>
          <w:top w:w="0" w:type="dxa"/>
          <w:left w:w="108" w:type="dxa"/>
          <w:bottom w:w="0" w:type="dxa"/>
          <w:right w:w="108" w:type="dxa"/>
        </w:tblCellMar>
      </w:tblPr>
      <w:tblGrid>
        <w:gridCol w:w="585"/>
        <w:gridCol w:w="975"/>
        <w:gridCol w:w="1105"/>
        <w:gridCol w:w="727"/>
        <w:gridCol w:w="1127"/>
        <w:gridCol w:w="1277"/>
        <w:gridCol w:w="1368"/>
        <w:gridCol w:w="2388"/>
        <w:gridCol w:w="279"/>
        <w:gridCol w:w="284"/>
        <w:gridCol w:w="420"/>
        <w:gridCol w:w="143"/>
        <w:gridCol w:w="703"/>
        <w:gridCol w:w="2239"/>
      </w:tblGrid>
      <w:tr>
        <w:tblPrEx>
          <w:tblLayout w:type="fixed"/>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0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外事交流国际差旅费项目</w:t>
            </w:r>
          </w:p>
        </w:tc>
      </w:tr>
      <w:tr>
        <w:tblPrEx>
          <w:tblLayout w:type="fixed"/>
          <w:tblCellMar>
            <w:top w:w="0" w:type="dxa"/>
            <w:left w:w="108" w:type="dxa"/>
            <w:bottom w:w="0" w:type="dxa"/>
            <w:right w:w="108" w:type="dxa"/>
          </w:tblCellMar>
        </w:tblPrEx>
        <w:trPr>
          <w:trHeight w:val="47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560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区政府外事科</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78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市政府外事办</w:t>
            </w:r>
          </w:p>
        </w:tc>
      </w:tr>
      <w:tr>
        <w:tblPrEx>
          <w:tblLayout w:type="fixed"/>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560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赵婷婷</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378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69041869</w:t>
            </w:r>
          </w:p>
        </w:tc>
      </w:tr>
      <w:tr>
        <w:tblPrEx>
          <w:tblLayout w:type="fixed"/>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1.56</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1.56</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60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1.56</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1.56</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293"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26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26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kern w:val="0"/>
                <w:sz w:val="18"/>
                <w:szCs w:val="18"/>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2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657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64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597"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657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eastAsia="zh-CN"/>
              </w:rPr>
              <w:t>通过外事交流活动，推动密云区国际友好城市建设。</w:t>
            </w:r>
          </w:p>
        </w:tc>
        <w:tc>
          <w:tcPr>
            <w:tcW w:w="6456" w:type="dxa"/>
            <w:gridSpan w:val="7"/>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lang w:eastAsia="zh-CN"/>
              </w:rPr>
            </w:pPr>
            <w:r>
              <w:rPr>
                <w:rFonts w:hint="eastAsia" w:ascii="仿宋_GB2312" w:hAnsi="宋体" w:eastAsia="仿宋_GB2312" w:cs="仿宋_GB2312"/>
                <w:color w:val="000000"/>
                <w:szCs w:val="21"/>
                <w:lang w:eastAsia="zh-CN"/>
              </w:rPr>
              <w:t>按要求完成了外事活动，推动密云区对外宣传工作，增进国际友好城市建设</w:t>
            </w:r>
          </w:p>
        </w:tc>
      </w:tr>
      <w:tr>
        <w:tblPrEx>
          <w:tblLayout w:type="fixed"/>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313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36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23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670"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lang w:eastAsia="zh-CN"/>
              </w:rPr>
            </w:pPr>
            <w:r>
              <w:rPr>
                <w:rFonts w:hint="eastAsia" w:ascii="仿宋_GB2312" w:hAnsi="宋体" w:eastAsia="仿宋_GB2312" w:cs="仿宋_GB2312"/>
                <w:i w:val="0"/>
                <w:color w:val="000000"/>
                <w:kern w:val="0"/>
                <w:sz w:val="24"/>
                <w:szCs w:val="24"/>
                <w:u w:val="none"/>
                <w:lang w:val="en-US" w:eastAsia="zh-CN" w:bidi="ar"/>
              </w:rPr>
              <w:t>国际出访数量</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1个</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1个</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82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加强宣传和对外交流</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rPr>
            </w:pPr>
            <w:r>
              <w:rPr>
                <w:rFonts w:hint="eastAsia" w:ascii="仿宋_GB2312" w:hAnsi="宋体" w:eastAsia="仿宋_GB2312" w:cs="仿宋_GB2312"/>
                <w:i w:val="0"/>
                <w:color w:val="000000"/>
                <w:kern w:val="0"/>
                <w:sz w:val="24"/>
                <w:szCs w:val="24"/>
                <w:u w:val="none"/>
                <w:lang w:val="en-US" w:eastAsia="zh-CN" w:bidi="ar"/>
              </w:rPr>
              <w:t>完成国际交流任务</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仿宋_GB2312"/>
                <w:i w:val="0"/>
                <w:color w:val="000000"/>
                <w:kern w:val="0"/>
                <w:sz w:val="24"/>
                <w:szCs w:val="24"/>
                <w:u w:val="none"/>
                <w:lang w:val="en-US" w:eastAsia="zh-CN" w:bidi="ar"/>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731"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rPr>
            </w:pPr>
            <w:r>
              <w:rPr>
                <w:rFonts w:hint="eastAsia" w:ascii="仿宋_GB2312" w:hAnsi="宋体" w:eastAsia="仿宋_GB2312" w:cs="仿宋_GB2312"/>
                <w:i w:val="0"/>
                <w:color w:val="000000"/>
                <w:kern w:val="0"/>
                <w:sz w:val="24"/>
                <w:szCs w:val="24"/>
                <w:u w:val="none"/>
                <w:lang w:val="en-US" w:eastAsia="zh-CN" w:bidi="ar"/>
              </w:rPr>
              <w:t>随市级时间安排</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年底前</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 w:val="21"/>
                <w:szCs w:val="21"/>
                <w:lang w:val="en-US" w:eastAsia="zh-CN"/>
              </w:rPr>
            </w:pPr>
            <w:r>
              <w:rPr>
                <w:rFonts w:hint="eastAsia" w:ascii="仿宋_GB2312" w:hAnsi="宋体" w:eastAsia="仿宋_GB2312" w:cs="仿宋_GB2312"/>
                <w:i w:val="0"/>
                <w:color w:val="000000"/>
                <w:kern w:val="0"/>
                <w:sz w:val="24"/>
                <w:szCs w:val="24"/>
                <w:u w:val="none"/>
                <w:lang w:val="en-US" w:eastAsia="zh-CN" w:bidi="ar"/>
              </w:rPr>
              <w:t>年底前完成</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外事活动经费标准</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val="en-US" w:eastAsia="zh-CN"/>
              </w:rPr>
            </w:pPr>
            <w:r>
              <w:rPr>
                <w:rFonts w:hint="eastAsia" w:ascii="仿宋_GB2312" w:hAnsi="宋体" w:eastAsia="仿宋_GB2312" w:cs="仿宋_GB2312"/>
                <w:i w:val="0"/>
                <w:color w:val="000000"/>
                <w:kern w:val="0"/>
                <w:sz w:val="24"/>
                <w:szCs w:val="24"/>
                <w:u w:val="none"/>
                <w:lang w:val="en-US" w:eastAsia="zh-CN" w:bidi="ar"/>
              </w:rPr>
              <w:t>1.56万元</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未超额支付</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133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社会</w:t>
            </w:r>
            <w:r>
              <w:rPr>
                <w:rFonts w:hint="eastAsia" w:ascii="仿宋_GB2312" w:hAnsi="宋体" w:eastAsia="仿宋_GB2312" w:cs="宋体"/>
                <w:kern w:val="0"/>
                <w:szCs w:val="21"/>
              </w:rPr>
              <w:t>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13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推动密云区国际友好城市建设</w:t>
            </w:r>
          </w:p>
        </w:tc>
        <w:tc>
          <w:tcPr>
            <w:tcW w:w="136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完成国际交流任务</w:t>
            </w:r>
          </w:p>
        </w:tc>
        <w:tc>
          <w:tcPr>
            <w:tcW w:w="23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 w:val="21"/>
                <w:szCs w:val="21"/>
                <w:lang w:eastAsia="zh-CN"/>
              </w:rPr>
            </w:pPr>
            <w:r>
              <w:rPr>
                <w:rFonts w:hint="eastAsia" w:ascii="仿宋_GB2312" w:hAnsi="宋体" w:eastAsia="仿宋_GB2312" w:cs="仿宋_GB2312"/>
                <w:i w:val="0"/>
                <w:color w:val="000000"/>
                <w:kern w:val="0"/>
                <w:sz w:val="24"/>
                <w:szCs w:val="24"/>
                <w:u w:val="none"/>
                <w:lang w:val="en-US" w:eastAsia="zh-CN" w:bidi="ar"/>
              </w:rPr>
              <w:t>完成</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kern w:val="0"/>
                <w:szCs w:val="21"/>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7" w:hRule="exact"/>
        </w:trPr>
        <w:tc>
          <w:tcPr>
            <w:tcW w:w="955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29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pStyle w:val="2"/>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23</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66ABA"/>
    <w:multiLevelType w:val="singleLevel"/>
    <w:tmpl w:val="9B866ABA"/>
    <w:lvl w:ilvl="0" w:tentative="0">
      <w:start w:val="3"/>
      <w:numFmt w:val="chineseCounting"/>
      <w:suff w:val="nothing"/>
      <w:lvlText w:val="（%1）"/>
      <w:lvlJc w:val="left"/>
      <w:rPr>
        <w:rFonts w:hint="eastAsia"/>
      </w:rPr>
    </w:lvl>
  </w:abstractNum>
  <w:abstractNum w:abstractNumId="1">
    <w:nsid w:val="4264B90A"/>
    <w:multiLevelType w:val="singleLevel"/>
    <w:tmpl w:val="4264B90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512EC2"/>
    <w:rsid w:val="079004AC"/>
    <w:rsid w:val="089079CE"/>
    <w:rsid w:val="0F8E2C57"/>
    <w:rsid w:val="1059665E"/>
    <w:rsid w:val="10AC13BA"/>
    <w:rsid w:val="11880210"/>
    <w:rsid w:val="14271CB7"/>
    <w:rsid w:val="14D16E3D"/>
    <w:rsid w:val="179D4590"/>
    <w:rsid w:val="19F40174"/>
    <w:rsid w:val="1AEC0734"/>
    <w:rsid w:val="1B3B54CD"/>
    <w:rsid w:val="1D2D29DA"/>
    <w:rsid w:val="1DEF20B0"/>
    <w:rsid w:val="1ECB30F9"/>
    <w:rsid w:val="214243FA"/>
    <w:rsid w:val="22712DB2"/>
    <w:rsid w:val="22827CD2"/>
    <w:rsid w:val="23FD07F9"/>
    <w:rsid w:val="241D16C4"/>
    <w:rsid w:val="257A14F5"/>
    <w:rsid w:val="27196C26"/>
    <w:rsid w:val="29EF086F"/>
    <w:rsid w:val="2C842688"/>
    <w:rsid w:val="2EFFE297"/>
    <w:rsid w:val="301437CA"/>
    <w:rsid w:val="30EF5403"/>
    <w:rsid w:val="3A327CE7"/>
    <w:rsid w:val="3B382F0C"/>
    <w:rsid w:val="40A234A2"/>
    <w:rsid w:val="433E495C"/>
    <w:rsid w:val="45DC0126"/>
    <w:rsid w:val="48C46D49"/>
    <w:rsid w:val="49855EB4"/>
    <w:rsid w:val="4AC27CB3"/>
    <w:rsid w:val="4BF72BEF"/>
    <w:rsid w:val="4C36797C"/>
    <w:rsid w:val="4D2A7A35"/>
    <w:rsid w:val="4F5E64D4"/>
    <w:rsid w:val="51DB3C59"/>
    <w:rsid w:val="55762E42"/>
    <w:rsid w:val="57A7B272"/>
    <w:rsid w:val="58470068"/>
    <w:rsid w:val="59D5471B"/>
    <w:rsid w:val="5A1720F9"/>
    <w:rsid w:val="5A3600EF"/>
    <w:rsid w:val="5B9C37C2"/>
    <w:rsid w:val="5BA7C654"/>
    <w:rsid w:val="5F9C0080"/>
    <w:rsid w:val="60546054"/>
    <w:rsid w:val="616200F4"/>
    <w:rsid w:val="64C0607C"/>
    <w:rsid w:val="6519514F"/>
    <w:rsid w:val="65697D89"/>
    <w:rsid w:val="676F09E1"/>
    <w:rsid w:val="6A543D59"/>
    <w:rsid w:val="6C2F04AF"/>
    <w:rsid w:val="6C88658B"/>
    <w:rsid w:val="6E1DD6B5"/>
    <w:rsid w:val="7063308D"/>
    <w:rsid w:val="77ED362B"/>
    <w:rsid w:val="77FFF19E"/>
    <w:rsid w:val="79FE13E2"/>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qFormat/>
    <w:uiPriority w:val="1"/>
    <w:pPr>
      <w:ind w:left="109"/>
    </w:pPr>
    <w:rPr>
      <w:rFonts w:ascii="仿宋_GB2312" w:hAnsi="仿宋_GB2312" w:eastAsia="仿宋_GB2312" w:cs="仿宋_GB2312"/>
      <w:sz w:val="32"/>
      <w:szCs w:val="32"/>
      <w:lang w:val="zh-CN" w:bidi="zh-CN"/>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 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30424;&#25968;&#25454;\&#24037;&#20316;&#36827;&#34892;&#20013;\20240224&#36130;&#25919;&#23616;&#65306;2023&#24180;&#20915;&#31639;\2023-102001-&#21271;&#20140;&#24066;&#23494;&#20113;&#21306;&#20154;&#27665;&#25919;&#24220;&#21150;&#20844;&#23460;&#65288;&#26412;&#32423;&#65289;&#20915;&#31639;&#33609;&#26696;&#34920;\2023-102001-&#21271;&#20140;&#24066;&#23494;&#20113;&#21306;&#20154;&#27665;&#25919;&#24220;&#21150;&#20844;&#23460;&#65288;&#26412;&#32423;&#65289;&#20915;&#31639;&#33609;&#26696;&#25253;&#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D&#30424;&#25968;&#25454;\&#24037;&#20316;&#36827;&#34892;&#20013;\20240224&#36130;&#25919;&#23616;&#65306;2023&#24180;&#20915;&#31639;\2023-102001-&#21271;&#20140;&#24066;&#23494;&#20113;&#21306;&#20154;&#27665;&#25919;&#24220;&#21150;&#20844;&#23460;&#65288;&#26412;&#32423;&#65289;&#20915;&#31639;&#33609;&#26696;&#34920;\2023-102001-&#21271;&#20140;&#24066;&#23494;&#20113;&#21306;&#20154;&#27665;&#25919;&#24220;&#21150;&#20844;&#23460;&#65288;&#26412;&#32423;&#65289;&#20915;&#31639;&#33609;&#26696;&#25253;&#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elete val="1"/>
          </c:dLbls>
          <c:cat>
            <c:strRef>
              <c:f>'[2023-102001-北京市密云区人民政府办公室（本级）决算草案报表.xls]Sheet1'!$A$1:$A$6</c:f>
              <c:strCache>
                <c:ptCount val="6"/>
                <c:pt idx="0">
                  <c:v>财政拨款收入</c:v>
                </c:pt>
                <c:pt idx="1">
                  <c:v>上级补助收入</c:v>
                </c:pt>
                <c:pt idx="2">
                  <c:v>事业收入</c:v>
                </c:pt>
                <c:pt idx="3">
                  <c:v>经营收入</c:v>
                </c:pt>
                <c:pt idx="4">
                  <c:v>附属单位上缴收入</c:v>
                </c:pt>
                <c:pt idx="5">
                  <c:v>其他收入</c:v>
                </c:pt>
              </c:strCache>
            </c:strRef>
          </c:cat>
          <c:val>
            <c:numRef>
              <c:f>'[2023-102001-北京市密云区人民政府办公室（本级）决算草案报表.xls]Sheet1'!$B$1:$B$6</c:f>
              <c:numCache>
                <c:formatCode>General</c:formatCode>
                <c:ptCount val="6"/>
                <c:pt idx="0">
                  <c:v>1936.36</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基本支出和项目支出情况</a:t>
            </a:r>
          </a:p>
        </c:rich>
      </c:tx>
      <c:layout>
        <c:manualLayout>
          <c:xMode val="edge"/>
          <c:yMode val="edge"/>
          <c:x val="0.292777777777778"/>
          <c:y val="0.0444444444444444"/>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'[2023-102001-北京市密云区人民政府办公室（本级）决算草案报表.xls]Sheet1'!$A$11:$A$15</c:f>
              <c:strCache>
                <c:ptCount val="5"/>
                <c:pt idx="0">
                  <c:v>基本支出</c:v>
                </c:pt>
                <c:pt idx="1">
                  <c:v>项目支出</c:v>
                </c:pt>
                <c:pt idx="2">
                  <c:v>上缴上级支出</c:v>
                </c:pt>
                <c:pt idx="3">
                  <c:v>经营支出</c:v>
                </c:pt>
                <c:pt idx="4">
                  <c:v>对附属单位补助支出</c:v>
                </c:pt>
              </c:strCache>
            </c:strRef>
          </c:cat>
          <c:val>
            <c:numRef>
              <c:f>'[2023-102001-北京市密云区人民政府办公室（本级）决算草案报表.xls]Sheet1'!$B$11:$B$15</c:f>
              <c:numCache>
                <c:formatCode>General</c:formatCode>
                <c:ptCount val="5"/>
                <c:pt idx="0">
                  <c:v>1905.26</c:v>
                </c:pt>
                <c:pt idx="1">
                  <c:v>108.11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1</TotalTime>
  <ScaleCrop>false</ScaleCrop>
  <LinksUpToDate>false</LinksUpToDate>
  <CharactersWithSpaces>6114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cly</cp:lastModifiedBy>
  <cp:lastPrinted>2020-08-08T03:39:00Z</cp:lastPrinted>
  <dcterms:modified xsi:type="dcterms:W3CDTF">2024-09-20T03:05:10Z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C53E0049DD7D4F56A956C4A3BA3D12CC_13</vt:lpwstr>
  </property>
</Properties>
</file>