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r>
        <w:rPr>
          <w:rFonts w:hint="eastAsia" w:ascii="黑体" w:eastAsia="黑体"/>
          <w:sz w:val="72"/>
          <w:szCs w:val="72"/>
          <w:lang w:val="en" w:eastAsia="zh-CN"/>
        </w:rPr>
        <w:t>北京市密云区司法局</w:t>
      </w:r>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tbl>
      <w:tblPr>
        <w:tblStyle w:val="13"/>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
        <w:gridCol w:w="222"/>
        <w:gridCol w:w="229"/>
        <w:gridCol w:w="245"/>
        <w:gridCol w:w="1166"/>
        <w:gridCol w:w="1453"/>
        <w:gridCol w:w="483"/>
        <w:gridCol w:w="478"/>
        <w:gridCol w:w="414"/>
        <w:gridCol w:w="449"/>
        <w:gridCol w:w="1840"/>
        <w:gridCol w:w="2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60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2"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222"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229"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245"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166"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453"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483"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478"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414"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449"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840"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2399" w:type="dxa"/>
            <w:tcBorders>
              <w:top w:val="nil"/>
              <w:left w:val="nil"/>
              <w:bottom w:val="nil"/>
              <w:right w:val="nil"/>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201" w:type="dxa"/>
            <w:gridSpan w:val="11"/>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单位名称：北京市密云区司法局（本级）</w:t>
            </w:r>
          </w:p>
        </w:tc>
        <w:tc>
          <w:tcPr>
            <w:tcW w:w="2399"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37"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6063"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16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184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39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一、一般公共预算财政拨款收入</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2,402.437969</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3,155.401941</w:t>
            </w: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0.022230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二、政府性基金预算财政拨款收入</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三、国有资本经营预算财政拨款收入</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四、上级补助收入</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1,966.878885</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2,716.813896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六、经营收入</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八、其他收入</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282.817528</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303.547922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152.741556</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156.885446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2,402.437969</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3,155.401941</w:t>
            </w: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2,402.437969</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3,178.605494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23.267453</w:t>
            </w: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结余分配</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9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2,402.437969</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3,178.669394</w:t>
            </w:r>
          </w:p>
        </w:tc>
        <w:tc>
          <w:tcPr>
            <w:tcW w:w="182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2,402.437969</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3,178.669394</w:t>
            </w:r>
          </w:p>
        </w:tc>
      </w:tr>
    </w:tbl>
    <w:p>
      <w:pPr>
        <w:tabs>
          <w:tab w:val="center" w:pos="6979"/>
        </w:tabs>
        <w:spacing w:before="156" w:beforeLines="50" w:after="156" w:afterLines="50"/>
        <w:jc w:val="center"/>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Style w:val="13"/>
        <w:tblW w:w="126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7"/>
        <w:gridCol w:w="397"/>
        <w:gridCol w:w="397"/>
        <w:gridCol w:w="3096"/>
        <w:gridCol w:w="1326"/>
        <w:gridCol w:w="1326"/>
        <w:gridCol w:w="1128"/>
        <w:gridCol w:w="1128"/>
        <w:gridCol w:w="1128"/>
        <w:gridCol w:w="1128"/>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2682"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97"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397"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397"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3096"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128"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128"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128"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128"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231" w:type="dxa"/>
            <w:tcBorders>
              <w:top w:val="nil"/>
              <w:left w:val="nil"/>
              <w:bottom w:val="nil"/>
              <w:right w:val="nil"/>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451" w:type="dxa"/>
            <w:gridSpan w:val="10"/>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单位名称：北京市密云区司法局（本级）</w:t>
            </w:r>
          </w:p>
        </w:tc>
        <w:tc>
          <w:tcPr>
            <w:tcW w:w="1231"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287"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财政拨款收入</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上级补助收入</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事业收入</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经营收入</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附属单位上缴收入</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0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0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3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12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12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12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23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0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3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3,155.401941</w:t>
            </w:r>
          </w:p>
        </w:tc>
        <w:tc>
          <w:tcPr>
            <w:tcW w:w="13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3,155.401941</w:t>
            </w:r>
          </w:p>
        </w:tc>
        <w:tc>
          <w:tcPr>
            <w:tcW w:w="112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0.022230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0.022230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20131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党委办公厅（室）及相关机构事务</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0.022230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0.022230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2013105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专项业务</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0.022230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0.022230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公共安全支出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2,702.526946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2,702.526946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20406</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司法</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2,702.526946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2,702.526946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1,046.136160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1,046.136160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2040604</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基层司法业务</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230.707189</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230.707189</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普法宣传</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42.497070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42.497070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2040606</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律师管理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225.781156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225.781156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2040607</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公共法律服务</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96.857500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96.857500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2040610</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社区矫正</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7.043971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7.043971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2040613</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信息化建设</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2040650</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733.369040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733.369040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2040699</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其他司法支出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305.134860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305.134860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295.967319</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295.967319</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295.967319</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295.967319</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28.503795</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28.503795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8.708800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8.708800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177.106420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177.106420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81.648304</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81.648304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156.885446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156.885446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156.885446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156.885446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156.885446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156.885446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Style w:val="13"/>
        <w:tblW w:w="116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7"/>
        <w:gridCol w:w="397"/>
        <w:gridCol w:w="397"/>
        <w:gridCol w:w="3359"/>
        <w:gridCol w:w="1326"/>
        <w:gridCol w:w="1326"/>
        <w:gridCol w:w="1174"/>
        <w:gridCol w:w="1057"/>
        <w:gridCol w:w="1057"/>
        <w:gridCol w:w="1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1648"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97"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397"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397"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3359"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174"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057"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057"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158" w:type="dxa"/>
            <w:tcBorders>
              <w:top w:val="nil"/>
              <w:left w:val="nil"/>
              <w:bottom w:val="nil"/>
              <w:right w:val="nil"/>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490" w:type="dxa"/>
            <w:gridSpan w:val="9"/>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单位名称：北京市密云区司法局（本级）</w:t>
            </w:r>
          </w:p>
        </w:tc>
        <w:tc>
          <w:tcPr>
            <w:tcW w:w="1158"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55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上缴上级支出</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经营支出</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35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35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3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17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0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0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15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35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3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3,178.605494</w:t>
            </w:r>
          </w:p>
        </w:tc>
        <w:tc>
          <w:tcPr>
            <w:tcW w:w="13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2,232.357965</w:t>
            </w:r>
          </w:p>
        </w:tc>
        <w:tc>
          <w:tcPr>
            <w:tcW w:w="117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946.247529</w:t>
            </w:r>
          </w:p>
        </w:tc>
        <w:tc>
          <w:tcPr>
            <w:tcW w:w="10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0.022230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0.022230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20131</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党委办公厅（室）及相关机构事务</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0.022230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0.022230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2013105</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专项业务</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0.022230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0.022230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公共安全支出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2,716.813896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1,779.505200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937.308696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20406</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司法</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2,716.813896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1,779.505200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937.308696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2040601</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1,046.136160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1,046.136160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2040604</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基层司法业务</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244.994139</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244.994139</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2040605</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普法宣传</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42.497070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42.497070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2040606</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律师管理</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225.781156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225.781156</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2040607</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公共法律服务</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96.857500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96.857500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2040610</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社区矫正</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7.043971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7.043971</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2040613</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信息化建设</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2040650</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733.369040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733.369040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2040699</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其他司法支出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305.134860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305.134860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303.547922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295.967319</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7.580603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303.547922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295.967319</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7.580603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28.503795</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28.503795</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8.708800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8.708800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184.687023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177.106420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7.580603</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81.648304</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81.648304</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156.885446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156.885446</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156.885446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156.885446</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156.885446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156.885446</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1.336000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1.336000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22999</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1.336000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1.336000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2299999</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1.336000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1.336000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Style w:val="13"/>
        <w:tblW w:w="15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8"/>
        <w:gridCol w:w="358"/>
        <w:gridCol w:w="358"/>
        <w:gridCol w:w="358"/>
        <w:gridCol w:w="1884"/>
        <w:gridCol w:w="1927"/>
        <w:gridCol w:w="392"/>
        <w:gridCol w:w="392"/>
        <w:gridCol w:w="392"/>
        <w:gridCol w:w="1580"/>
        <w:gridCol w:w="1580"/>
        <w:gridCol w:w="1371"/>
        <w:gridCol w:w="1371"/>
        <w:gridCol w:w="1372"/>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5180" w:type="dxa"/>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58"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358"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358"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358"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884"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927"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392"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392"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392"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580"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580"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371"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371"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372"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487" w:type="dxa"/>
            <w:tcBorders>
              <w:top w:val="nil"/>
              <w:left w:val="nil"/>
              <w:bottom w:val="nil"/>
              <w:right w:val="nil"/>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693" w:type="dxa"/>
            <w:gridSpan w:val="14"/>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单位名称：北京市密云区司法局（本级）</w:t>
            </w:r>
          </w:p>
        </w:tc>
        <w:tc>
          <w:tcPr>
            <w:tcW w:w="1487"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243"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9937" w:type="dxa"/>
            <w:gridSpan w:val="9"/>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3811"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176"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316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一般公共预算财政拨款</w:t>
            </w:r>
          </w:p>
        </w:tc>
        <w:tc>
          <w:tcPr>
            <w:tcW w:w="2742"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政府性基金预算财政拨款</w:t>
            </w:r>
          </w:p>
        </w:tc>
        <w:tc>
          <w:tcPr>
            <w:tcW w:w="285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92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176"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58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37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37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3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48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2,402.437969</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3,155.401941</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0.022230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1,966.878885</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2,716.813896</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282.817528</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303.547922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152.741556</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156.885446</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2,402.437969</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3,155.401941</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2,402.437969</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3,177.269494</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21.867553</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21.867553</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43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2,402.437969</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3,177.269494</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2,402.437969</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3,177.269494</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Style w:val="13"/>
        <w:tblW w:w="144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7"/>
        <w:gridCol w:w="397"/>
        <w:gridCol w:w="397"/>
        <w:gridCol w:w="3096"/>
        <w:gridCol w:w="1290"/>
        <w:gridCol w:w="1326"/>
        <w:gridCol w:w="1326"/>
        <w:gridCol w:w="1326"/>
        <w:gridCol w:w="1290"/>
        <w:gridCol w:w="1180"/>
        <w:gridCol w:w="1180"/>
        <w:gridCol w:w="1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4491"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97"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397"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397"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3096"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290"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326"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290"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180" w:type="dxa"/>
            <w:tcBorders>
              <w:top w:val="nil"/>
              <w:left w:val="nil"/>
              <w:bottom w:val="nil"/>
              <w:right w:val="nil"/>
            </w:tcBorders>
            <w:shd w:val="clear" w:color="auto" w:fill="auto"/>
            <w:vAlign w:val="center"/>
          </w:tcPr>
          <w:p>
            <w:pPr>
              <w:jc w:val="center"/>
              <w:rPr>
                <w:rFonts w:hint="eastAsia" w:ascii="宋体" w:hAnsi="宋体" w:eastAsia="宋体" w:cs="宋体"/>
                <w:b/>
                <w:i w:val="0"/>
                <w:color w:val="000000"/>
                <w:sz w:val="20"/>
                <w:szCs w:val="20"/>
                <w:u w:val="none"/>
              </w:rPr>
            </w:pPr>
          </w:p>
        </w:tc>
        <w:tc>
          <w:tcPr>
            <w:tcW w:w="1180"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286"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845" w:type="dxa"/>
            <w:gridSpan w:val="9"/>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单位名称：北京市密云区司法局（本级）</w:t>
            </w:r>
          </w:p>
        </w:tc>
        <w:tc>
          <w:tcPr>
            <w:tcW w:w="1180"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180"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286"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287"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132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394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364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0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3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2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18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18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128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0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2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3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3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18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0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2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21.867553</w:t>
            </w:r>
          </w:p>
        </w:tc>
        <w:tc>
          <w:tcPr>
            <w:tcW w:w="13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3,155.401941</w:t>
            </w:r>
          </w:p>
        </w:tc>
        <w:tc>
          <w:tcPr>
            <w:tcW w:w="13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3,177.269494</w:t>
            </w:r>
          </w:p>
        </w:tc>
        <w:tc>
          <w:tcPr>
            <w:tcW w:w="132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2,232.357965</w:t>
            </w:r>
          </w:p>
        </w:tc>
        <w:tc>
          <w:tcPr>
            <w:tcW w:w="12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944.911529</w:t>
            </w:r>
          </w:p>
        </w:tc>
        <w:tc>
          <w:tcPr>
            <w:tcW w:w="118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0.022230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0.022230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0.022230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20131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党委办公厅（室）及相关机构事务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0.022230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0.022230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0.022230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2013105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专项业务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0.022230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0.022230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0.022230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公共安全支出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14.286950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2,702.526946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2,716.813896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1,779.505200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937.308696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20406</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司法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14.286950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2,702.526946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2,716.813896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1,779.505200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937.308696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1,046.136160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1,046.136160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1,046.136160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2040604</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基层司法业务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14.286950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230.707189</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244.994139</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244.994139</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普法宣传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42.497070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42.497070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42.497070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2040606</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律师管理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225.781156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225.781156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225.781156</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2040607</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公共法律服务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96.857500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96.857500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96.857500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2040610</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社区矫正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7.043971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7.043971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7.043971</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2040613</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信息化建设</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2040650</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733.369040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733.369040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733.369040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2040699</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其他司法支出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305.134860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305.134860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305.134860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7.580603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295.967319</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303.547922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295.967319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7.580603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7.580603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295.967319</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303.547922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295.967319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7.580603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行政单位离退休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28.503795</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28.503795</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28.503795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8.708800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8.708800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8.708800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7.580603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177.106420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184.687023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177.106420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7.580603</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81.648304</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81.648304</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81.648304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156.885446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156.885446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156.885446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156.885446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156.885446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156.885446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行政单位医疗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156.885446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156.885446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156.885446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Style w:val="13"/>
        <w:tblW w:w="12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7"/>
        <w:gridCol w:w="397"/>
        <w:gridCol w:w="465"/>
        <w:gridCol w:w="3096"/>
        <w:gridCol w:w="2632"/>
        <w:gridCol w:w="1701"/>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209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hRule="atLeast"/>
        </w:trPr>
        <w:tc>
          <w:tcPr>
            <w:tcW w:w="397"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397"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3096"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2632"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389" w:type="dxa"/>
            <w:gridSpan w:val="7"/>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单位名称：北京市密云区司法局（本级）</w:t>
            </w:r>
          </w:p>
        </w:tc>
        <w:tc>
          <w:tcPr>
            <w:tcW w:w="1701"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43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263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单位名称</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25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0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263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0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263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46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0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263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3,177.269494</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2,232.357965</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944.911529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一般公共服务支出</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0.022230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0.022230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20131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党委办公厅（室）及相关机构事务</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0.022230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0.022230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2013105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专项业务</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北京市密云区司法局（本级）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0.022230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0.022230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204</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公共安全支出</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2,716.813896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1,779.505200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937.308696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20406</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司法</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2,716.813896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1,779.505200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937.308696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2040601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行政运行</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北京市密云区司法局（本级）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1,046.136160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1,046.136160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2040604</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基层司法业务</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北京市密云区司法局（本级）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244.994139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244.994139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2040605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普法宣传</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北京市密云区司法局（本级）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42.497070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42.497070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2040606</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律师管理</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北京市密云区司法局（本级）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225.781156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225.781156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2040607</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公共法律服务</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北京市密云区司法局（本级）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96.857500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96.857500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2040610</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社区矫正</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北京市密云区司法局（本级）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7.043971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7.043971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2040613</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信息化建设</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北京市密云区司法局（本级）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2040650</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事业运行</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北京市密云区司法局（本级）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733.369040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733.369040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2040699</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其他司法支出</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北京市密云区司法局（本级）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305.134860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305.134860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社会保障和就业支出</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303.547922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295.967319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7.580603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20805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行政事业单位养老支出</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303.547922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295.967319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7.580603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行政单位离退休</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北京市密云区司法局（本级）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28.503795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28.503795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事业单位离退休</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北京市密云区司法局（本级）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8.708800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8.708800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2080505</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机关事业单位基本养老保险缴费支出</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北京市密云区司法局（本级）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184.687023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177.106420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7.580603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2080506</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机关事业单位职业年金缴费支出</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北京市密云区司法局（本级）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81.648304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81.648304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卫生健康支出</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156.885446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156.885446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21011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行政事业单位医疗</w:t>
            </w:r>
          </w:p>
        </w:tc>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156.885446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156.885446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2101101</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行政单位医疗</w:t>
            </w:r>
          </w:p>
        </w:tc>
        <w:tc>
          <w:tcPr>
            <w:tcW w:w="2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北京市密云区司法局（本级）</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156.885446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156.885446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bl>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Style w:val="13"/>
        <w:tblW w:w="136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0"/>
        <w:gridCol w:w="590"/>
        <w:gridCol w:w="590"/>
        <w:gridCol w:w="2956"/>
        <w:gridCol w:w="541"/>
        <w:gridCol w:w="541"/>
        <w:gridCol w:w="541"/>
        <w:gridCol w:w="541"/>
        <w:gridCol w:w="2446"/>
        <w:gridCol w:w="534"/>
        <w:gridCol w:w="534"/>
        <w:gridCol w:w="534"/>
        <w:gridCol w:w="534"/>
        <w:gridCol w:w="2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3695"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90"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590"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590"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2956"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541"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541"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541"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541"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2446"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534"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534"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534"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534"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2223" w:type="dxa"/>
            <w:tcBorders>
              <w:top w:val="nil"/>
              <w:left w:val="nil"/>
              <w:bottom w:val="nil"/>
              <w:right w:val="nil"/>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472" w:type="dxa"/>
            <w:gridSpan w:val="13"/>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单位名称：北京市密云区司法局（本级）</w:t>
            </w:r>
          </w:p>
        </w:tc>
        <w:tc>
          <w:tcPr>
            <w:tcW w:w="2223"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295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244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222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2,049.550725</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126.165345</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281.636900</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12.540000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625.340226</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13.912600</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522.691140</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2.601400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177.106420</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12.270000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81.648304</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156.885446</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17.660100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7.808400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5.129489</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0.650000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151.357400</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33.842800</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56.356895</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1.338500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35.349795</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20.954600</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0.160000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13.381053</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27.300000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18.555892</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0.052500</w:t>
            </w: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4.250000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16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2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3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7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2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2,105.907620</w:t>
            </w:r>
          </w:p>
        </w:tc>
        <w:tc>
          <w:tcPr>
            <w:tcW w:w="6746" w:type="dxa"/>
            <w:gridSpan w:val="9"/>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126.450345</w:t>
            </w:r>
          </w:p>
        </w:tc>
      </w:tr>
    </w:tbl>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tbl>
      <w:tblPr>
        <w:tblStyle w:val="13"/>
        <w:tblW w:w="94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7"/>
        <w:gridCol w:w="397"/>
        <w:gridCol w:w="397"/>
        <w:gridCol w:w="397"/>
        <w:gridCol w:w="973"/>
        <w:gridCol w:w="973"/>
        <w:gridCol w:w="973"/>
        <w:gridCol w:w="973"/>
        <w:gridCol w:w="973"/>
        <w:gridCol w:w="973"/>
        <w:gridCol w:w="973"/>
        <w:gridCol w:w="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69"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97"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397"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397"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397"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vAlign w:val="center"/>
          </w:tcPr>
          <w:p>
            <w:pPr>
              <w:jc w:val="center"/>
              <w:rPr>
                <w:rFonts w:hint="eastAsia" w:ascii="宋体" w:hAnsi="宋体" w:eastAsia="宋体" w:cs="宋体"/>
                <w:b/>
                <w:i w:val="0"/>
                <w:color w:val="000000"/>
                <w:sz w:val="20"/>
                <w:szCs w:val="20"/>
                <w:u w:val="none"/>
              </w:rPr>
            </w:pPr>
          </w:p>
        </w:tc>
        <w:tc>
          <w:tcPr>
            <w:tcW w:w="973"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070"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53" w:type="dxa"/>
            <w:gridSpan w:val="9"/>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单位名称：北京市密云区司法局（本级）</w:t>
            </w:r>
          </w:p>
        </w:tc>
        <w:tc>
          <w:tcPr>
            <w:tcW w:w="973"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973"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0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8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291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301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9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9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9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9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107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9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9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9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9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9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9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9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107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9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9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9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9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9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9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9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07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bl>
    <w:p>
      <w:pPr>
        <w:pStyle w:val="2"/>
        <w:rPr>
          <w:rFonts w:hint="eastAsia" w:ascii="宋体" w:hAnsi="宋体" w:cs="宋体"/>
          <w:b/>
          <w:bCs/>
          <w:spacing w:val="40"/>
          <w:kern w:val="0"/>
          <w:sz w:val="32"/>
          <w:szCs w:val="32"/>
        </w:rPr>
      </w:pPr>
    </w:p>
    <w:tbl>
      <w:tblPr>
        <w:tblStyle w:val="13"/>
        <w:tblW w:w="12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502"/>
        <w:gridCol w:w="502"/>
        <w:gridCol w:w="502"/>
        <w:gridCol w:w="2545"/>
        <w:gridCol w:w="585"/>
        <w:gridCol w:w="585"/>
        <w:gridCol w:w="585"/>
        <w:gridCol w:w="2142"/>
        <w:gridCol w:w="540"/>
        <w:gridCol w:w="540"/>
        <w:gridCol w:w="540"/>
        <w:gridCol w:w="540"/>
        <w:gridCol w:w="2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2780"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502"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2545"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585"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2142"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540"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540"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540"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540"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2170" w:type="dxa"/>
            <w:tcBorders>
              <w:top w:val="nil"/>
              <w:left w:val="nil"/>
              <w:bottom w:val="nil"/>
              <w:right w:val="nil"/>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610" w:type="dxa"/>
            <w:gridSpan w:val="13"/>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单位名称：北京市密云区司法局（本级）</w:t>
            </w:r>
          </w:p>
        </w:tc>
        <w:tc>
          <w:tcPr>
            <w:tcW w:w="2170"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25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21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217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75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00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2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057"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ind w:left="0" w:leftChars="0" w:firstLine="0" w:firstLineChars="0"/>
        <w:rPr>
          <w:rFonts w:hint="eastAsia" w:ascii="宋体" w:hAnsi="宋体" w:cs="宋体"/>
          <w:b/>
          <w:bCs/>
          <w:spacing w:val="40"/>
          <w:kern w:val="0"/>
          <w:sz w:val="32"/>
          <w:szCs w:val="32"/>
        </w:rPr>
      </w:pPr>
    </w:p>
    <w:tbl>
      <w:tblPr>
        <w:tblStyle w:val="13"/>
        <w:tblW w:w="67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7"/>
        <w:gridCol w:w="397"/>
        <w:gridCol w:w="397"/>
        <w:gridCol w:w="2322"/>
        <w:gridCol w:w="1110"/>
        <w:gridCol w:w="1065"/>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6783"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97"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397"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397"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2322"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095" w:type="dxa"/>
            <w:tcBorders>
              <w:top w:val="nil"/>
              <w:left w:val="nil"/>
              <w:bottom w:val="nil"/>
              <w:right w:val="nil"/>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688" w:type="dxa"/>
            <w:gridSpan w:val="6"/>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单位名称：北京市密云区司法局（本级）</w:t>
            </w:r>
          </w:p>
        </w:tc>
        <w:tc>
          <w:tcPr>
            <w:tcW w:w="1095"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1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32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232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11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06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09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91"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11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232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11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06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tc>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tc>
        <w:tc>
          <w:tcPr>
            <w:tcW w:w="3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tc>
        <w:tc>
          <w:tcPr>
            <w:tcW w:w="232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kern w:val="0"/>
                <w:sz w:val="20"/>
                <w:szCs w:val="20"/>
                <w:u w:val="none"/>
                <w:lang w:val="en-US" w:eastAsia="zh-CN" w:bidi="ar"/>
              </w:rPr>
            </w:pPr>
          </w:p>
        </w:tc>
      </w:tr>
    </w:tbl>
    <w:p>
      <w:pPr>
        <w:pStyle w:val="2"/>
        <w:rPr>
          <w:rFonts w:hint="eastAsia" w:ascii="宋体" w:hAnsi="宋体" w:cs="宋体"/>
          <w:b/>
          <w:bCs/>
          <w:spacing w:val="40"/>
          <w:kern w:val="0"/>
          <w:sz w:val="32"/>
          <w:szCs w:val="32"/>
        </w:rPr>
      </w:pPr>
    </w:p>
    <w:tbl>
      <w:tblPr>
        <w:tblStyle w:val="13"/>
        <w:tblW w:w="106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7"/>
        <w:gridCol w:w="279"/>
        <w:gridCol w:w="1125"/>
        <w:gridCol w:w="1073"/>
        <w:gridCol w:w="1073"/>
        <w:gridCol w:w="1073"/>
        <w:gridCol w:w="1125"/>
        <w:gridCol w:w="1125"/>
        <w:gridCol w:w="1125"/>
        <w:gridCol w:w="1125"/>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0639"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7"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279"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125"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073"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125"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125"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125"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125"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219" w:type="dxa"/>
            <w:tcBorders>
              <w:top w:val="nil"/>
              <w:left w:val="nil"/>
              <w:bottom w:val="nil"/>
              <w:right w:val="nil"/>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420" w:type="dxa"/>
            <w:gridSpan w:val="10"/>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单位名称：北京市密云区司法局（本级）</w:t>
            </w:r>
          </w:p>
        </w:tc>
        <w:tc>
          <w:tcPr>
            <w:tcW w:w="1219" w:type="dxa"/>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76"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“三公”经费财政拨款合计</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因公出国（境）费用</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公务接待费</w:t>
            </w:r>
          </w:p>
        </w:tc>
        <w:tc>
          <w:tcPr>
            <w:tcW w:w="6792"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公务用车购置费</w:t>
            </w:r>
          </w:p>
        </w:tc>
        <w:tc>
          <w:tcPr>
            <w:tcW w:w="5719"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11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公务用车加油</w:t>
            </w:r>
          </w:p>
        </w:tc>
        <w:tc>
          <w:tcPr>
            <w:tcW w:w="11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公务用车维修</w:t>
            </w:r>
          </w:p>
        </w:tc>
        <w:tc>
          <w:tcPr>
            <w:tcW w:w="11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公务用车保险</w:t>
            </w:r>
          </w:p>
        </w:tc>
        <w:tc>
          <w:tcPr>
            <w:tcW w:w="121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2023年预算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70.650000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70.650000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7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2023年决算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18.555892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18.555892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5.940000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4.140000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1.575892</w:t>
            </w:r>
          </w:p>
        </w:tc>
      </w:tr>
    </w:tbl>
    <w:p>
      <w:pPr>
        <w:pStyle w:val="2"/>
        <w:rPr>
          <w:rFonts w:hint="eastAsia" w:ascii="宋体" w:hAnsi="宋体" w:cs="宋体"/>
          <w:b/>
          <w:bCs/>
          <w:spacing w:val="40"/>
          <w:kern w:val="0"/>
          <w:sz w:val="32"/>
          <w:szCs w:val="32"/>
        </w:rPr>
      </w:pPr>
    </w:p>
    <w:tbl>
      <w:tblPr>
        <w:tblStyle w:val="13"/>
        <w:tblW w:w="115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8"/>
        <w:gridCol w:w="931"/>
        <w:gridCol w:w="27"/>
        <w:gridCol w:w="958"/>
        <w:gridCol w:w="711"/>
        <w:gridCol w:w="246"/>
        <w:gridCol w:w="1450"/>
        <w:gridCol w:w="3967"/>
        <w:gridCol w:w="2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1" w:type="dxa"/>
          <w:trHeight w:val="488" w:hRule="atLeast"/>
        </w:trPr>
        <w:tc>
          <w:tcPr>
            <w:tcW w:w="9248"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1" w:type="dxa"/>
          <w:trHeight w:val="288" w:hRule="atLeast"/>
        </w:trPr>
        <w:tc>
          <w:tcPr>
            <w:tcW w:w="958"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958"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958" w:type="dxa"/>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957"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5417" w:type="dxa"/>
            <w:gridSpan w:val="2"/>
            <w:tcBorders>
              <w:top w:val="nil"/>
              <w:left w:val="nil"/>
              <w:bottom w:val="nil"/>
              <w:right w:val="nil"/>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1" w:type="dxa"/>
          <w:trHeight w:val="288" w:hRule="atLeast"/>
        </w:trPr>
        <w:tc>
          <w:tcPr>
            <w:tcW w:w="3831" w:type="dxa"/>
            <w:gridSpan w:val="6"/>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单位名称：北京市密云区司法局（本级）</w:t>
            </w:r>
          </w:p>
        </w:tc>
        <w:tc>
          <w:tcPr>
            <w:tcW w:w="5417" w:type="dxa"/>
            <w:gridSpan w:val="2"/>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291" w:type="dxa"/>
          <w:trHeight w:val="649" w:hRule="atLeast"/>
        </w:trPr>
        <w:tc>
          <w:tcPr>
            <w:tcW w:w="3831"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541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1" w:type="dxa"/>
          <w:trHeight w:val="649" w:hRule="atLeast"/>
        </w:trPr>
        <w:tc>
          <w:tcPr>
            <w:tcW w:w="3831"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政府采购支出信息</w:t>
            </w:r>
          </w:p>
        </w:tc>
        <w:tc>
          <w:tcPr>
            <w:tcW w:w="5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104.629342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1" w:type="dxa"/>
          <w:trHeight w:val="649" w:hRule="atLeast"/>
        </w:trPr>
        <w:tc>
          <w:tcPr>
            <w:tcW w:w="3831"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（一）政府采购支出合计</w:t>
            </w:r>
          </w:p>
        </w:tc>
        <w:tc>
          <w:tcPr>
            <w:tcW w:w="5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104.629342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1" w:type="dxa"/>
          <w:trHeight w:val="649" w:hRule="atLeast"/>
        </w:trPr>
        <w:tc>
          <w:tcPr>
            <w:tcW w:w="3831"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1．政府采购货物支出</w:t>
            </w:r>
          </w:p>
        </w:tc>
        <w:tc>
          <w:tcPr>
            <w:tcW w:w="5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291" w:type="dxa"/>
          <w:trHeight w:val="649" w:hRule="atLeast"/>
        </w:trPr>
        <w:tc>
          <w:tcPr>
            <w:tcW w:w="3831"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2．政府采购工程支出</w:t>
            </w:r>
          </w:p>
        </w:tc>
        <w:tc>
          <w:tcPr>
            <w:tcW w:w="5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1" w:type="dxa"/>
          <w:trHeight w:val="649" w:hRule="atLeast"/>
        </w:trPr>
        <w:tc>
          <w:tcPr>
            <w:tcW w:w="3831"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3．政府采购服务支出</w:t>
            </w:r>
          </w:p>
        </w:tc>
        <w:tc>
          <w:tcPr>
            <w:tcW w:w="5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102.661542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1" w:type="dxa"/>
          <w:trHeight w:val="649" w:hRule="atLeast"/>
        </w:trPr>
        <w:tc>
          <w:tcPr>
            <w:tcW w:w="3831"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（二）政府采购授予中小企业合同金额</w:t>
            </w:r>
          </w:p>
        </w:tc>
        <w:tc>
          <w:tcPr>
            <w:tcW w:w="5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91" w:type="dxa"/>
          <w:trHeight w:val="649" w:hRule="atLeast"/>
        </w:trPr>
        <w:tc>
          <w:tcPr>
            <w:tcW w:w="3831"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其中：授予小微企业合同金额</w:t>
            </w:r>
          </w:p>
        </w:tc>
        <w:tc>
          <w:tcPr>
            <w:tcW w:w="5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8" w:hRule="atLeast"/>
        </w:trPr>
        <w:tc>
          <w:tcPr>
            <w:tcW w:w="11539"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政府购买服务决算公开情况表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89"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696" w:type="dxa"/>
            <w:gridSpan w:val="3"/>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1696" w:type="dxa"/>
            <w:gridSpan w:val="2"/>
            <w:tcBorders>
              <w:top w:val="nil"/>
              <w:left w:val="nil"/>
              <w:bottom w:val="nil"/>
              <w:right w:val="nil"/>
            </w:tcBorders>
            <w:shd w:val="clear" w:color="auto" w:fill="auto"/>
            <w:vAlign w:val="center"/>
          </w:tcPr>
          <w:p>
            <w:pPr>
              <w:rPr>
                <w:rFonts w:hint="eastAsia" w:ascii="宋体" w:hAnsi="宋体" w:eastAsia="宋体" w:cs="宋体"/>
                <w:i w:val="0"/>
                <w:color w:val="000000"/>
                <w:sz w:val="22"/>
                <w:szCs w:val="22"/>
                <w:u w:val="none"/>
              </w:rPr>
            </w:pPr>
          </w:p>
        </w:tc>
        <w:tc>
          <w:tcPr>
            <w:tcW w:w="6258" w:type="dxa"/>
            <w:gridSpan w:val="2"/>
            <w:tcBorders>
              <w:top w:val="nil"/>
              <w:left w:val="nil"/>
              <w:bottom w:val="nil"/>
              <w:right w:val="nil"/>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281" w:type="dxa"/>
            <w:gridSpan w:val="7"/>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单位名称：北京市密云区司法局（本级）</w:t>
            </w:r>
          </w:p>
        </w:tc>
        <w:tc>
          <w:tcPr>
            <w:tcW w:w="6258" w:type="dxa"/>
            <w:gridSpan w:val="2"/>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一级目录</w:t>
            </w: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二级目录</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5281" w:type="dxa"/>
            <w:gridSpan w:val="7"/>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415.200000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教育公共服务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就业公共服务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卫生健康公共服务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生态保护和环境治理服务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科技公共服务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文化公共服务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体育公共服务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社会治理服务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城乡维护服务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农业、林业和水利公共服务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交通运输公共服务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公共信息与宣传服务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行业管理服务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技术性公共服务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1889"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政府履职辅助性服务</w:t>
            </w: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课题研究和社会调查服务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会计审计服务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监督检查辅助服务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评审、评估和评价服务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机关工作人员培训服务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信息化服务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后勤服务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 w:hRule="atLeast"/>
        </w:trPr>
        <w:tc>
          <w:tcPr>
            <w:tcW w:w="188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339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其他辅助性服务</w:t>
            </w:r>
          </w:p>
        </w:tc>
        <w:tc>
          <w:tcPr>
            <w:tcW w:w="6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tabs>
          <w:tab w:val="center" w:pos="6979"/>
        </w:tabs>
        <w:spacing w:before="156" w:beforeLines="50" w:after="156" w:afterLines="50"/>
        <w:ind w:firstLine="4000" w:firstLineChars="1000"/>
        <w:jc w:val="both"/>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一、部门/单位基本情况</w:t>
      </w:r>
    </w:p>
    <w:p>
      <w:pPr>
        <w:pStyle w:val="7"/>
        <w:ind w:firstLine="560" w:firstLineChars="200"/>
        <w:rPr>
          <w:rFonts w:hint="eastAsia" w:ascii="仿宋_GB2312" w:eastAsia="仿宋_GB2312"/>
          <w:sz w:val="28"/>
          <w:szCs w:val="28"/>
          <w:lang w:val="en-US" w:eastAsia="zh-CN"/>
        </w:rPr>
      </w:pPr>
      <w:r>
        <w:rPr>
          <w:rFonts w:hint="eastAsia" w:ascii="仿宋_GB2312" w:eastAsia="仿宋_GB2312"/>
          <w:sz w:val="28"/>
          <w:szCs w:val="28"/>
        </w:rPr>
        <w:t>（一）机构</w:t>
      </w:r>
      <w:r>
        <w:rPr>
          <w:rFonts w:hint="eastAsia"/>
          <w:sz w:val="28"/>
          <w:szCs w:val="28"/>
          <w:lang w:eastAsia="zh-CN"/>
        </w:rPr>
        <w:t>职责</w:t>
      </w:r>
      <w:r>
        <w:rPr>
          <w:rFonts w:ascii="仿宋_GB2312" w:eastAsia="仿宋_GB2312"/>
          <w:sz w:val="28"/>
          <w:szCs w:val="28"/>
        </w:rPr>
        <w:t>、</w:t>
      </w:r>
      <w:r>
        <w:rPr>
          <w:rFonts w:hint="eastAsia"/>
          <w:sz w:val="28"/>
          <w:szCs w:val="28"/>
          <w:lang w:eastAsia="zh-CN"/>
        </w:rPr>
        <w:t>设置</w:t>
      </w:r>
    </w:p>
    <w:p>
      <w:pPr>
        <w:pStyle w:val="7"/>
        <w:ind w:firstLine="560" w:firstLineChars="200"/>
        <w:rPr>
          <w:rFonts w:hint="eastAsia" w:ascii="仿宋_GB2312" w:eastAsia="仿宋_GB2312"/>
          <w:sz w:val="28"/>
          <w:szCs w:val="28"/>
        </w:rPr>
      </w:pPr>
      <w:r>
        <w:rPr>
          <w:rFonts w:hint="eastAsia" w:ascii="仿宋_GB2312" w:eastAsia="仿宋_GB2312"/>
          <w:sz w:val="28"/>
          <w:szCs w:val="28"/>
        </w:rPr>
        <w:t>1</w:t>
      </w:r>
      <w:r>
        <w:rPr>
          <w:rFonts w:hint="default" w:ascii="仿宋_GB2312" w:eastAsia="仿宋_GB2312"/>
          <w:sz w:val="28"/>
          <w:szCs w:val="28"/>
          <w:lang w:val="en"/>
        </w:rPr>
        <w:t>.</w:t>
      </w:r>
      <w:r>
        <w:rPr>
          <w:rFonts w:hint="eastAsia" w:ascii="仿宋_GB2312" w:eastAsia="仿宋_GB2312"/>
          <w:sz w:val="28"/>
          <w:szCs w:val="28"/>
        </w:rPr>
        <w:t>承担全面依法治区重大问题的政策研究，协调有关方面提出全面依法治区中长期规划建议，负责有关重大决策部署督察工作。</w:t>
      </w:r>
    </w:p>
    <w:p>
      <w:pPr>
        <w:pStyle w:val="7"/>
        <w:ind w:firstLine="560" w:firstLineChars="200"/>
        <w:rPr>
          <w:rFonts w:hint="eastAsia" w:ascii="仿宋_GB2312" w:eastAsia="仿宋_GB2312"/>
          <w:sz w:val="28"/>
          <w:szCs w:val="28"/>
        </w:rPr>
      </w:pPr>
      <w:r>
        <w:rPr>
          <w:rFonts w:hint="eastAsia" w:ascii="仿宋_GB2312" w:eastAsia="仿宋_GB2312"/>
          <w:sz w:val="28"/>
          <w:szCs w:val="28"/>
        </w:rPr>
        <w:t>2</w:t>
      </w:r>
      <w:r>
        <w:rPr>
          <w:rFonts w:hint="default" w:ascii="仿宋_GB2312" w:eastAsia="仿宋_GB2312"/>
          <w:sz w:val="28"/>
          <w:szCs w:val="28"/>
          <w:lang w:val="en"/>
        </w:rPr>
        <w:t>.</w:t>
      </w:r>
      <w:r>
        <w:rPr>
          <w:rFonts w:hint="eastAsia" w:ascii="仿宋_GB2312" w:eastAsia="仿宋_GB2312"/>
          <w:sz w:val="28"/>
          <w:szCs w:val="28"/>
        </w:rPr>
        <w:t>承办以区政府或者区政府办公室名义制发的规范性文件、报请区政府会议审议和区政府审批的涉及法律问题的有关文件或者事项的合法性审核工作。承担镇街和区政府工作部门制定的规范性文件的备案审查工作。</w:t>
      </w:r>
    </w:p>
    <w:p>
      <w:pPr>
        <w:pStyle w:val="7"/>
        <w:ind w:firstLine="560" w:firstLineChars="200"/>
        <w:rPr>
          <w:rFonts w:hint="eastAsia" w:ascii="仿宋_GB2312" w:eastAsia="仿宋_GB2312"/>
          <w:sz w:val="28"/>
          <w:szCs w:val="28"/>
        </w:rPr>
      </w:pPr>
      <w:r>
        <w:rPr>
          <w:rFonts w:hint="eastAsia" w:ascii="仿宋_GB2312" w:eastAsia="仿宋_GB2312"/>
          <w:sz w:val="28"/>
          <w:szCs w:val="28"/>
        </w:rPr>
        <w:t>3</w:t>
      </w:r>
      <w:r>
        <w:rPr>
          <w:rFonts w:hint="default" w:ascii="仿宋_GB2312" w:eastAsia="仿宋_GB2312"/>
          <w:sz w:val="28"/>
          <w:szCs w:val="28"/>
          <w:lang w:val="en"/>
        </w:rPr>
        <w:t>.</w:t>
      </w:r>
      <w:r>
        <w:rPr>
          <w:rFonts w:hint="eastAsia" w:ascii="仿宋_GB2312" w:eastAsia="仿宋_GB2312"/>
          <w:sz w:val="28"/>
          <w:szCs w:val="28"/>
        </w:rPr>
        <w:t>承担统筹推进本区法治政府建设的责任。指导、监督区政府各部门和乡镇政府依法行政工作。负责综合协调行政执法，承担推进行政执法体制改革有关工作，推进严格规范公正文明执法。指导、监督全区行政复议和行政应诉工作，负责行政复议、行政赔偿案件办理工作。承办区政府行政诉讼的应诉代理工作。承办由北京市人民政府裁决的区政府行政复议案件的有关工作。</w:t>
      </w:r>
    </w:p>
    <w:p>
      <w:pPr>
        <w:pStyle w:val="7"/>
        <w:ind w:firstLine="560" w:firstLineChars="200"/>
        <w:rPr>
          <w:rFonts w:hint="eastAsia" w:ascii="仿宋_GB2312" w:eastAsia="仿宋_GB2312"/>
          <w:sz w:val="28"/>
          <w:szCs w:val="28"/>
        </w:rPr>
      </w:pPr>
      <w:r>
        <w:rPr>
          <w:rFonts w:hint="eastAsia" w:ascii="仿宋_GB2312" w:eastAsia="仿宋_GB2312"/>
          <w:sz w:val="28"/>
          <w:szCs w:val="28"/>
        </w:rPr>
        <w:t>4</w:t>
      </w:r>
      <w:r>
        <w:rPr>
          <w:rFonts w:hint="default" w:ascii="仿宋_GB2312" w:eastAsia="仿宋_GB2312"/>
          <w:sz w:val="28"/>
          <w:szCs w:val="28"/>
          <w:lang w:val="en"/>
        </w:rPr>
        <w:t>.</w:t>
      </w:r>
      <w:r>
        <w:rPr>
          <w:rFonts w:hint="eastAsia" w:ascii="仿宋_GB2312" w:eastAsia="仿宋_GB2312"/>
          <w:sz w:val="28"/>
          <w:szCs w:val="28"/>
        </w:rPr>
        <w:t>承担统筹规划本区法治社会建设的责任。负责拟订法治宣传教育规划，组织实施普法宣传工作。推动人民参与和促进法治建设。指导依法治理和法治创建工作。指导调解工作和人民陪审员选任管理工作，推进司法所建设。</w:t>
      </w:r>
    </w:p>
    <w:p>
      <w:pPr>
        <w:pStyle w:val="7"/>
        <w:ind w:firstLine="560" w:firstLineChars="200"/>
        <w:rPr>
          <w:rFonts w:hint="eastAsia" w:ascii="仿宋_GB2312" w:eastAsia="仿宋_GB2312"/>
          <w:sz w:val="28"/>
          <w:szCs w:val="28"/>
        </w:rPr>
      </w:pPr>
      <w:r>
        <w:rPr>
          <w:rFonts w:hint="eastAsia" w:ascii="仿宋_GB2312" w:eastAsia="仿宋_GB2312"/>
          <w:sz w:val="28"/>
          <w:szCs w:val="28"/>
        </w:rPr>
        <w:t>5</w:t>
      </w:r>
      <w:r>
        <w:rPr>
          <w:rFonts w:hint="default" w:ascii="仿宋_GB2312" w:eastAsia="仿宋_GB2312"/>
          <w:sz w:val="28"/>
          <w:szCs w:val="28"/>
          <w:lang w:val="en"/>
        </w:rPr>
        <w:t>.</w:t>
      </w:r>
      <w:r>
        <w:rPr>
          <w:rFonts w:hint="eastAsia" w:ascii="仿宋_GB2312" w:eastAsia="仿宋_GB2312"/>
          <w:sz w:val="28"/>
          <w:szCs w:val="28"/>
        </w:rPr>
        <w:t>指导、监督本区社区矫正工作和刑满释放人员安置帮教工作。</w:t>
      </w:r>
    </w:p>
    <w:p>
      <w:pPr>
        <w:pStyle w:val="7"/>
        <w:ind w:firstLine="560" w:firstLineChars="200"/>
        <w:rPr>
          <w:rFonts w:hint="eastAsia" w:ascii="仿宋_GB2312" w:eastAsia="仿宋_GB2312"/>
          <w:sz w:val="28"/>
          <w:szCs w:val="28"/>
        </w:rPr>
      </w:pPr>
      <w:r>
        <w:rPr>
          <w:rFonts w:hint="eastAsia" w:ascii="仿宋_GB2312" w:eastAsia="仿宋_GB2312"/>
          <w:sz w:val="28"/>
          <w:szCs w:val="28"/>
        </w:rPr>
        <w:t>6</w:t>
      </w:r>
      <w:r>
        <w:rPr>
          <w:rFonts w:hint="default" w:ascii="仿宋_GB2312" w:eastAsia="仿宋_GB2312"/>
          <w:sz w:val="28"/>
          <w:szCs w:val="28"/>
          <w:lang w:val="en"/>
        </w:rPr>
        <w:t>.</w:t>
      </w:r>
      <w:r>
        <w:rPr>
          <w:rFonts w:hint="eastAsia" w:ascii="仿宋_GB2312" w:eastAsia="仿宋_GB2312"/>
          <w:sz w:val="28"/>
          <w:szCs w:val="28"/>
        </w:rPr>
        <w:t>负责拟订本区公共法律服务体系建设规划并组织实施，统筹和布局城乡、区域法律服务资源。指导、监督律师、法律援助、司法鉴定、公证、仲裁和基层法律服务管理工作。</w:t>
      </w:r>
    </w:p>
    <w:p>
      <w:pPr>
        <w:pStyle w:val="7"/>
        <w:ind w:firstLine="560" w:firstLineChars="200"/>
        <w:rPr>
          <w:rFonts w:hint="eastAsia" w:ascii="仿宋_GB2312" w:eastAsia="仿宋_GB2312"/>
          <w:sz w:val="28"/>
          <w:szCs w:val="28"/>
        </w:rPr>
      </w:pPr>
      <w:r>
        <w:rPr>
          <w:rFonts w:hint="eastAsia" w:ascii="仿宋_GB2312" w:eastAsia="仿宋_GB2312"/>
          <w:sz w:val="28"/>
          <w:szCs w:val="28"/>
        </w:rPr>
        <w:t>7</w:t>
      </w:r>
      <w:r>
        <w:rPr>
          <w:rFonts w:hint="default" w:ascii="仿宋_GB2312" w:eastAsia="仿宋_GB2312"/>
          <w:sz w:val="28"/>
          <w:szCs w:val="28"/>
          <w:lang w:val="en"/>
        </w:rPr>
        <w:t>.</w:t>
      </w:r>
      <w:r>
        <w:rPr>
          <w:rFonts w:hint="eastAsia" w:ascii="仿宋_GB2312" w:eastAsia="仿宋_GB2312"/>
          <w:sz w:val="28"/>
          <w:szCs w:val="28"/>
        </w:rPr>
        <w:t>规划、协调、指导本区法治人才队伍建设相关工作，指导、监督本系统队伍建设。</w:t>
      </w:r>
    </w:p>
    <w:p>
      <w:pPr>
        <w:pStyle w:val="6"/>
        <w:rPr>
          <w:rFonts w:hint="eastAsia" w:ascii="仿宋_GB2312" w:eastAsia="仿宋_GB2312"/>
          <w:bCs/>
          <w:sz w:val="28"/>
          <w:szCs w:val="28"/>
        </w:rPr>
      </w:pPr>
      <w:r>
        <w:rPr>
          <w:rFonts w:hint="eastAsia" w:ascii="仿宋_GB2312" w:eastAsia="仿宋_GB2312"/>
          <w:bCs/>
          <w:sz w:val="28"/>
          <w:szCs w:val="28"/>
        </w:rPr>
        <w:t>8</w:t>
      </w:r>
      <w:r>
        <w:rPr>
          <w:rFonts w:hint="default" w:ascii="仿宋_GB2312" w:eastAsia="仿宋_GB2312"/>
          <w:bCs/>
          <w:sz w:val="28"/>
          <w:szCs w:val="28"/>
          <w:lang w:val="en"/>
        </w:rPr>
        <w:t>.</w:t>
      </w:r>
      <w:r>
        <w:rPr>
          <w:rFonts w:hint="eastAsia" w:ascii="仿宋_GB2312" w:eastAsia="仿宋_GB2312"/>
          <w:bCs/>
          <w:sz w:val="28"/>
          <w:szCs w:val="28"/>
        </w:rPr>
        <w:t>完成区委、区政府交办的其他任务。</w:t>
      </w:r>
    </w:p>
    <w:p>
      <w:pPr>
        <w:keepNext w:val="0"/>
        <w:keepLines w:val="0"/>
        <w:pageBreakBefore w:val="0"/>
        <w:widowControl w:val="0"/>
        <w:kinsoku/>
        <w:wordWrap/>
        <w:topLinePunct w:val="0"/>
        <w:autoSpaceDE/>
        <w:autoSpaceDN/>
        <w:bidi w:val="0"/>
        <w:adjustRightInd/>
        <w:snapToGrid/>
        <w:spacing w:line="560" w:lineRule="exact"/>
        <w:ind w:firstLine="560" w:firstLineChars="200"/>
        <w:textAlignment w:val="auto"/>
        <w:outlineLvl w:val="9"/>
        <w:rPr>
          <w:rFonts w:hint="eastAsia" w:ascii="仿宋_GB2312" w:eastAsia="仿宋_GB2312"/>
          <w:bCs/>
          <w:sz w:val="28"/>
          <w:szCs w:val="28"/>
          <w:lang w:val="en-GB" w:eastAsia="zh-CN"/>
        </w:rPr>
      </w:pPr>
      <w:r>
        <w:rPr>
          <w:rFonts w:hint="eastAsia" w:ascii="仿宋_GB2312" w:eastAsia="仿宋_GB2312"/>
          <w:bCs/>
          <w:sz w:val="28"/>
          <w:szCs w:val="28"/>
        </w:rPr>
        <w:t>行政单位</w:t>
      </w:r>
      <w:r>
        <w:rPr>
          <w:rFonts w:hint="eastAsia" w:ascii="仿宋_GB2312" w:eastAsia="仿宋_GB2312"/>
          <w:bCs/>
          <w:sz w:val="28"/>
          <w:szCs w:val="28"/>
          <w:lang w:val="en-US" w:eastAsia="zh-CN"/>
        </w:rPr>
        <w:t>1</w:t>
      </w:r>
      <w:r>
        <w:rPr>
          <w:rFonts w:hint="eastAsia" w:ascii="仿宋_GB2312" w:eastAsia="仿宋_GB2312"/>
          <w:bCs/>
          <w:sz w:val="28"/>
          <w:szCs w:val="28"/>
          <w:lang w:eastAsia="zh-CN"/>
        </w:rPr>
        <w:t>个，北京市密云区司法局；下属</w:t>
      </w:r>
      <w:r>
        <w:rPr>
          <w:rFonts w:hint="eastAsia" w:ascii="仿宋_GB2312" w:eastAsia="仿宋_GB2312"/>
          <w:bCs/>
          <w:sz w:val="28"/>
          <w:szCs w:val="28"/>
        </w:rPr>
        <w:t>事业单位</w:t>
      </w:r>
      <w:r>
        <w:rPr>
          <w:rFonts w:hint="eastAsia" w:ascii="仿宋_GB2312" w:eastAsia="仿宋_GB2312"/>
          <w:bCs/>
          <w:sz w:val="28"/>
          <w:szCs w:val="28"/>
          <w:lang w:val="en-US" w:eastAsia="zh-CN"/>
        </w:rPr>
        <w:t>5个</w:t>
      </w:r>
      <w:r>
        <w:rPr>
          <w:rFonts w:hint="eastAsia" w:ascii="仿宋_GB2312" w:eastAsia="仿宋_GB2312"/>
          <w:bCs/>
          <w:sz w:val="28"/>
          <w:szCs w:val="28"/>
        </w:rPr>
        <w:t>：北京市密云区法律服务中心、北京市渔阳公证处、北京市密云区阳光中途之家、北京市密云区司法局行政复议接待中心、北京市密云区法律援助中心，其中北京市密云区法律援助中心为参公事业单位</w:t>
      </w:r>
      <w:r>
        <w:rPr>
          <w:rFonts w:hint="eastAsia" w:ascii="仿宋_GB2312" w:eastAsia="仿宋_GB2312"/>
          <w:bCs/>
          <w:sz w:val="28"/>
          <w:szCs w:val="28"/>
          <w:lang w:eastAsia="zh-CN"/>
        </w:rPr>
        <w:t>。</w:t>
      </w:r>
      <w:r>
        <w:rPr>
          <w:rFonts w:hint="eastAsia" w:ascii="仿宋_GB2312" w:eastAsia="仿宋_GB2312"/>
          <w:bCs/>
          <w:sz w:val="28"/>
          <w:szCs w:val="28"/>
          <w:lang w:val="en-GB" w:eastAsia="zh-CN"/>
        </w:rPr>
        <w:t>内设职能行政科室</w:t>
      </w:r>
      <w:r>
        <w:rPr>
          <w:rFonts w:hint="eastAsia" w:ascii="仿宋_GB2312" w:eastAsia="仿宋_GB2312"/>
          <w:bCs/>
          <w:sz w:val="28"/>
          <w:szCs w:val="28"/>
          <w:lang w:eastAsia="zh-CN"/>
        </w:rPr>
        <w:t>9个，分别为办公室、行政执法监督科、行政复议科、社区矫正和安置帮教科、普法和人民参与法治科、公共法律服务和公证律师管理科、党建科、机关纪委书记、工会专职副主席；事业单位5个，分别为法律服务中心、行政复议接待中心、法律援助中心、北京市渔阳公证处、北京市密云区阳光中途之家</w:t>
      </w:r>
      <w:r>
        <w:rPr>
          <w:rFonts w:hint="eastAsia" w:ascii="仿宋_GB2312" w:eastAsia="仿宋_GB2312"/>
          <w:bCs/>
          <w:sz w:val="28"/>
          <w:szCs w:val="28"/>
          <w:lang w:val="en-GB" w:eastAsia="zh-CN"/>
        </w:rPr>
        <w:t>。</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行政编制</w:t>
      </w:r>
      <w:r>
        <w:rPr>
          <w:rFonts w:hint="eastAsia" w:ascii="仿宋_GB2312" w:eastAsia="仿宋_GB2312"/>
          <w:kern w:val="0"/>
          <w:sz w:val="28"/>
          <w:szCs w:val="28"/>
          <w:lang w:val="en-US" w:eastAsia="zh-CN"/>
        </w:rPr>
        <w:t>29</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29</w:t>
      </w:r>
      <w:r>
        <w:rPr>
          <w:rFonts w:hint="eastAsia" w:ascii="仿宋_GB2312" w:eastAsia="仿宋_GB2312"/>
          <w:kern w:val="0"/>
          <w:sz w:val="28"/>
          <w:szCs w:val="28"/>
        </w:rPr>
        <w:t>人；</w:t>
      </w:r>
      <w:r>
        <w:rPr>
          <w:rFonts w:hint="eastAsia" w:ascii="仿宋_GB2312" w:eastAsia="仿宋_GB2312"/>
          <w:kern w:val="0"/>
          <w:sz w:val="28"/>
          <w:szCs w:val="28"/>
          <w:lang w:eastAsia="zh-CN"/>
        </w:rPr>
        <w:t>行政工勤编制</w:t>
      </w:r>
      <w:r>
        <w:rPr>
          <w:rFonts w:hint="eastAsia" w:ascii="仿宋_GB2312" w:eastAsia="仿宋_GB2312"/>
          <w:kern w:val="0"/>
          <w:sz w:val="28"/>
          <w:szCs w:val="28"/>
          <w:lang w:val="en-US" w:eastAsia="zh-CN"/>
        </w:rPr>
        <w:t>1人，实有人数1人；</w:t>
      </w:r>
      <w:r>
        <w:rPr>
          <w:rFonts w:hint="eastAsia" w:ascii="仿宋_GB2312" w:eastAsia="仿宋_GB2312"/>
          <w:kern w:val="0"/>
          <w:sz w:val="28"/>
          <w:szCs w:val="28"/>
        </w:rPr>
        <w:t>事业编制</w:t>
      </w:r>
      <w:r>
        <w:rPr>
          <w:rFonts w:hint="eastAsia" w:ascii="仿宋_GB2312" w:eastAsia="仿宋_GB2312"/>
          <w:kern w:val="0"/>
          <w:sz w:val="28"/>
          <w:szCs w:val="28"/>
          <w:lang w:val="en-US" w:eastAsia="zh-CN"/>
        </w:rPr>
        <w:t>42</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39</w:t>
      </w:r>
      <w:r>
        <w:rPr>
          <w:rFonts w:hint="eastAsia" w:ascii="仿宋_GB2312" w:eastAsia="仿宋_GB2312"/>
          <w:kern w:val="0"/>
          <w:sz w:val="28"/>
          <w:szCs w:val="28"/>
        </w:rPr>
        <w:t>人。</w:t>
      </w:r>
    </w:p>
    <w:p>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sz w:val="28"/>
          <w:szCs w:val="28"/>
          <w:lang w:val="en-US" w:eastAsia="zh-CN"/>
        </w:rPr>
        <w:t>3178.67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val="en-US" w:eastAsia="zh-CN"/>
        </w:rPr>
        <w:t>3028.33万元</w:t>
      </w:r>
      <w:r>
        <w:rPr>
          <w:rFonts w:ascii="仿宋_GB2312" w:eastAsia="仿宋_GB2312"/>
          <w:sz w:val="28"/>
          <w:szCs w:val="28"/>
        </w:rPr>
        <w:t>增加</w:t>
      </w:r>
      <w:r>
        <w:rPr>
          <w:rFonts w:hint="eastAsia" w:ascii="仿宋_GB2312" w:eastAsia="仿宋_GB2312"/>
          <w:sz w:val="28"/>
          <w:szCs w:val="28"/>
          <w:lang w:val="en-US" w:eastAsia="zh-CN"/>
        </w:rPr>
        <w:t>150.34</w:t>
      </w:r>
      <w:r>
        <w:rPr>
          <w:rFonts w:hint="eastAsia" w:ascii="仿宋_GB2312" w:eastAsia="仿宋_GB2312"/>
          <w:sz w:val="28"/>
          <w:szCs w:val="28"/>
        </w:rPr>
        <w:t>万元，增长</w:t>
      </w:r>
      <w:r>
        <w:rPr>
          <w:rFonts w:hint="eastAsia" w:ascii="仿宋_GB2312" w:eastAsia="仿宋_GB2312"/>
          <w:sz w:val="28"/>
          <w:szCs w:val="28"/>
          <w:lang w:val="en-US" w:eastAsia="zh-CN"/>
        </w:rPr>
        <w:t>4.96</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hint="eastAsia" w:ascii="仿宋_GB2312" w:eastAsia="仿宋_GB2312"/>
          <w:sz w:val="28"/>
          <w:szCs w:val="28"/>
          <w:lang w:val="en-US" w:eastAsia="zh-CN"/>
        </w:rPr>
        <w:t>3178.67</w:t>
      </w:r>
      <w:r>
        <w:rPr>
          <w:rFonts w:hint="eastAsia" w:ascii="仿宋_GB2312" w:eastAsia="仿宋_GB2312"/>
          <w:sz w:val="28"/>
          <w:szCs w:val="28"/>
        </w:rPr>
        <w:t>万元</w:t>
      </w:r>
      <w:r>
        <w:rPr>
          <w:rFonts w:hint="eastAsia" w:ascii="仿宋_GB2312" w:eastAsia="仿宋_GB2312"/>
          <w:sz w:val="28"/>
          <w:szCs w:val="28"/>
          <w:lang w:eastAsia="zh-CN"/>
        </w:rPr>
        <w:t>（其中：预算收入</w:t>
      </w:r>
      <w:r>
        <w:rPr>
          <w:rFonts w:hint="eastAsia" w:ascii="仿宋_GB2312" w:eastAsia="仿宋_GB2312"/>
          <w:sz w:val="28"/>
          <w:szCs w:val="28"/>
          <w:lang w:val="en-US" w:eastAsia="zh-CN"/>
        </w:rPr>
        <w:t>3155.4万元，上年结转收入23.27万元</w:t>
      </w:r>
      <w:r>
        <w:rPr>
          <w:rFonts w:hint="eastAsia" w:ascii="仿宋_GB2312" w:eastAsia="仿宋_GB2312"/>
          <w:sz w:val="28"/>
          <w:szCs w:val="28"/>
          <w:lang w:eastAsia="zh-CN"/>
        </w:rPr>
        <w:t>）</w:t>
      </w:r>
      <w:r>
        <w:rPr>
          <w:rFonts w:hint="eastAsia" w:ascii="仿宋_GB2312" w:eastAsia="仿宋_GB2312"/>
          <w:sz w:val="28"/>
          <w:szCs w:val="28"/>
        </w:rPr>
        <w:t>，</w:t>
      </w:r>
      <w:r>
        <w:rPr>
          <w:rFonts w:ascii="仿宋_GB2312" w:eastAsia="仿宋_GB2312"/>
          <w:sz w:val="28"/>
          <w:szCs w:val="28"/>
        </w:rPr>
        <w:t>比上年</w:t>
      </w:r>
      <w:r>
        <w:rPr>
          <w:rFonts w:hint="eastAsia" w:ascii="仿宋_GB2312" w:eastAsia="仿宋_GB2312"/>
          <w:sz w:val="28"/>
          <w:szCs w:val="28"/>
          <w:lang w:val="en-US" w:eastAsia="zh-CN"/>
        </w:rPr>
        <w:t>3028.33万元</w:t>
      </w:r>
      <w:r>
        <w:rPr>
          <w:rFonts w:ascii="仿宋_GB2312" w:eastAsia="仿宋_GB2312"/>
          <w:sz w:val="28"/>
          <w:szCs w:val="28"/>
        </w:rPr>
        <w:t>增加</w:t>
      </w:r>
      <w:r>
        <w:rPr>
          <w:rFonts w:hint="eastAsia" w:ascii="仿宋_GB2312" w:eastAsia="仿宋_GB2312"/>
          <w:sz w:val="28"/>
          <w:szCs w:val="28"/>
          <w:lang w:val="en-US" w:eastAsia="zh-CN"/>
        </w:rPr>
        <w:t>150.34</w:t>
      </w:r>
      <w:r>
        <w:rPr>
          <w:rFonts w:hint="eastAsia" w:ascii="仿宋_GB2312" w:eastAsia="仿宋_GB2312"/>
          <w:sz w:val="28"/>
          <w:szCs w:val="28"/>
        </w:rPr>
        <w:t>万元，增长</w:t>
      </w:r>
      <w:r>
        <w:rPr>
          <w:rFonts w:hint="eastAsia" w:ascii="仿宋_GB2312" w:eastAsia="仿宋_GB2312"/>
          <w:sz w:val="28"/>
          <w:szCs w:val="28"/>
          <w:lang w:val="en-US" w:eastAsia="zh-CN"/>
        </w:rPr>
        <w:t>4.96</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hint="eastAsia" w:ascii="仿宋_GB2312" w:eastAsia="仿宋_GB2312"/>
          <w:sz w:val="28"/>
          <w:szCs w:val="28"/>
          <w:lang w:val="en-US" w:eastAsia="zh-CN"/>
        </w:rPr>
        <w:t>3178.67</w:t>
      </w:r>
      <w:r>
        <w:rPr>
          <w:rFonts w:hint="eastAsia" w:ascii="仿宋_GB2312" w:eastAsia="仿宋_GB2312"/>
          <w:sz w:val="28"/>
          <w:szCs w:val="28"/>
        </w:rPr>
        <w:t>万元，占收入合计的</w:t>
      </w:r>
      <w:r>
        <w:rPr>
          <w:rFonts w:hint="eastAsia" w:ascii="仿宋_GB2312" w:eastAsia="仿宋_GB2312"/>
          <w:sz w:val="28"/>
          <w:szCs w:val="28"/>
          <w:lang w:val="en-US" w:eastAsia="zh-CN"/>
        </w:rPr>
        <w:t>100%</w:t>
      </w:r>
      <w:r>
        <w:rPr>
          <w:rFonts w:hint="eastAsia" w:ascii="仿宋_GB2312" w:eastAsia="仿宋_GB2312"/>
          <w:sz w:val="28"/>
          <w:szCs w:val="28"/>
        </w:rPr>
        <w:t>。其中：一般公共预算财政拨款收入</w:t>
      </w:r>
      <w:r>
        <w:rPr>
          <w:rFonts w:hint="eastAsia" w:ascii="仿宋_GB2312" w:eastAsia="仿宋_GB2312"/>
          <w:sz w:val="28"/>
          <w:szCs w:val="28"/>
          <w:lang w:val="en-US" w:eastAsia="zh-CN"/>
        </w:rPr>
        <w:t>3178.67</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%；政府性基金预算财政拨款收入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%；国有资本经营预算财政拨款收入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w:t>
      </w:r>
    </w:p>
    <w:p>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收入</w:t>
      </w:r>
      <w:r>
        <w:rPr>
          <w:rFonts w:hint="eastAsia" w:ascii="仿宋_GB2312" w:eastAsia="仿宋_GB2312" w:cs="Droid Sans"/>
          <w:color w:val="000000"/>
          <w:sz w:val="32"/>
          <w:szCs w:val="32"/>
          <w:highlight w:val="none"/>
          <w:lang w:eastAsia="zh-CN"/>
        </w:rPr>
        <w:t>金额制作饼状图，示例如下，无金额类型不必制图）</w:t>
      </w:r>
    </w:p>
    <w:p>
      <w:pPr>
        <w:pStyle w:val="5"/>
        <w:ind w:firstLine="0"/>
        <w:jc w:val="center"/>
        <w:rPr>
          <w:rFonts w:hint="default"/>
          <w:lang w:val="en-US"/>
        </w:rPr>
      </w:pPr>
      <w:r>
        <w:rPr>
          <w:rFonts w:hint="eastAsia" w:ascii="仿宋_GB2312" w:eastAsia="仿宋_GB2312"/>
          <w:color w:val="000000"/>
          <w:sz w:val="32"/>
          <w:szCs w:val="32"/>
          <w:highlight w:val="none"/>
          <w:lang w:val="en-US" w:eastAsia="zh-CN"/>
        </w:rPr>
        <w:t>图1：收入决算</w:t>
      </w:r>
    </w:p>
    <w:p>
      <w:pPr>
        <w:bidi w:val="0"/>
        <w:jc w:val="center"/>
        <w:rPr>
          <w:rFonts w:hint="eastAsia"/>
          <w:lang w:val="en-US" w:eastAsia="zh-CN"/>
        </w:rPr>
      </w:pPr>
      <w:r>
        <w:rPr>
          <w:rFonts w:hint="eastAsia"/>
          <w:lang w:val="en-US" w:eastAsia="zh-CN"/>
        </w:rPr>
        <w:drawing>
          <wp:inline distT="0" distB="0" distL="114300" distR="114300">
            <wp:extent cx="4408805" cy="2477770"/>
            <wp:effectExtent l="4445" t="5080" r="6350" b="12700"/>
            <wp:docPr id="2" name="图表 2"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hint="eastAsia" w:ascii="仿宋_GB2312" w:eastAsia="仿宋_GB2312"/>
          <w:sz w:val="28"/>
          <w:szCs w:val="28"/>
          <w:lang w:val="en-US" w:eastAsia="zh-CN"/>
        </w:rPr>
        <w:t>3178.67</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val="en-US" w:eastAsia="zh-CN"/>
        </w:rPr>
        <w:t>3028.33万元</w:t>
      </w:r>
      <w:r>
        <w:rPr>
          <w:rFonts w:ascii="仿宋_GB2312" w:eastAsia="仿宋_GB2312"/>
          <w:sz w:val="28"/>
          <w:szCs w:val="28"/>
        </w:rPr>
        <w:t>增加</w:t>
      </w:r>
      <w:r>
        <w:rPr>
          <w:rFonts w:hint="eastAsia" w:ascii="仿宋_GB2312" w:eastAsia="仿宋_GB2312"/>
          <w:sz w:val="28"/>
          <w:szCs w:val="28"/>
          <w:lang w:val="en-US" w:eastAsia="zh-CN"/>
        </w:rPr>
        <w:t>150.34</w:t>
      </w:r>
      <w:r>
        <w:rPr>
          <w:rFonts w:hint="eastAsia" w:ascii="仿宋_GB2312" w:eastAsia="仿宋_GB2312"/>
          <w:sz w:val="28"/>
          <w:szCs w:val="28"/>
        </w:rPr>
        <w:t>万元，增长</w:t>
      </w:r>
      <w:r>
        <w:rPr>
          <w:rFonts w:hint="eastAsia" w:ascii="仿宋_GB2312" w:eastAsia="仿宋_GB2312"/>
          <w:sz w:val="28"/>
          <w:szCs w:val="28"/>
          <w:lang w:val="en-US" w:eastAsia="zh-CN"/>
        </w:rPr>
        <w:t>4.96</w:t>
      </w:r>
      <w:r>
        <w:rPr>
          <w:rFonts w:hint="eastAsia" w:ascii="仿宋_GB2312" w:eastAsia="仿宋_GB2312"/>
          <w:sz w:val="28"/>
          <w:szCs w:val="28"/>
        </w:rPr>
        <w:t>%，其中：基本支出</w:t>
      </w:r>
      <w:r>
        <w:rPr>
          <w:rFonts w:hint="eastAsia" w:ascii="仿宋_GB2312" w:eastAsia="仿宋_GB2312"/>
          <w:sz w:val="28"/>
          <w:szCs w:val="28"/>
          <w:lang w:val="en-US" w:eastAsia="zh-CN"/>
        </w:rPr>
        <w:t>2232.36</w:t>
      </w:r>
      <w:r>
        <w:rPr>
          <w:rFonts w:hint="eastAsia" w:ascii="仿宋_GB2312" w:eastAsia="仿宋_GB2312"/>
          <w:sz w:val="28"/>
          <w:szCs w:val="28"/>
        </w:rPr>
        <w:t>万元，占支出合计的</w:t>
      </w:r>
      <w:r>
        <w:rPr>
          <w:rFonts w:hint="eastAsia" w:ascii="仿宋_GB2312" w:eastAsia="仿宋_GB2312"/>
          <w:sz w:val="28"/>
          <w:szCs w:val="28"/>
          <w:lang w:val="en-US" w:eastAsia="zh-CN"/>
        </w:rPr>
        <w:t>70.23</w:t>
      </w:r>
      <w:r>
        <w:rPr>
          <w:rFonts w:hint="eastAsia" w:ascii="仿宋_GB2312" w:eastAsia="仿宋_GB2312"/>
          <w:sz w:val="28"/>
          <w:szCs w:val="28"/>
        </w:rPr>
        <w:t>%；项目支出</w:t>
      </w:r>
      <w:r>
        <w:rPr>
          <w:rFonts w:hint="eastAsia" w:ascii="仿宋_GB2312" w:eastAsia="仿宋_GB2312"/>
          <w:sz w:val="28"/>
          <w:szCs w:val="28"/>
          <w:lang w:val="en-US" w:eastAsia="zh-CN"/>
        </w:rPr>
        <w:t>946.25</w:t>
      </w:r>
      <w:r>
        <w:rPr>
          <w:rFonts w:hint="eastAsia" w:ascii="仿宋_GB2312" w:eastAsia="仿宋_GB2312"/>
          <w:sz w:val="28"/>
          <w:szCs w:val="28"/>
        </w:rPr>
        <w:t>万元，占支出合计的</w:t>
      </w:r>
      <w:r>
        <w:rPr>
          <w:rFonts w:hint="eastAsia" w:ascii="仿宋_GB2312" w:eastAsia="仿宋_GB2312"/>
          <w:sz w:val="28"/>
          <w:szCs w:val="28"/>
          <w:lang w:val="en-US" w:eastAsia="zh-CN"/>
        </w:rPr>
        <w:t>29.77</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eastAsia="仿宋_GB2312"/>
          <w:sz w:val="28"/>
          <w:szCs w:val="28"/>
        </w:rPr>
        <w:t>上缴上级支出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%；经营支出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；对附属单位补助支出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w:t>
      </w:r>
    </w:p>
    <w:p>
      <w:pPr>
        <w:jc w:val="center"/>
        <w:rPr>
          <w:rFonts w:hint="eastAsia" w:ascii="黑体" w:eastAsia="黑体"/>
          <w:b/>
          <w:sz w:val="28"/>
          <w:szCs w:val="28"/>
          <w:lang w:eastAsia="zh-CN"/>
        </w:rPr>
      </w:pPr>
      <w:r>
        <w:rPr>
          <w:rFonts w:hint="eastAsia" w:ascii="黑体" w:eastAsia="黑体"/>
          <w:b/>
          <w:sz w:val="28"/>
          <w:szCs w:val="28"/>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sz w:val="28"/>
          <w:szCs w:val="28"/>
          <w:lang w:val="en-US" w:eastAsia="zh-CN"/>
        </w:rPr>
        <w:t>3177.27</w:t>
      </w:r>
      <w:r>
        <w:rPr>
          <w:rFonts w:hint="eastAsia" w:ascii="仿宋_GB2312" w:eastAsia="仿宋_GB2312"/>
          <w:sz w:val="28"/>
          <w:szCs w:val="28"/>
        </w:rPr>
        <w:t>万元，比上年</w:t>
      </w:r>
      <w:r>
        <w:rPr>
          <w:rFonts w:hint="eastAsia" w:ascii="仿宋_GB2312" w:eastAsia="仿宋_GB2312"/>
          <w:sz w:val="28"/>
          <w:szCs w:val="28"/>
          <w:lang w:val="en-US" w:eastAsia="zh-CN"/>
        </w:rPr>
        <w:t>3028.33万元</w:t>
      </w:r>
      <w:r>
        <w:rPr>
          <w:rFonts w:ascii="仿宋_GB2312" w:eastAsia="仿宋_GB2312"/>
          <w:sz w:val="28"/>
          <w:szCs w:val="28"/>
        </w:rPr>
        <w:t>增加</w:t>
      </w:r>
      <w:r>
        <w:rPr>
          <w:rFonts w:hint="eastAsia" w:ascii="仿宋_GB2312" w:eastAsia="仿宋_GB2312"/>
          <w:sz w:val="28"/>
          <w:szCs w:val="28"/>
          <w:lang w:val="en-US" w:eastAsia="zh-CN"/>
        </w:rPr>
        <w:t>148.94</w:t>
      </w:r>
      <w:r>
        <w:rPr>
          <w:rFonts w:hint="eastAsia" w:ascii="仿宋_GB2312" w:eastAsia="仿宋_GB2312"/>
          <w:sz w:val="28"/>
          <w:szCs w:val="28"/>
        </w:rPr>
        <w:t>万元，增长</w:t>
      </w:r>
      <w:r>
        <w:rPr>
          <w:rFonts w:hint="eastAsia" w:ascii="仿宋_GB2312" w:eastAsia="仿宋_GB2312"/>
          <w:sz w:val="28"/>
          <w:szCs w:val="28"/>
          <w:lang w:val="en-US" w:eastAsia="zh-CN"/>
        </w:rPr>
        <w:t>4.92</w:t>
      </w:r>
      <w:r>
        <w:rPr>
          <w:rFonts w:hint="eastAsia" w:ascii="仿宋_GB2312" w:eastAsia="仿宋_GB2312"/>
          <w:sz w:val="28"/>
          <w:szCs w:val="28"/>
        </w:rPr>
        <w:t>%。主要原因：</w:t>
      </w:r>
      <w:r>
        <w:rPr>
          <w:rFonts w:hint="eastAsia" w:ascii="仿宋_GB2312" w:eastAsia="仿宋_GB2312"/>
          <w:sz w:val="28"/>
          <w:szCs w:val="28"/>
          <w:lang w:eastAsia="zh-CN"/>
        </w:rPr>
        <w:t>增加项目经费</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hint="eastAsia" w:ascii="仿宋_GB2312" w:eastAsia="仿宋_GB2312"/>
          <w:sz w:val="28"/>
          <w:szCs w:val="28"/>
          <w:lang w:val="en-US" w:eastAsia="zh-CN"/>
        </w:rPr>
        <w:t>3177.27</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0.02</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0.0006</w:t>
      </w:r>
      <w:r>
        <w:rPr>
          <w:rFonts w:hint="eastAsia" w:ascii="仿宋_GB2312" w:eastAsia="仿宋_GB2312"/>
          <w:sz w:val="28"/>
          <w:szCs w:val="28"/>
        </w:rPr>
        <w:t>%；</w:t>
      </w:r>
      <w:r>
        <w:rPr>
          <w:rFonts w:hint="eastAsia" w:ascii="仿宋_GB2312" w:eastAsia="仿宋_GB2312"/>
          <w:sz w:val="28"/>
          <w:szCs w:val="28"/>
          <w:lang w:eastAsia="zh-CN"/>
        </w:rPr>
        <w:t>公共安全</w:t>
      </w:r>
      <w:r>
        <w:rPr>
          <w:rFonts w:hint="eastAsia" w:ascii="仿宋_GB2312" w:eastAsia="仿宋_GB2312"/>
          <w:sz w:val="28"/>
          <w:szCs w:val="28"/>
        </w:rPr>
        <w:t>支出</w:t>
      </w:r>
      <w:r>
        <w:rPr>
          <w:rFonts w:hint="eastAsia" w:ascii="仿宋_GB2312" w:eastAsia="仿宋_GB2312"/>
          <w:sz w:val="28"/>
          <w:szCs w:val="28"/>
          <w:lang w:val="en-US" w:eastAsia="zh-CN"/>
        </w:rPr>
        <w:t>2716.81</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85.51</w:t>
      </w: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lang w:val="en-US" w:eastAsia="zh-CN"/>
        </w:rPr>
        <w:t>303.55万元，占本年财政拨款支出9.55%；卫生健康支出156.89万元，占本年财政拨款支出4.94%</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w:t>
      </w:r>
      <w:r>
        <w:rPr>
          <w:rFonts w:hint="eastAsia" w:ascii="仿宋_GB2312" w:eastAsia="仿宋_GB2312"/>
          <w:sz w:val="28"/>
          <w:szCs w:val="28"/>
        </w:rPr>
        <w:t>“一般公共服务支出”（类）202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0.02</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0</w:t>
      </w:r>
      <w:r>
        <w:rPr>
          <w:rFonts w:hint="eastAsia" w:ascii="仿宋_GB2312" w:eastAsia="仿宋_GB2312"/>
          <w:sz w:val="28"/>
          <w:szCs w:val="28"/>
        </w:rPr>
        <w:t>万元，增长</w:t>
      </w:r>
      <w:r>
        <w:rPr>
          <w:rFonts w:hint="eastAsia" w:ascii="仿宋_GB2312" w:eastAsia="仿宋_GB2312"/>
          <w:sz w:val="28"/>
          <w:szCs w:val="28"/>
          <w:lang w:val="en-US" w:eastAsia="zh-CN"/>
        </w:rPr>
        <w:t>0</w:t>
      </w:r>
      <w:r>
        <w:rPr>
          <w:rFonts w:hint="eastAsia" w:ascii="仿宋_GB2312" w:eastAsia="仿宋_GB2312"/>
          <w:sz w:val="28"/>
          <w:szCs w:val="28"/>
        </w:rPr>
        <w:t>%。</w:t>
      </w:r>
    </w:p>
    <w:p>
      <w:pPr>
        <w:numPr>
          <w:ilvl w:val="0"/>
          <w:numId w:val="0"/>
        </w:num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2.</w:t>
      </w:r>
      <w:r>
        <w:rPr>
          <w:rFonts w:hint="eastAsia" w:ascii="仿宋_GB2312" w:eastAsia="仿宋_GB2312"/>
          <w:sz w:val="28"/>
          <w:szCs w:val="28"/>
        </w:rPr>
        <w:t>“</w:t>
      </w:r>
      <w:r>
        <w:rPr>
          <w:rFonts w:hint="eastAsia" w:ascii="仿宋_GB2312" w:eastAsia="仿宋_GB2312"/>
          <w:sz w:val="28"/>
          <w:szCs w:val="28"/>
          <w:lang w:eastAsia="zh-CN"/>
        </w:rPr>
        <w:t>公共安全支出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2716.81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年年初</w:t>
      </w:r>
      <w:r>
        <w:rPr>
          <w:rFonts w:hint="eastAsia" w:ascii="仿宋_GB2312" w:eastAsia="仿宋_GB2312"/>
          <w:sz w:val="28"/>
          <w:szCs w:val="28"/>
          <w:lang w:val="en-US" w:eastAsia="zh-CN"/>
        </w:rPr>
        <w:t>1966.88万元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749.93</w:t>
      </w:r>
      <w:r>
        <w:rPr>
          <w:rFonts w:hint="eastAsia" w:ascii="仿宋_GB2312" w:eastAsia="仿宋_GB2312"/>
          <w:sz w:val="28"/>
          <w:szCs w:val="28"/>
        </w:rPr>
        <w:t>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38.13</w:t>
      </w:r>
      <w:r>
        <w:rPr>
          <w:rFonts w:hint="eastAsia" w:ascii="仿宋_GB2312" w:eastAsia="仿宋_GB2312"/>
          <w:sz w:val="28"/>
          <w:szCs w:val="28"/>
        </w:rPr>
        <w:t>%</w:t>
      </w:r>
      <w:r>
        <w:rPr>
          <w:rFonts w:hint="eastAsia" w:ascii="仿宋_GB2312" w:eastAsia="仿宋_GB2312"/>
          <w:sz w:val="28"/>
          <w:szCs w:val="28"/>
          <w:lang w:eastAsia="zh-CN"/>
        </w:rPr>
        <w:t>，原因：均为本年度正常增资预算。</w:t>
      </w:r>
    </w:p>
    <w:p>
      <w:pPr>
        <w:numPr>
          <w:ilvl w:val="0"/>
          <w:numId w:val="0"/>
        </w:num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eastAsia="zh-CN"/>
        </w:rPr>
        <w:t>社会保障和就业支出</w:t>
      </w:r>
      <w:r>
        <w:rPr>
          <w:rFonts w:hint="eastAsia" w:ascii="仿宋_GB2312" w:eastAsia="仿宋_GB2312"/>
          <w:sz w:val="28"/>
          <w:szCs w:val="28"/>
        </w:rPr>
        <w:t>”(类)20</w:t>
      </w:r>
      <w:r>
        <w:rPr>
          <w:rFonts w:hint="eastAsia" w:ascii="仿宋_GB2312" w:eastAsia="仿宋_GB2312"/>
          <w:sz w:val="28"/>
          <w:szCs w:val="28"/>
          <w:lang w:val="en-US" w:eastAsia="zh-CN"/>
        </w:rPr>
        <w:t>23</w:t>
      </w:r>
      <w:r>
        <w:rPr>
          <w:rFonts w:hint="eastAsia" w:ascii="仿宋_GB2312" w:eastAsia="仿宋_GB2312"/>
          <w:sz w:val="28"/>
          <w:szCs w:val="28"/>
        </w:rPr>
        <w:t>年度决算</w:t>
      </w:r>
      <w:r>
        <w:rPr>
          <w:rFonts w:hint="eastAsia" w:ascii="仿宋_GB2312" w:eastAsia="仿宋_GB2312"/>
          <w:sz w:val="28"/>
          <w:szCs w:val="28"/>
          <w:lang w:val="en-US" w:eastAsia="zh-CN"/>
        </w:rPr>
        <w:t>303.55</w:t>
      </w:r>
      <w:r>
        <w:rPr>
          <w:rFonts w:hint="eastAsia" w:ascii="仿宋_GB2312" w:eastAsia="仿宋_GB2312"/>
          <w:sz w:val="28"/>
          <w:szCs w:val="28"/>
        </w:rPr>
        <w:t>万元，比20</w:t>
      </w:r>
      <w:r>
        <w:rPr>
          <w:rFonts w:hint="eastAsia" w:ascii="仿宋_GB2312" w:eastAsia="仿宋_GB2312"/>
          <w:sz w:val="28"/>
          <w:szCs w:val="28"/>
          <w:lang w:val="en-US" w:eastAsia="zh-CN"/>
        </w:rPr>
        <w:t>23</w:t>
      </w:r>
      <w:r>
        <w:rPr>
          <w:rFonts w:hint="eastAsia" w:ascii="仿宋_GB2312" w:eastAsia="仿宋_GB2312"/>
          <w:sz w:val="28"/>
          <w:szCs w:val="28"/>
        </w:rPr>
        <w:t>年初预算</w:t>
      </w:r>
      <w:r>
        <w:rPr>
          <w:rFonts w:hint="eastAsia" w:ascii="仿宋_GB2312" w:eastAsia="仿宋_GB2312"/>
          <w:sz w:val="28"/>
          <w:szCs w:val="28"/>
          <w:lang w:val="en-US" w:eastAsia="zh-CN"/>
        </w:rPr>
        <w:t>282.82增加20.73</w:t>
      </w:r>
      <w:r>
        <w:rPr>
          <w:rFonts w:hint="eastAsia" w:ascii="仿宋_GB2312" w:eastAsia="仿宋_GB2312"/>
          <w:sz w:val="28"/>
          <w:szCs w:val="28"/>
        </w:rPr>
        <w:t>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7.33</w:t>
      </w:r>
      <w:r>
        <w:rPr>
          <w:rFonts w:hint="eastAsia" w:ascii="仿宋_GB2312" w:eastAsia="仿宋_GB2312"/>
          <w:sz w:val="28"/>
          <w:szCs w:val="28"/>
        </w:rPr>
        <w:t>%</w:t>
      </w:r>
      <w:r>
        <w:rPr>
          <w:rFonts w:hint="eastAsia" w:ascii="仿宋_GB2312" w:eastAsia="仿宋_GB2312"/>
          <w:sz w:val="28"/>
          <w:szCs w:val="28"/>
          <w:lang w:eastAsia="zh-CN"/>
        </w:rPr>
        <w:t>，原因：均为本年度正常增资预算。</w:t>
      </w:r>
    </w:p>
    <w:p>
      <w:pPr>
        <w:numPr>
          <w:ilvl w:val="0"/>
          <w:numId w:val="0"/>
        </w:num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eastAsia="zh-CN"/>
        </w:rPr>
        <w:t>卫生健康支出</w:t>
      </w:r>
      <w:r>
        <w:rPr>
          <w:rFonts w:hint="eastAsia" w:ascii="仿宋_GB2312" w:eastAsia="仿宋_GB2312"/>
          <w:sz w:val="28"/>
          <w:szCs w:val="28"/>
        </w:rPr>
        <w:t>”(类)20</w:t>
      </w:r>
      <w:r>
        <w:rPr>
          <w:rFonts w:hint="eastAsia" w:ascii="仿宋_GB2312" w:eastAsia="仿宋_GB2312"/>
          <w:sz w:val="28"/>
          <w:szCs w:val="28"/>
          <w:lang w:val="en-US" w:eastAsia="zh-CN"/>
        </w:rPr>
        <w:t>23</w:t>
      </w:r>
      <w:r>
        <w:rPr>
          <w:rFonts w:hint="eastAsia" w:ascii="仿宋_GB2312" w:eastAsia="仿宋_GB2312"/>
          <w:sz w:val="28"/>
          <w:szCs w:val="28"/>
        </w:rPr>
        <w:t>年度决算</w:t>
      </w:r>
      <w:r>
        <w:rPr>
          <w:rFonts w:hint="eastAsia" w:ascii="仿宋_GB2312" w:eastAsia="仿宋_GB2312"/>
          <w:sz w:val="28"/>
          <w:szCs w:val="28"/>
          <w:lang w:val="en-US" w:eastAsia="zh-CN"/>
        </w:rPr>
        <w:t>156.89</w:t>
      </w:r>
      <w:r>
        <w:rPr>
          <w:rFonts w:hint="eastAsia" w:ascii="仿宋_GB2312" w:eastAsia="仿宋_GB2312"/>
          <w:sz w:val="28"/>
          <w:szCs w:val="28"/>
        </w:rPr>
        <w:t>万元，比20</w:t>
      </w:r>
      <w:r>
        <w:rPr>
          <w:rFonts w:hint="eastAsia" w:ascii="仿宋_GB2312" w:eastAsia="仿宋_GB2312"/>
          <w:sz w:val="28"/>
          <w:szCs w:val="28"/>
          <w:lang w:val="en-US" w:eastAsia="zh-CN"/>
        </w:rPr>
        <w:t>23</w:t>
      </w:r>
      <w:r>
        <w:rPr>
          <w:rFonts w:hint="eastAsia" w:ascii="仿宋_GB2312" w:eastAsia="仿宋_GB2312"/>
          <w:sz w:val="28"/>
          <w:szCs w:val="28"/>
        </w:rPr>
        <w:t>年年初预算</w:t>
      </w:r>
      <w:r>
        <w:rPr>
          <w:rFonts w:hint="eastAsia" w:ascii="仿宋_GB2312" w:eastAsia="仿宋_GB2312"/>
          <w:sz w:val="28"/>
          <w:szCs w:val="28"/>
          <w:lang w:val="en-US" w:eastAsia="zh-CN"/>
        </w:rPr>
        <w:t>152.74万元增加4.15</w:t>
      </w:r>
      <w:r>
        <w:rPr>
          <w:rFonts w:hint="eastAsia" w:ascii="仿宋_GB2312" w:eastAsia="仿宋_GB2312"/>
          <w:sz w:val="28"/>
          <w:szCs w:val="28"/>
        </w:rPr>
        <w:t>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2.72</w:t>
      </w:r>
      <w:r>
        <w:rPr>
          <w:rFonts w:hint="eastAsia" w:ascii="仿宋_GB2312" w:eastAsia="仿宋_GB2312"/>
          <w:sz w:val="28"/>
          <w:szCs w:val="28"/>
        </w:rPr>
        <w:t>%</w:t>
      </w:r>
      <w:r>
        <w:rPr>
          <w:rFonts w:hint="eastAsia" w:ascii="仿宋_GB2312" w:eastAsia="仿宋_GB2312"/>
          <w:sz w:val="28"/>
          <w:szCs w:val="28"/>
          <w:lang w:eastAsia="zh-CN"/>
        </w:rPr>
        <w:t>，原因：均为本年度正常增资预算。</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val="en-US" w:eastAsia="zh-CN"/>
        </w:rPr>
        <w:t>。</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w:t>
      </w:r>
      <w:r>
        <w:rPr>
          <w:rFonts w:hint="eastAsia" w:ascii="仿宋_GB2312" w:eastAsia="仿宋_GB2312"/>
          <w:sz w:val="28"/>
          <w:szCs w:val="28"/>
          <w:lang w:val="en-US" w:eastAsia="zh-CN"/>
        </w:rPr>
        <w:t>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w:t>
      </w:r>
      <w:r>
        <w:rPr>
          <w:rFonts w:hint="eastAsia" w:ascii="仿宋_GB2312" w:eastAsia="仿宋_GB2312"/>
          <w:sz w:val="28"/>
          <w:szCs w:val="28"/>
          <w:lang w:val="en-US" w:eastAsia="zh-CN"/>
        </w:rPr>
        <w:t>0</w:t>
      </w:r>
      <w:r>
        <w:rPr>
          <w:rFonts w:hint="eastAsia" w:ascii="仿宋_GB2312" w:eastAsia="仿宋_GB2312"/>
          <w:sz w:val="28"/>
          <w:szCs w:val="28"/>
        </w:rPr>
        <w:t>万元。</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hint="eastAsia" w:ascii="仿宋_GB2312" w:eastAsia="仿宋_GB2312"/>
          <w:sz w:val="28"/>
          <w:szCs w:val="28"/>
          <w:lang w:val="en-US" w:eastAsia="zh-CN"/>
        </w:rPr>
        <w:t>2232.36</w:t>
      </w:r>
      <w:r>
        <w:rPr>
          <w:rFonts w:hint="eastAsia" w:ascii="仿宋_GB2312" w:eastAsia="仿宋_GB2312"/>
          <w:sz w:val="28"/>
          <w:szCs w:val="28"/>
        </w:rPr>
        <w:t>万元，使用政府性基金财政拨款安排基本支出</w:t>
      </w:r>
      <w:r>
        <w:rPr>
          <w:rFonts w:hint="eastAsia" w:ascii="仿宋_GB2312" w:eastAsia="仿宋_GB2312"/>
          <w:sz w:val="28"/>
          <w:szCs w:val="28"/>
          <w:lang w:val="en-US" w:eastAsia="zh-CN"/>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w:t>
      </w:r>
      <w:r>
        <w:rPr>
          <w:rFonts w:hint="eastAsia" w:ascii="仿宋_GB2312" w:eastAsia="仿宋_GB2312"/>
          <w:sz w:val="28"/>
          <w:szCs w:val="28"/>
          <w:lang w:val="en-US" w:eastAsia="zh-CN"/>
        </w:rPr>
        <w:t>1</w:t>
      </w:r>
      <w:r>
        <w:rPr>
          <w:rFonts w:hint="eastAsia" w:ascii="仿宋_GB2312" w:eastAsia="仿宋_GB2312"/>
          <w:sz w:val="28"/>
          <w:szCs w:val="28"/>
        </w:rPr>
        <w:t>个行政单位、</w:t>
      </w:r>
      <w:r>
        <w:rPr>
          <w:rFonts w:hint="eastAsia" w:ascii="仿宋_GB2312" w:eastAsia="仿宋_GB2312"/>
          <w:sz w:val="28"/>
          <w:szCs w:val="28"/>
          <w:lang w:val="en-US" w:eastAsia="zh-CN"/>
        </w:rPr>
        <w:t>1</w:t>
      </w:r>
      <w:r>
        <w:rPr>
          <w:rFonts w:hint="eastAsia" w:ascii="仿宋_GB2312" w:eastAsia="仿宋_GB2312"/>
          <w:sz w:val="28"/>
          <w:szCs w:val="28"/>
        </w:rPr>
        <w:t>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lang w:val="en-US" w:eastAsia="zh-CN"/>
        </w:rPr>
        <w:t>4</w:t>
      </w:r>
      <w:r>
        <w:rPr>
          <w:rFonts w:hint="eastAsia" w:ascii="仿宋_GB2312" w:eastAsia="仿宋_GB2312"/>
          <w:bCs/>
          <w:sz w:val="28"/>
          <w:szCs w:val="28"/>
        </w:rPr>
        <w:t>个</w:t>
      </w:r>
      <w:r>
        <w:rPr>
          <w:rFonts w:hint="eastAsia" w:ascii="仿宋_GB2312" w:eastAsia="仿宋_GB2312"/>
          <w:sz w:val="28"/>
          <w:szCs w:val="28"/>
        </w:rPr>
        <w:t>事业单位。202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hint="eastAsia" w:ascii="仿宋_GB2312" w:eastAsia="仿宋_GB2312"/>
          <w:sz w:val="28"/>
          <w:szCs w:val="28"/>
          <w:lang w:val="en-US" w:eastAsia="zh-CN"/>
        </w:rPr>
        <w:t>18.56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hint="eastAsia" w:ascii="仿宋_GB2312" w:eastAsia="仿宋_GB2312"/>
          <w:sz w:val="28"/>
          <w:szCs w:val="28"/>
          <w:lang w:val="en-US" w:eastAsia="zh-CN"/>
        </w:rPr>
        <w:t>25.46</w:t>
      </w:r>
      <w:r>
        <w:rPr>
          <w:rFonts w:hint="eastAsia" w:ascii="仿宋_GB2312" w:eastAsia="仿宋_GB2312"/>
          <w:sz w:val="28"/>
          <w:szCs w:val="28"/>
        </w:rPr>
        <w:t>万元减少</w:t>
      </w:r>
      <w:r>
        <w:rPr>
          <w:rFonts w:hint="eastAsia" w:ascii="仿宋_GB2312" w:eastAsia="仿宋_GB2312"/>
          <w:sz w:val="28"/>
          <w:szCs w:val="28"/>
          <w:lang w:val="en-US" w:eastAsia="zh-CN"/>
        </w:rPr>
        <w:t>6.91</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与</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持平</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年度组织因公出国（境）团组</w:t>
      </w:r>
      <w:r>
        <w:rPr>
          <w:rFonts w:hint="default" w:ascii="仿宋_GB2312" w:eastAsia="仿宋_GB2312"/>
          <w:sz w:val="28"/>
          <w:szCs w:val="28"/>
          <w:lang w:val="en"/>
        </w:rPr>
        <w:t>0</w:t>
      </w:r>
      <w:r>
        <w:rPr>
          <w:rFonts w:hint="eastAsia" w:ascii="仿宋_GB2312" w:eastAsia="仿宋_GB2312"/>
          <w:sz w:val="28"/>
          <w:szCs w:val="28"/>
        </w:rPr>
        <w:t>个、</w:t>
      </w:r>
      <w:r>
        <w:rPr>
          <w:rFonts w:hint="default" w:ascii="仿宋_GB2312" w:eastAsia="仿宋_GB2312"/>
          <w:sz w:val="28"/>
          <w:szCs w:val="28"/>
          <w:lang w:val="en"/>
        </w:rPr>
        <w:t>0</w:t>
      </w:r>
      <w:r>
        <w:rPr>
          <w:rFonts w:hint="eastAsia" w:ascii="仿宋_GB2312" w:eastAsia="仿宋_GB2312"/>
          <w:sz w:val="28"/>
          <w:szCs w:val="28"/>
        </w:rPr>
        <w:t>人次，人均因公出国（境）费用</w:t>
      </w:r>
      <w:r>
        <w:rPr>
          <w:rFonts w:hint="default" w:ascii="仿宋_GB2312" w:eastAsia="仿宋_GB2312"/>
          <w:sz w:val="28"/>
          <w:szCs w:val="28"/>
          <w:lang w:val="en"/>
        </w:rPr>
        <w:t>0</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default" w:ascii="仿宋_GB2312" w:eastAsia="仿宋_GB2312"/>
          <w:sz w:val="28"/>
          <w:szCs w:val="28"/>
          <w:lang w:val="en"/>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hint="default" w:ascii="仿宋_GB2312" w:eastAsia="仿宋_GB2312"/>
          <w:sz w:val="28"/>
          <w:szCs w:val="28"/>
          <w:lang w:val="en"/>
        </w:rPr>
        <w:t>0</w:t>
      </w:r>
      <w:r>
        <w:rPr>
          <w:rFonts w:hint="eastAsia" w:ascii="仿宋_GB2312" w:eastAsia="仿宋_GB2312"/>
          <w:sz w:val="28"/>
          <w:szCs w:val="28"/>
        </w:rPr>
        <w:t>万元</w:t>
      </w:r>
      <w:r>
        <w:rPr>
          <w:rFonts w:hint="eastAsia" w:ascii="仿宋_GB2312" w:eastAsia="仿宋_GB2312"/>
          <w:sz w:val="28"/>
          <w:szCs w:val="28"/>
          <w:lang w:eastAsia="zh-CN"/>
        </w:rPr>
        <w:t>持平</w:t>
      </w:r>
      <w:r>
        <w:rPr>
          <w:rFonts w:hint="eastAsia" w:ascii="仿宋_GB2312" w:eastAsia="仿宋_GB2312"/>
          <w:sz w:val="28"/>
          <w:szCs w:val="28"/>
        </w:rPr>
        <w:t>。公务接待</w:t>
      </w:r>
      <w:r>
        <w:rPr>
          <w:rFonts w:hint="eastAsia" w:ascii="仿宋_GB2312" w:eastAsia="仿宋_GB2312"/>
          <w:sz w:val="28"/>
          <w:szCs w:val="28"/>
          <w:lang w:val="en-US" w:eastAsia="zh-CN"/>
        </w:rPr>
        <w:t>0</w:t>
      </w:r>
      <w:r>
        <w:rPr>
          <w:rFonts w:hint="eastAsia" w:ascii="仿宋_GB2312" w:eastAsia="仿宋_GB2312"/>
          <w:sz w:val="28"/>
          <w:szCs w:val="28"/>
        </w:rPr>
        <w:t>批次，公务接待</w:t>
      </w:r>
      <w:r>
        <w:rPr>
          <w:rFonts w:hint="eastAsia" w:ascii="仿宋_GB2312" w:eastAsia="仿宋_GB2312"/>
          <w:sz w:val="28"/>
          <w:szCs w:val="28"/>
          <w:lang w:val="en-US" w:eastAsia="zh-CN"/>
        </w:rPr>
        <w:t>0</w:t>
      </w:r>
      <w:r>
        <w:rPr>
          <w:rFonts w:hint="eastAsia" w:ascii="仿宋_GB2312" w:eastAsia="仿宋_GB2312"/>
          <w:sz w:val="28"/>
          <w:szCs w:val="28"/>
        </w:rPr>
        <w:t>人次。</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lang w:val="en-US" w:eastAsia="zh-CN"/>
        </w:rPr>
        <w:t>18.56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hint="eastAsia" w:ascii="仿宋_GB2312" w:eastAsia="仿宋_GB2312"/>
          <w:sz w:val="28"/>
          <w:szCs w:val="28"/>
          <w:lang w:val="en-US" w:eastAsia="zh-CN"/>
        </w:rPr>
        <w:t>25.46</w:t>
      </w:r>
      <w:r>
        <w:rPr>
          <w:rFonts w:hint="eastAsia" w:ascii="仿宋_GB2312" w:eastAsia="仿宋_GB2312"/>
          <w:sz w:val="28"/>
          <w:szCs w:val="28"/>
        </w:rPr>
        <w:t>万元减少</w:t>
      </w:r>
      <w:r>
        <w:rPr>
          <w:rFonts w:hint="eastAsia" w:ascii="仿宋_GB2312" w:eastAsia="仿宋_GB2312"/>
          <w:sz w:val="28"/>
          <w:szCs w:val="28"/>
          <w:lang w:val="en-US" w:eastAsia="zh-CN"/>
        </w:rPr>
        <w:t>6.91</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lang w:val="en-US" w:eastAsia="zh-CN"/>
        </w:rPr>
        <w:t>18.56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hint="eastAsia" w:ascii="仿宋_GB2312" w:eastAsia="仿宋_GB2312"/>
          <w:sz w:val="28"/>
          <w:szCs w:val="28"/>
          <w:lang w:val="en-US" w:eastAsia="zh-CN"/>
        </w:rPr>
        <w:t>70.65</w:t>
      </w:r>
      <w:r>
        <w:rPr>
          <w:rFonts w:hint="eastAsia" w:ascii="仿宋_GB2312" w:eastAsia="仿宋_GB2312"/>
          <w:sz w:val="28"/>
          <w:szCs w:val="28"/>
        </w:rPr>
        <w:t>万元减少</w:t>
      </w:r>
      <w:r>
        <w:rPr>
          <w:rFonts w:hint="eastAsia" w:ascii="仿宋_GB2312" w:eastAsia="仿宋_GB2312"/>
          <w:sz w:val="28"/>
          <w:szCs w:val="28"/>
          <w:lang w:val="en-US" w:eastAsia="zh-CN"/>
        </w:rPr>
        <w:t>52.09</w:t>
      </w:r>
      <w:r>
        <w:rPr>
          <w:rFonts w:hint="eastAsia" w:ascii="仿宋_GB2312" w:eastAsia="仿宋_GB2312"/>
          <w:sz w:val="28"/>
          <w:szCs w:val="28"/>
        </w:rPr>
        <w:t>万元。主要原因：</w:t>
      </w:r>
      <w:r>
        <w:rPr>
          <w:rFonts w:hint="eastAsia" w:ascii="仿宋_GB2312" w:eastAsia="仿宋_GB2312"/>
          <w:sz w:val="28"/>
          <w:szCs w:val="28"/>
          <w:lang w:eastAsia="zh-CN"/>
        </w:rPr>
        <w:t>节约运行成本</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年度购置（更新）</w:t>
      </w:r>
      <w:r>
        <w:rPr>
          <w:rFonts w:hint="eastAsia" w:ascii="仿宋_GB2312" w:eastAsia="仿宋_GB2312"/>
          <w:sz w:val="28"/>
          <w:szCs w:val="28"/>
          <w:lang w:val="en-US" w:eastAsia="zh-CN"/>
        </w:rPr>
        <w:t>0</w:t>
      </w:r>
      <w:r>
        <w:rPr>
          <w:rFonts w:hint="eastAsia" w:ascii="仿宋_GB2312" w:eastAsia="仿宋_GB2312"/>
          <w:sz w:val="28"/>
          <w:szCs w:val="28"/>
        </w:rPr>
        <w:t>辆，车均购置费</w:t>
      </w:r>
      <w:r>
        <w:rPr>
          <w:rFonts w:hint="eastAsia" w:ascii="仿宋_GB2312" w:eastAsia="仿宋_GB2312"/>
          <w:sz w:val="28"/>
          <w:szCs w:val="28"/>
          <w:lang w:val="en-US" w:eastAsia="zh-CN"/>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highlight w:val="none"/>
          <w:lang w:val="en-US" w:eastAsia="zh-CN"/>
        </w:rPr>
        <w:t>18.56</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hint="eastAsia" w:ascii="仿宋_GB2312" w:eastAsia="仿宋_GB2312"/>
          <w:sz w:val="28"/>
          <w:szCs w:val="28"/>
          <w:highlight w:val="none"/>
          <w:lang w:val="en-US" w:eastAsia="zh-CN"/>
        </w:rPr>
        <w:t>70.65</w:t>
      </w:r>
      <w:r>
        <w:rPr>
          <w:rFonts w:hint="eastAsia" w:ascii="仿宋_GB2312" w:eastAsia="仿宋_GB2312"/>
          <w:sz w:val="28"/>
          <w:szCs w:val="28"/>
        </w:rPr>
        <w:t>万元增加减少</w:t>
      </w:r>
      <w:r>
        <w:rPr>
          <w:rFonts w:hint="eastAsia" w:ascii="仿宋_GB2312" w:eastAsia="仿宋_GB2312"/>
          <w:sz w:val="28"/>
          <w:szCs w:val="28"/>
          <w:highlight w:val="none"/>
          <w:lang w:val="en-US" w:eastAsia="zh-CN"/>
        </w:rPr>
        <w:t>6.91</w:t>
      </w:r>
      <w:r>
        <w:rPr>
          <w:rFonts w:hint="eastAsia" w:ascii="仿宋_GB2312" w:eastAsia="仿宋_GB2312"/>
          <w:sz w:val="28"/>
          <w:szCs w:val="28"/>
        </w:rPr>
        <w:t>万元，主要原因：</w:t>
      </w:r>
      <w:r>
        <w:rPr>
          <w:rFonts w:hint="eastAsia" w:ascii="仿宋_GB2312" w:eastAsia="仿宋_GB2312"/>
          <w:sz w:val="28"/>
          <w:szCs w:val="28"/>
          <w:lang w:eastAsia="zh-CN"/>
        </w:rPr>
        <w:t>节约运行成本</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hint="eastAsia" w:ascii="仿宋_GB2312" w:eastAsia="仿宋_GB2312"/>
          <w:sz w:val="28"/>
          <w:szCs w:val="28"/>
          <w:highlight w:val="none"/>
          <w:lang w:val="en-US" w:eastAsia="zh-CN"/>
        </w:rPr>
        <w:t>6.9</w:t>
      </w:r>
      <w:r>
        <w:rPr>
          <w:rFonts w:hint="eastAsia" w:ascii="仿宋_GB2312" w:eastAsia="仿宋_GB2312"/>
          <w:sz w:val="28"/>
          <w:szCs w:val="28"/>
        </w:rPr>
        <w:t>万元，公务用车维修</w:t>
      </w:r>
      <w:r>
        <w:rPr>
          <w:rFonts w:hint="eastAsia" w:ascii="仿宋_GB2312" w:eastAsia="仿宋_GB2312"/>
          <w:sz w:val="28"/>
          <w:szCs w:val="28"/>
          <w:highlight w:val="none"/>
          <w:lang w:val="en-US" w:eastAsia="zh-CN"/>
        </w:rPr>
        <w:t>5.94</w:t>
      </w:r>
      <w:r>
        <w:rPr>
          <w:rFonts w:hint="eastAsia" w:ascii="仿宋_GB2312" w:eastAsia="仿宋_GB2312"/>
          <w:sz w:val="28"/>
          <w:szCs w:val="28"/>
        </w:rPr>
        <w:t>万元，公务用车保险</w:t>
      </w:r>
      <w:r>
        <w:rPr>
          <w:rFonts w:hint="eastAsia" w:ascii="仿宋_GB2312" w:eastAsia="仿宋_GB2312"/>
          <w:sz w:val="28"/>
          <w:szCs w:val="28"/>
          <w:highlight w:val="none"/>
          <w:lang w:val="en-US" w:eastAsia="zh-CN"/>
        </w:rPr>
        <w:t>4.14</w:t>
      </w:r>
      <w:r>
        <w:rPr>
          <w:rFonts w:hint="eastAsia" w:ascii="仿宋_GB2312" w:eastAsia="仿宋_GB2312"/>
          <w:sz w:val="28"/>
          <w:szCs w:val="28"/>
        </w:rPr>
        <w:t>万元，公务用车其他支出</w:t>
      </w:r>
      <w:r>
        <w:rPr>
          <w:rFonts w:hint="eastAsia" w:ascii="仿宋_GB2312" w:eastAsia="仿宋_GB2312"/>
          <w:sz w:val="28"/>
          <w:szCs w:val="28"/>
          <w:lang w:val="en-US" w:eastAsia="zh-CN"/>
        </w:rPr>
        <w:t>1.58</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26</w:t>
      </w:r>
      <w:r>
        <w:rPr>
          <w:rFonts w:hint="eastAsia" w:ascii="仿宋_GB2312" w:eastAsia="仿宋_GB2312"/>
          <w:sz w:val="28"/>
          <w:szCs w:val="28"/>
        </w:rPr>
        <w:t>辆，车均运行维护费</w:t>
      </w:r>
      <w:r>
        <w:rPr>
          <w:rFonts w:hint="eastAsia" w:ascii="仿宋_GB2312" w:eastAsia="仿宋_GB2312"/>
          <w:sz w:val="28"/>
          <w:szCs w:val="28"/>
          <w:lang w:val="en-US" w:eastAsia="zh-CN"/>
        </w:rPr>
        <w:t>0.71</w:t>
      </w:r>
      <w:r>
        <w:rPr>
          <w:rFonts w:hint="eastAsia" w:ascii="仿宋_GB2312" w:eastAsia="仿宋_GB2312"/>
          <w:sz w:val="28"/>
          <w:szCs w:val="28"/>
        </w:rPr>
        <w:t>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年度使用财政拨款安排的基本支出中的日常公用经费支出，合计</w:t>
      </w:r>
      <w:r>
        <w:rPr>
          <w:rFonts w:hint="eastAsia" w:ascii="仿宋_GB2312" w:eastAsia="仿宋_GB2312"/>
          <w:sz w:val="28"/>
          <w:szCs w:val="28"/>
          <w:lang w:val="en-US" w:eastAsia="zh-CN"/>
        </w:rPr>
        <w:t>126.17</w:t>
      </w:r>
      <w:r>
        <w:rPr>
          <w:rFonts w:hint="eastAsia" w:ascii="仿宋_GB2312" w:eastAsia="仿宋_GB2312"/>
          <w:sz w:val="28"/>
          <w:szCs w:val="28"/>
        </w:rPr>
        <w:t>万元，比上年</w:t>
      </w:r>
      <w:r>
        <w:rPr>
          <w:rFonts w:hint="eastAsia" w:ascii="仿宋_GB2312" w:eastAsia="仿宋_GB2312"/>
          <w:sz w:val="28"/>
          <w:szCs w:val="28"/>
          <w:lang w:val="en-US" w:eastAsia="zh-CN"/>
        </w:rPr>
        <w:t>119.73万元</w:t>
      </w:r>
      <w:r>
        <w:rPr>
          <w:rFonts w:hint="eastAsia" w:ascii="仿宋_GB2312" w:eastAsia="仿宋_GB2312"/>
          <w:sz w:val="28"/>
          <w:szCs w:val="28"/>
        </w:rPr>
        <w:t>增加</w:t>
      </w:r>
      <w:r>
        <w:rPr>
          <w:rFonts w:hint="eastAsia" w:ascii="仿宋_GB2312" w:eastAsia="仿宋_GB2312"/>
          <w:sz w:val="28"/>
          <w:szCs w:val="28"/>
          <w:lang w:val="en-US" w:eastAsia="zh-CN"/>
        </w:rPr>
        <w:t>6.44</w:t>
      </w:r>
      <w:r>
        <w:rPr>
          <w:rFonts w:hint="eastAsia" w:ascii="仿宋_GB2312" w:eastAsia="仿宋_GB2312"/>
          <w:sz w:val="28"/>
          <w:szCs w:val="28"/>
        </w:rPr>
        <w:t>万元，增加原因：</w:t>
      </w:r>
      <w:r>
        <w:rPr>
          <w:rFonts w:hint="eastAsia" w:ascii="仿宋_GB2312" w:eastAsia="仿宋_GB2312"/>
          <w:sz w:val="28"/>
          <w:szCs w:val="28"/>
          <w:lang w:eastAsia="zh-CN"/>
        </w:rPr>
        <w:t>本年度区财政局统一增加其他公用经费预算</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hint="eastAsia" w:ascii="仿宋_GB2312" w:eastAsia="仿宋_GB2312"/>
          <w:sz w:val="28"/>
          <w:szCs w:val="28"/>
          <w:lang w:val="en-US" w:eastAsia="zh-CN"/>
        </w:rPr>
        <w:t>104.63</w:t>
      </w:r>
      <w:r>
        <w:rPr>
          <w:rFonts w:hint="eastAsia" w:ascii="仿宋_GB2312" w:eastAsia="仿宋_GB2312"/>
          <w:sz w:val="28"/>
          <w:szCs w:val="28"/>
        </w:rPr>
        <w:t>万元，其中：政府采购货物支出</w:t>
      </w:r>
      <w:r>
        <w:rPr>
          <w:rFonts w:hint="eastAsia" w:ascii="仿宋_GB2312" w:eastAsia="仿宋_GB2312"/>
          <w:sz w:val="28"/>
          <w:szCs w:val="28"/>
          <w:lang w:val="en-US" w:eastAsia="zh-CN"/>
        </w:rPr>
        <w:t>1.97</w:t>
      </w:r>
      <w:r>
        <w:rPr>
          <w:rFonts w:hint="eastAsia" w:ascii="仿宋_GB2312" w:eastAsia="仿宋_GB2312"/>
          <w:sz w:val="28"/>
          <w:szCs w:val="28"/>
        </w:rPr>
        <w:t>万元，政府采购工程支出</w:t>
      </w:r>
      <w:r>
        <w:rPr>
          <w:rFonts w:hint="eastAsia" w:ascii="仿宋_GB2312" w:eastAsia="仿宋_GB2312"/>
          <w:sz w:val="28"/>
          <w:szCs w:val="28"/>
          <w:lang w:val="en-US" w:eastAsia="zh-CN"/>
        </w:rPr>
        <w:t>0</w:t>
      </w:r>
      <w:r>
        <w:rPr>
          <w:rFonts w:hint="eastAsia" w:ascii="仿宋_GB2312" w:eastAsia="仿宋_GB2312"/>
          <w:sz w:val="28"/>
          <w:szCs w:val="28"/>
        </w:rPr>
        <w:t>万元，政府采购服务支出</w:t>
      </w:r>
      <w:r>
        <w:rPr>
          <w:rFonts w:hint="eastAsia" w:ascii="仿宋_GB2312" w:eastAsia="仿宋_GB2312"/>
          <w:sz w:val="28"/>
          <w:szCs w:val="28"/>
          <w:lang w:val="en-US" w:eastAsia="zh-CN"/>
        </w:rPr>
        <w:t>102.66</w:t>
      </w:r>
      <w:r>
        <w:rPr>
          <w:rFonts w:hint="eastAsia" w:ascii="仿宋_GB2312" w:eastAsia="仿宋_GB2312"/>
          <w:sz w:val="28"/>
          <w:szCs w:val="28"/>
        </w:rPr>
        <w:t>万元。授予中小企业合同金额</w:t>
      </w:r>
      <w:r>
        <w:rPr>
          <w:rFonts w:hint="eastAsia" w:ascii="仿宋_GB2312" w:eastAsia="仿宋_GB2312"/>
          <w:sz w:val="28"/>
          <w:szCs w:val="28"/>
          <w:highlight w:val="none"/>
          <w:lang w:val="en-US" w:eastAsia="zh-CN"/>
        </w:rPr>
        <w:t>102.83</w:t>
      </w:r>
      <w:r>
        <w:rPr>
          <w:rFonts w:hint="eastAsia" w:ascii="仿宋_GB2312" w:eastAsia="仿宋_GB2312"/>
          <w:sz w:val="28"/>
          <w:szCs w:val="28"/>
        </w:rPr>
        <w:t>万元，占政府采购支出总额的</w:t>
      </w:r>
      <w:r>
        <w:rPr>
          <w:rFonts w:hint="eastAsia" w:ascii="仿宋_GB2312" w:eastAsia="仿宋_GB2312"/>
          <w:sz w:val="28"/>
          <w:szCs w:val="28"/>
          <w:highlight w:val="none"/>
          <w:lang w:val="en-US" w:eastAsia="zh-CN"/>
        </w:rPr>
        <w:t>98.28</w:t>
      </w:r>
      <w:r>
        <w:rPr>
          <w:rFonts w:hint="eastAsia" w:ascii="仿宋_GB2312" w:eastAsia="仿宋_GB2312"/>
          <w:sz w:val="28"/>
          <w:szCs w:val="28"/>
        </w:rPr>
        <w:t>%，其中：授予小微企业合同金额</w:t>
      </w:r>
      <w:r>
        <w:rPr>
          <w:rFonts w:hint="eastAsia" w:ascii="仿宋_GB2312" w:eastAsia="仿宋_GB2312"/>
          <w:sz w:val="28"/>
          <w:szCs w:val="28"/>
          <w:highlight w:val="none"/>
          <w:lang w:val="en-US" w:eastAsia="zh-CN"/>
        </w:rPr>
        <w:t>1.97</w:t>
      </w:r>
      <w:r>
        <w:rPr>
          <w:rFonts w:hint="eastAsia" w:ascii="仿宋_GB2312" w:eastAsia="仿宋_GB2312"/>
          <w:sz w:val="28"/>
          <w:szCs w:val="28"/>
        </w:rPr>
        <w:t>万元，占政府采购支出总额的</w:t>
      </w:r>
      <w:r>
        <w:rPr>
          <w:rFonts w:hint="eastAsia" w:ascii="仿宋_GB2312" w:eastAsia="仿宋_GB2312"/>
          <w:sz w:val="28"/>
          <w:szCs w:val="28"/>
          <w:highlight w:val="none"/>
          <w:lang w:val="en-US" w:eastAsia="zh-CN"/>
        </w:rPr>
        <w:t>0.19</w:t>
      </w:r>
      <w:r>
        <w:rPr>
          <w:rFonts w:hint="eastAsia" w:ascii="仿宋_GB2312" w:eastAsia="仿宋_GB2312"/>
          <w:sz w:val="28"/>
          <w:szCs w:val="28"/>
          <w:highlight w:val="none"/>
        </w:rPr>
        <w:t>%</w:t>
      </w:r>
      <w:r>
        <w:rPr>
          <w:rFonts w:hint="eastAsia" w:ascii="仿宋_GB2312" w:eastAsia="仿宋_GB2312"/>
          <w:sz w:val="28"/>
          <w:szCs w:val="28"/>
        </w:rPr>
        <w:t>。</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ind w:firstLine="560" w:firstLineChars="200"/>
        <w:rPr>
          <w:rFonts w:ascii="仿宋_GB2312" w:eastAsia="仿宋_GB2312"/>
          <w:sz w:val="32"/>
          <w:szCs w:val="32"/>
        </w:rPr>
      </w:pPr>
      <w:r>
        <w:rPr>
          <w:rFonts w:hint="eastAsia" w:ascii="仿宋_GB2312" w:eastAsia="仿宋_GB2312"/>
          <w:sz w:val="28"/>
          <w:szCs w:val="28"/>
          <w:lang w:val="en-US" w:eastAsia="zh-CN"/>
        </w:rPr>
        <w:t>2023年度新购置车辆0</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；新购置</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w:t>
      </w:r>
      <w:r>
        <w:rPr>
          <w:rFonts w:hint="eastAsia" w:ascii="仿宋_GB2312" w:eastAsia="仿宋_GB2312"/>
          <w:sz w:val="28"/>
          <w:szCs w:val="28"/>
          <w:lang w:eastAsia="zh-CN"/>
        </w:rPr>
        <w:t>北京市密云区司法局部门共有</w:t>
      </w:r>
      <w:r>
        <w:rPr>
          <w:rFonts w:hint="eastAsia" w:ascii="仿宋_GB2312" w:eastAsia="仿宋_GB2312"/>
          <w:sz w:val="28"/>
          <w:szCs w:val="28"/>
        </w:rPr>
        <w:t>车辆</w:t>
      </w:r>
      <w:r>
        <w:rPr>
          <w:rFonts w:hint="eastAsia" w:ascii="仿宋_GB2312" w:eastAsia="仿宋_GB2312"/>
          <w:sz w:val="28"/>
          <w:szCs w:val="28"/>
          <w:lang w:val="en-US" w:eastAsia="zh-CN"/>
        </w:rPr>
        <w:t>26</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456.04</w:t>
      </w:r>
      <w:r>
        <w:rPr>
          <w:rFonts w:hint="eastAsia" w:ascii="仿宋_GB2312" w:eastAsia="仿宋_GB2312"/>
          <w:sz w:val="28"/>
          <w:szCs w:val="28"/>
        </w:rPr>
        <w:t>万元；单位价值100万元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hint="eastAsia" w:ascii="仿宋_GB2312" w:eastAsia="仿宋_GB2312"/>
          <w:sz w:val="28"/>
          <w:szCs w:val="28"/>
          <w:highlight w:val="none"/>
          <w:lang w:val="en-US" w:eastAsia="zh-CN"/>
        </w:rPr>
        <w:t>415.2</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pPr>
        <w:numPr>
          <w:ilvl w:val="0"/>
          <w:numId w:val="0"/>
        </w:numPr>
        <w:rPr>
          <w:rFonts w:hint="eastAsia" w:ascii="仿宋_GB2312" w:eastAsia="仿宋_GB2312"/>
          <w:sz w:val="28"/>
          <w:szCs w:val="28"/>
          <w:lang w:val="en-US" w:eastAsia="zh-CN"/>
        </w:rPr>
      </w:pPr>
    </w:p>
    <w:p>
      <w:pPr>
        <w:ind w:firstLine="632" w:firstLineChars="200"/>
        <w:rPr>
          <w:rFonts w:hint="eastAsia" w:ascii="仿宋_GB2312" w:hAnsi="Times New Roman" w:eastAsia="仿宋_GB2312" w:cs="Times New Roman"/>
          <w:b/>
          <w:color w:val="000000"/>
          <w:spacing w:val="-2"/>
          <w:sz w:val="32"/>
          <w:szCs w:val="32"/>
        </w:rPr>
      </w:pPr>
    </w:p>
    <w:p>
      <w:pPr>
        <w:pStyle w:val="6"/>
        <w:ind w:left="0" w:leftChars="0" w:firstLine="0" w:firstLineChars="0"/>
        <w:rPr>
          <w:rFonts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pPr>
        <w:pStyle w:val="6"/>
        <w:ind w:left="0" w:leftChars="0" w:firstLine="0" w:firstLineChars="0"/>
        <w:rPr>
          <w:rFonts w:hint="eastAsia"/>
        </w:rPr>
      </w:pPr>
    </w:p>
    <w:p>
      <w:pPr>
        <w:numPr>
          <w:ilvl w:val="0"/>
          <w:numId w:val="1"/>
        </w:numPr>
        <w:spacing w:line="560" w:lineRule="exact"/>
        <w:jc w:val="left"/>
        <w:rPr>
          <w:rFonts w:hint="eastAsia" w:ascii="黑体" w:eastAsia="黑体"/>
          <w:sz w:val="28"/>
          <w:szCs w:val="28"/>
        </w:rPr>
      </w:pPr>
      <w:r>
        <w:rPr>
          <w:rFonts w:hint="eastAsia" w:ascii="黑体" w:eastAsia="黑体"/>
          <w:sz w:val="28"/>
          <w:szCs w:val="28"/>
        </w:rPr>
        <w:t>部门整体绩效评价报告</w:t>
      </w:r>
    </w:p>
    <w:p>
      <w:pPr>
        <w:jc w:val="center"/>
        <w:rPr>
          <w:rFonts w:ascii="仿宋_GB2312"/>
          <w:szCs w:val="30"/>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560" w:firstLineChars="200"/>
        <w:rPr>
          <w:rFonts w:hint="eastAsia" w:ascii="楷体_GB2312" w:eastAsia="楷体_GB2312"/>
          <w:sz w:val="28"/>
          <w:szCs w:val="28"/>
        </w:rPr>
      </w:pPr>
      <w:r>
        <w:rPr>
          <w:rFonts w:hint="eastAsia" w:ascii="楷体_GB2312" w:eastAsia="楷体_GB2312"/>
          <w:sz w:val="28"/>
          <w:szCs w:val="28"/>
        </w:rPr>
        <w:t>（一）机构设置及职责工作任务情况</w:t>
      </w:r>
    </w:p>
    <w:p>
      <w:pPr>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通过开展依法治区工作，帮助基层单位破解法律难题，继续做好对区政府行政决策的合法性审查工作。落实“谁执法谁普法”工作责任制。深化行政复议改革，落实行政机关负责人出庭应诉机制，持续做好复议应诉工作。深化“一村一所”建设，继续引进首都知名律所到密云设立分所，做实产业、消费、法治帮扶。深化完善公共法律服务，统筹公共法律服务实体平台、热线平台、网络平台等服务媒介，创新服务手段、拓展服务渠道，力争“七有五性”法律援助机构法律咨询人次及满意率和公共法律服务网络平台工单录入率等考核指标排名保持生态涵养区前列</w:t>
      </w:r>
      <w:r>
        <w:rPr>
          <w:rFonts w:hint="eastAsia" w:ascii="仿宋_GB2312" w:hAnsi="Times New Roman" w:eastAsia="仿宋_GB2312" w:cs="Times New Roman"/>
          <w:sz w:val="28"/>
          <w:szCs w:val="28"/>
          <w:lang w:eastAsia="zh-CN"/>
        </w:rPr>
        <w:t>。</w:t>
      </w:r>
    </w:p>
    <w:p>
      <w:pPr>
        <w:spacing w:line="600" w:lineRule="exact"/>
        <w:ind w:firstLine="560" w:firstLineChars="200"/>
        <w:rPr>
          <w:rFonts w:hint="eastAsia" w:ascii="楷体_GB2312" w:hAnsi="Times New Roman" w:eastAsia="楷体_GB2312" w:cs="Times New Roman"/>
          <w:sz w:val="28"/>
          <w:szCs w:val="28"/>
        </w:rPr>
      </w:pPr>
      <w:r>
        <w:rPr>
          <w:rFonts w:hint="eastAsia" w:ascii="楷体_GB2312" w:hAnsi="Times New Roman" w:eastAsia="楷体_GB2312" w:cs="Times New Roman"/>
          <w:sz w:val="28"/>
          <w:szCs w:val="28"/>
        </w:rPr>
        <w:t>（二）部门整体绩效目标设立情况</w:t>
      </w:r>
    </w:p>
    <w:p>
      <w:pPr>
        <w:spacing w:line="600" w:lineRule="exact"/>
        <w:ind w:firstLine="560" w:firstLineChars="200"/>
        <w:rPr>
          <w:rFonts w:hint="eastAsia" w:ascii="仿宋_GB2312" w:hAnsi="仿宋_GB2312" w:eastAsia="仿宋_GB2312" w:cs="仿宋_GB2312"/>
          <w:b w:val="0"/>
          <w:bCs w:val="0"/>
          <w:color w:val="000000"/>
          <w:kern w:val="0"/>
          <w:sz w:val="28"/>
          <w:szCs w:val="28"/>
          <w:lang w:eastAsia="zh-CN"/>
        </w:rPr>
      </w:pPr>
      <w:r>
        <w:rPr>
          <w:rFonts w:hint="eastAsia" w:ascii="仿宋_GB2312" w:hAnsi="仿宋_GB2312" w:eastAsia="仿宋_GB2312" w:cs="仿宋_GB2312"/>
          <w:b w:val="0"/>
          <w:bCs w:val="0"/>
          <w:color w:val="000000"/>
          <w:kern w:val="0"/>
          <w:sz w:val="28"/>
          <w:szCs w:val="28"/>
          <w:lang w:eastAsia="zh-CN"/>
        </w:rPr>
        <w:t>我单位整体绩效目标包括基本支出绩效目标，其中含人员经费绩效目标、公用经费绩效目标、项目支出绩效目标。人员经费绩效目标包括人员工资奖金津补贴发放、社保公积金缴纳等；公用经费绩效目标包括日常办公运行经费；项目支出绩效目标包括预算项目、新增项目支出，主要完成：一是公共法律体系建设持续深化。落实帮办服务制度，切实提高帮办服务质效。二是法律援助工作成效显著。为广大群众提供优质高效便捷的法律咨询服务。三是普法依法治理亮点纷呈。深化“谁执法谁普法”普法责任制，立足全媒体时代特点，提高短视频、微动漫、公众号等新媒体宣传手段应用，实现法治宣传“精准滴灌”。四是严格管控社区矫正对象和刑满释放人员。按要求做好矫正对象接收、查访、信息化核查等监管措施，及时掌握其活动情况和行为表现。五是扎实做好矛盾纠纷多元调解工作。进一步巩固诉源治理工作成效，发挥多元调解机制作用。六是强化公证律师行业管理。加强对公证、律师队伍的教育和监督，推动密云法律服务业快速发展。</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560" w:firstLineChars="200"/>
        <w:rPr>
          <w:rFonts w:hint="eastAsia" w:ascii="仿宋_GB2312" w:hAnsi="仿宋_GB2312" w:eastAsia="仿宋_GB2312" w:cs="仿宋_GB2312"/>
          <w:b w:val="0"/>
          <w:bCs w:val="0"/>
          <w:color w:val="000000"/>
          <w:kern w:val="0"/>
          <w:sz w:val="28"/>
          <w:szCs w:val="28"/>
          <w:lang w:eastAsia="zh-CN"/>
        </w:rPr>
      </w:pPr>
      <w:r>
        <w:rPr>
          <w:rFonts w:hint="eastAsia" w:ascii="仿宋_GB2312" w:hAnsi="仿宋_GB2312" w:eastAsia="仿宋_GB2312" w:cs="仿宋_GB2312"/>
          <w:b w:val="0"/>
          <w:bCs w:val="0"/>
          <w:color w:val="000000"/>
          <w:kern w:val="0"/>
          <w:sz w:val="28"/>
          <w:szCs w:val="28"/>
          <w:lang w:eastAsia="zh-CN"/>
        </w:rPr>
        <w:t>202</w:t>
      </w:r>
      <w:r>
        <w:rPr>
          <w:rFonts w:hint="eastAsia" w:ascii="仿宋_GB2312" w:hAnsi="仿宋_GB2312" w:eastAsia="仿宋_GB2312" w:cs="仿宋_GB2312"/>
          <w:b w:val="0"/>
          <w:bCs w:val="0"/>
          <w:color w:val="000000"/>
          <w:kern w:val="0"/>
          <w:sz w:val="28"/>
          <w:szCs w:val="28"/>
          <w:lang w:val="en-US" w:eastAsia="zh-CN"/>
        </w:rPr>
        <w:t>3</w:t>
      </w:r>
      <w:r>
        <w:rPr>
          <w:rFonts w:hint="eastAsia" w:ascii="仿宋_GB2312" w:hAnsi="仿宋_GB2312" w:eastAsia="仿宋_GB2312" w:cs="仿宋_GB2312"/>
          <w:b w:val="0"/>
          <w:bCs w:val="0"/>
          <w:color w:val="000000"/>
          <w:kern w:val="0"/>
          <w:sz w:val="28"/>
          <w:szCs w:val="28"/>
          <w:lang w:eastAsia="zh-CN"/>
        </w:rPr>
        <w:t>年全年预算数</w:t>
      </w:r>
      <w:r>
        <w:rPr>
          <w:rFonts w:hint="eastAsia" w:ascii="仿宋_GB2312" w:hAnsi="仿宋_GB2312" w:eastAsia="仿宋_GB2312" w:cs="仿宋_GB2312"/>
          <w:b w:val="0"/>
          <w:bCs w:val="0"/>
          <w:color w:val="000000"/>
          <w:kern w:val="0"/>
          <w:sz w:val="28"/>
          <w:szCs w:val="28"/>
          <w:lang w:val="en-US" w:eastAsia="zh-CN"/>
        </w:rPr>
        <w:t>3219.61</w:t>
      </w:r>
      <w:r>
        <w:rPr>
          <w:rFonts w:hint="eastAsia" w:ascii="仿宋_GB2312" w:hAnsi="仿宋_GB2312" w:eastAsia="仿宋_GB2312" w:cs="仿宋_GB2312"/>
          <w:b w:val="0"/>
          <w:bCs w:val="0"/>
          <w:color w:val="000000"/>
          <w:kern w:val="0"/>
          <w:sz w:val="28"/>
          <w:szCs w:val="28"/>
          <w:lang w:eastAsia="zh-CN"/>
        </w:rPr>
        <w:t>万元，其中，基本支出预算数</w:t>
      </w:r>
      <w:r>
        <w:rPr>
          <w:rFonts w:hint="eastAsia" w:ascii="仿宋_GB2312" w:hAnsi="仿宋_GB2312" w:eastAsia="仿宋_GB2312" w:cs="仿宋_GB2312"/>
          <w:b w:val="0"/>
          <w:bCs w:val="0"/>
          <w:color w:val="000000"/>
          <w:kern w:val="0"/>
          <w:sz w:val="28"/>
          <w:szCs w:val="28"/>
          <w:lang w:val="en-US" w:eastAsia="zh-CN"/>
        </w:rPr>
        <w:t>2232.36</w:t>
      </w:r>
      <w:r>
        <w:rPr>
          <w:rFonts w:hint="eastAsia" w:ascii="仿宋_GB2312" w:hAnsi="仿宋_GB2312" w:eastAsia="仿宋_GB2312" w:cs="仿宋_GB2312"/>
          <w:b w:val="0"/>
          <w:bCs w:val="0"/>
          <w:color w:val="000000"/>
          <w:kern w:val="0"/>
          <w:sz w:val="28"/>
          <w:szCs w:val="28"/>
          <w:lang w:eastAsia="zh-CN"/>
        </w:rPr>
        <w:t>万元，项目支出预算数</w:t>
      </w:r>
      <w:r>
        <w:rPr>
          <w:rFonts w:hint="eastAsia" w:ascii="仿宋_GB2312" w:hAnsi="仿宋_GB2312" w:eastAsia="仿宋_GB2312" w:cs="仿宋_GB2312"/>
          <w:b w:val="0"/>
          <w:bCs w:val="0"/>
          <w:color w:val="000000"/>
          <w:kern w:val="0"/>
          <w:sz w:val="28"/>
          <w:szCs w:val="28"/>
          <w:lang w:val="en-US" w:eastAsia="zh-CN"/>
        </w:rPr>
        <w:t>987.25</w:t>
      </w:r>
      <w:r>
        <w:rPr>
          <w:rFonts w:hint="eastAsia" w:ascii="仿宋_GB2312" w:hAnsi="仿宋_GB2312" w:eastAsia="仿宋_GB2312" w:cs="仿宋_GB2312"/>
          <w:b w:val="0"/>
          <w:bCs w:val="0"/>
          <w:color w:val="000000"/>
          <w:kern w:val="0"/>
          <w:sz w:val="28"/>
          <w:szCs w:val="28"/>
          <w:lang w:eastAsia="zh-CN"/>
        </w:rPr>
        <w:t>万元，其他支出预算数</w:t>
      </w:r>
      <w:r>
        <w:rPr>
          <w:rFonts w:hint="eastAsia" w:ascii="仿宋_GB2312" w:hAnsi="仿宋_GB2312" w:eastAsia="仿宋_GB2312" w:cs="仿宋_GB2312"/>
          <w:b w:val="0"/>
          <w:bCs w:val="0"/>
          <w:color w:val="000000"/>
          <w:kern w:val="0"/>
          <w:sz w:val="28"/>
          <w:szCs w:val="28"/>
          <w:lang w:val="en-US" w:eastAsia="zh-CN"/>
        </w:rPr>
        <w:t>0</w:t>
      </w:r>
      <w:r>
        <w:rPr>
          <w:rFonts w:hint="eastAsia" w:ascii="仿宋_GB2312" w:hAnsi="仿宋_GB2312" w:eastAsia="仿宋_GB2312" w:cs="仿宋_GB2312"/>
          <w:b w:val="0"/>
          <w:bCs w:val="0"/>
          <w:color w:val="000000"/>
          <w:kern w:val="0"/>
          <w:sz w:val="28"/>
          <w:szCs w:val="28"/>
          <w:lang w:eastAsia="zh-CN"/>
        </w:rPr>
        <w:t>万元。资金总体支出</w:t>
      </w:r>
      <w:r>
        <w:rPr>
          <w:rFonts w:hint="eastAsia" w:ascii="仿宋_GB2312" w:hAnsi="仿宋_GB2312" w:eastAsia="仿宋_GB2312" w:cs="仿宋_GB2312"/>
          <w:b w:val="0"/>
          <w:bCs w:val="0"/>
          <w:color w:val="000000"/>
          <w:kern w:val="0"/>
          <w:sz w:val="28"/>
          <w:szCs w:val="28"/>
          <w:lang w:val="en-US" w:eastAsia="zh-CN"/>
        </w:rPr>
        <w:t>3178.61</w:t>
      </w:r>
      <w:r>
        <w:rPr>
          <w:rFonts w:hint="eastAsia" w:ascii="仿宋_GB2312" w:hAnsi="仿宋_GB2312" w:eastAsia="仿宋_GB2312" w:cs="仿宋_GB2312"/>
          <w:b w:val="0"/>
          <w:bCs w:val="0"/>
          <w:color w:val="000000"/>
          <w:kern w:val="0"/>
          <w:sz w:val="28"/>
          <w:szCs w:val="28"/>
          <w:lang w:eastAsia="zh-CN"/>
        </w:rPr>
        <w:t>万元，其中，基本支出</w:t>
      </w:r>
      <w:r>
        <w:rPr>
          <w:rFonts w:hint="eastAsia" w:ascii="仿宋_GB2312" w:hAnsi="仿宋_GB2312" w:eastAsia="仿宋_GB2312" w:cs="仿宋_GB2312"/>
          <w:b w:val="0"/>
          <w:bCs w:val="0"/>
          <w:color w:val="000000"/>
          <w:kern w:val="0"/>
          <w:sz w:val="28"/>
          <w:szCs w:val="28"/>
          <w:lang w:val="en-US" w:eastAsia="zh-CN"/>
        </w:rPr>
        <w:t>2232.36</w:t>
      </w:r>
      <w:r>
        <w:rPr>
          <w:rFonts w:hint="eastAsia" w:ascii="仿宋_GB2312" w:hAnsi="仿宋_GB2312" w:eastAsia="仿宋_GB2312" w:cs="仿宋_GB2312"/>
          <w:b w:val="0"/>
          <w:bCs w:val="0"/>
          <w:color w:val="000000"/>
          <w:kern w:val="0"/>
          <w:sz w:val="28"/>
          <w:szCs w:val="28"/>
          <w:lang w:eastAsia="zh-CN"/>
        </w:rPr>
        <w:t>万元，项目支出</w:t>
      </w:r>
      <w:r>
        <w:rPr>
          <w:rFonts w:hint="eastAsia" w:ascii="仿宋_GB2312" w:hAnsi="仿宋_GB2312" w:eastAsia="仿宋_GB2312" w:cs="仿宋_GB2312"/>
          <w:b w:val="0"/>
          <w:bCs w:val="0"/>
          <w:color w:val="000000"/>
          <w:kern w:val="0"/>
          <w:sz w:val="28"/>
          <w:szCs w:val="28"/>
          <w:lang w:val="en-US" w:eastAsia="zh-CN"/>
        </w:rPr>
        <w:t>946.25</w:t>
      </w:r>
      <w:r>
        <w:rPr>
          <w:rFonts w:hint="eastAsia" w:ascii="仿宋_GB2312" w:hAnsi="仿宋_GB2312" w:eastAsia="仿宋_GB2312" w:cs="仿宋_GB2312"/>
          <w:b w:val="0"/>
          <w:bCs w:val="0"/>
          <w:color w:val="000000"/>
          <w:kern w:val="0"/>
          <w:sz w:val="28"/>
          <w:szCs w:val="28"/>
          <w:lang w:eastAsia="zh-CN"/>
        </w:rPr>
        <w:t>万元，其他支出</w:t>
      </w:r>
      <w:r>
        <w:rPr>
          <w:rFonts w:hint="eastAsia" w:ascii="仿宋_GB2312" w:hAnsi="仿宋_GB2312" w:eastAsia="仿宋_GB2312" w:cs="仿宋_GB2312"/>
          <w:b w:val="0"/>
          <w:bCs w:val="0"/>
          <w:color w:val="000000"/>
          <w:kern w:val="0"/>
          <w:sz w:val="28"/>
          <w:szCs w:val="28"/>
          <w:lang w:val="en-US" w:eastAsia="zh-CN"/>
        </w:rPr>
        <w:t>0</w:t>
      </w:r>
      <w:r>
        <w:rPr>
          <w:rFonts w:hint="eastAsia" w:ascii="仿宋_GB2312" w:hAnsi="仿宋_GB2312" w:eastAsia="仿宋_GB2312" w:cs="仿宋_GB2312"/>
          <w:b w:val="0"/>
          <w:bCs w:val="0"/>
          <w:color w:val="000000"/>
          <w:kern w:val="0"/>
          <w:sz w:val="28"/>
          <w:szCs w:val="28"/>
          <w:lang w:eastAsia="zh-CN"/>
        </w:rPr>
        <w:t>万元。预算执行率为</w:t>
      </w:r>
      <w:r>
        <w:rPr>
          <w:rFonts w:hint="eastAsia" w:ascii="仿宋_GB2312" w:hAnsi="仿宋_GB2312" w:eastAsia="仿宋_GB2312" w:cs="仿宋_GB2312"/>
          <w:b w:val="0"/>
          <w:bCs w:val="0"/>
          <w:color w:val="000000"/>
          <w:kern w:val="0"/>
          <w:sz w:val="28"/>
          <w:szCs w:val="28"/>
          <w:lang w:val="en-US" w:eastAsia="zh-CN"/>
        </w:rPr>
        <w:t>98.73%</w:t>
      </w:r>
      <w:r>
        <w:rPr>
          <w:rFonts w:hint="eastAsia" w:ascii="仿宋_GB2312" w:hAnsi="仿宋_GB2312" w:eastAsia="仿宋_GB2312" w:cs="仿宋_GB2312"/>
          <w:b w:val="0"/>
          <w:bCs w:val="0"/>
          <w:color w:val="000000"/>
          <w:kern w:val="0"/>
          <w:sz w:val="28"/>
          <w:szCs w:val="28"/>
          <w:lang w:eastAsia="zh-CN"/>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spacing w:line="600" w:lineRule="exact"/>
        <w:ind w:firstLine="560" w:firstLineChars="200"/>
        <w:rPr>
          <w:rFonts w:hint="eastAsia" w:ascii="楷体_GB2312" w:hAnsi="Times New Roman" w:eastAsia="楷体_GB2312" w:cs="Times New Roman"/>
          <w:sz w:val="28"/>
          <w:szCs w:val="28"/>
        </w:rPr>
      </w:pPr>
      <w:r>
        <w:rPr>
          <w:rFonts w:hint="eastAsia" w:ascii="楷体_GB2312" w:hAnsi="Times New Roman" w:eastAsia="楷体_GB2312" w:cs="Times New Roman"/>
          <w:sz w:val="28"/>
          <w:szCs w:val="28"/>
        </w:rPr>
        <w:t>（一）产出完成情况分析</w:t>
      </w:r>
    </w:p>
    <w:p>
      <w:pPr>
        <w:spacing w:line="600" w:lineRule="exact"/>
        <w:ind w:firstLine="560" w:firstLineChars="200"/>
        <w:rPr>
          <w:rFonts w:hint="eastAsia" w:ascii="仿宋_GB2312" w:hAnsi="仿宋_GB2312" w:eastAsia="仿宋_GB2312" w:cs="仿宋_GB2312"/>
          <w:b w:val="0"/>
          <w:bCs w:val="0"/>
          <w:color w:val="000000"/>
          <w:kern w:val="0"/>
          <w:sz w:val="28"/>
          <w:szCs w:val="28"/>
          <w:lang w:eastAsia="zh-CN"/>
        </w:rPr>
      </w:pPr>
      <w:r>
        <w:rPr>
          <w:rFonts w:hint="eastAsia" w:ascii="仿宋_GB2312" w:hAnsi="仿宋_GB2312" w:eastAsia="仿宋_GB2312" w:cs="仿宋_GB2312"/>
          <w:b w:val="0"/>
          <w:bCs w:val="0"/>
          <w:color w:val="000000"/>
          <w:kern w:val="0"/>
          <w:sz w:val="28"/>
          <w:szCs w:val="28"/>
          <w:lang w:eastAsia="zh-CN"/>
        </w:rPr>
        <w:t>1.产出数量</w:t>
      </w:r>
    </w:p>
    <w:p>
      <w:pPr>
        <w:spacing w:line="600" w:lineRule="exact"/>
        <w:ind w:firstLine="560" w:firstLineChars="200"/>
        <w:rPr>
          <w:rFonts w:hint="eastAsia" w:ascii="仿宋_GB2312" w:hAnsi="仿宋_GB2312" w:eastAsia="仿宋_GB2312" w:cs="仿宋_GB2312"/>
          <w:b w:val="0"/>
          <w:bCs w:val="0"/>
          <w:color w:val="000000"/>
          <w:kern w:val="0"/>
          <w:sz w:val="28"/>
          <w:szCs w:val="28"/>
          <w:lang w:eastAsia="zh-CN"/>
        </w:rPr>
      </w:pPr>
      <w:r>
        <w:rPr>
          <w:rFonts w:hint="eastAsia" w:ascii="仿宋_GB2312" w:hAnsi="仿宋_GB2312" w:eastAsia="仿宋_GB2312" w:cs="仿宋_GB2312"/>
          <w:b w:val="0"/>
          <w:bCs w:val="0"/>
          <w:color w:val="000000"/>
          <w:kern w:val="0"/>
          <w:sz w:val="28"/>
          <w:szCs w:val="28"/>
          <w:lang w:eastAsia="zh-CN"/>
        </w:rPr>
        <w:t>资金投入建立法律咨询热线12348平台每日通报制度，2022年法律援助机构现场法律咨询工单21637件，较去年同期增长85.97%，考核指标排名保持生态涵养区前列。2.资金投入开展“法律十进”活动，制作播出《法润密云》电视节目11期，总时长150分钟；“法润密云”微信公众号共发布文章1010篇，总阅读量10.6万人次；“法润密云”视频号发布13条普法视频，播放总量4.9万人次。实施乡村“法律明白人”培养工程，推选乡村“法律明白人”1036名。3.资金投入严格“两类人员”教育管理，排查“两类”人员32616人次，入户走访3213人次，谈话教育8256人次，实现安全风险全部清零，圆满完成了重大活动维稳安保工作。</w:t>
      </w:r>
    </w:p>
    <w:p>
      <w:pPr>
        <w:spacing w:line="600" w:lineRule="exact"/>
        <w:ind w:firstLine="560" w:firstLineChars="200"/>
        <w:rPr>
          <w:rFonts w:hint="eastAsia" w:ascii="仿宋_GB2312" w:hAnsi="仿宋_GB2312" w:eastAsia="仿宋_GB2312" w:cs="仿宋_GB2312"/>
          <w:b w:val="0"/>
          <w:bCs w:val="0"/>
          <w:color w:val="000000"/>
          <w:kern w:val="0"/>
          <w:sz w:val="28"/>
          <w:szCs w:val="28"/>
          <w:lang w:eastAsia="zh-CN"/>
        </w:rPr>
      </w:pPr>
      <w:r>
        <w:rPr>
          <w:rFonts w:hint="eastAsia" w:ascii="仿宋_GB2312" w:hAnsi="仿宋_GB2312" w:eastAsia="仿宋_GB2312" w:cs="仿宋_GB2312"/>
          <w:b w:val="0"/>
          <w:bCs w:val="0"/>
          <w:color w:val="000000"/>
          <w:kern w:val="0"/>
          <w:sz w:val="28"/>
          <w:szCs w:val="28"/>
          <w:lang w:eastAsia="zh-CN"/>
        </w:rPr>
        <w:t>2.产出质量</w:t>
      </w:r>
    </w:p>
    <w:p>
      <w:pPr>
        <w:spacing w:line="600" w:lineRule="exact"/>
        <w:ind w:firstLine="560" w:firstLineChars="200"/>
        <w:rPr>
          <w:rFonts w:hint="eastAsia" w:ascii="仿宋_GB2312" w:hAnsi="仿宋_GB2312" w:eastAsia="仿宋_GB2312" w:cs="仿宋_GB2312"/>
          <w:b w:val="0"/>
          <w:bCs w:val="0"/>
          <w:color w:val="000000"/>
          <w:kern w:val="0"/>
          <w:sz w:val="28"/>
          <w:szCs w:val="28"/>
          <w:lang w:eastAsia="zh-CN"/>
        </w:rPr>
      </w:pPr>
      <w:r>
        <w:rPr>
          <w:rFonts w:hint="eastAsia" w:ascii="仿宋_GB2312" w:hAnsi="仿宋_GB2312" w:eastAsia="仿宋_GB2312" w:cs="仿宋_GB2312"/>
          <w:b w:val="0"/>
          <w:bCs w:val="0"/>
          <w:color w:val="000000"/>
          <w:kern w:val="0"/>
          <w:sz w:val="28"/>
          <w:szCs w:val="28"/>
          <w:lang w:eastAsia="zh-CN"/>
        </w:rPr>
        <w:t>完善三级公共法律服务体系建设。加大镇街法律援助工作站初审办理力度，巩固提升村居法律顾问工作水平，增加服务频次，延展服务范围。为法援及公共法律服务部门提供了强力资金支撑，实现了服务保障民生、强化公共法律服务“普惠力”的稳步提升。深入落实“八五”普法规划，分级分类开展法治宣传教育，强化法治宣传阵地建设，提高短视频、微动漫、公众号等新媒体宣传手段应用的深度和广度，实现法治宣传“精准滴灌”。加强人民调解、行政调解工作。加强人民调解员队伍建设，持续做好人民调解员等级评定工作，促进我区人民调解各项业务水平得到提升。严格“两类人员”教育管控，完成社区矫正改革，组建完成区、镇两级社区矫正委员会。做好刑满释放人员安置帮教工作，落实“三无人员”无缝衔接、困难帮扶等相关工作。</w:t>
      </w:r>
    </w:p>
    <w:p>
      <w:pPr>
        <w:spacing w:line="600" w:lineRule="exact"/>
        <w:ind w:firstLine="560" w:firstLineChars="200"/>
        <w:rPr>
          <w:rFonts w:hint="eastAsia" w:ascii="仿宋_GB2312" w:hAnsi="仿宋_GB2312" w:eastAsia="仿宋_GB2312" w:cs="仿宋_GB2312"/>
          <w:b w:val="0"/>
          <w:bCs w:val="0"/>
          <w:color w:val="000000"/>
          <w:kern w:val="0"/>
          <w:sz w:val="28"/>
          <w:szCs w:val="28"/>
          <w:lang w:eastAsia="zh-CN"/>
        </w:rPr>
      </w:pPr>
      <w:r>
        <w:rPr>
          <w:rFonts w:hint="eastAsia" w:ascii="仿宋_GB2312" w:hAnsi="仿宋_GB2312" w:eastAsia="仿宋_GB2312" w:cs="仿宋_GB2312"/>
          <w:b w:val="0"/>
          <w:bCs w:val="0"/>
          <w:color w:val="000000"/>
          <w:kern w:val="0"/>
          <w:sz w:val="28"/>
          <w:szCs w:val="28"/>
          <w:lang w:eastAsia="zh-CN"/>
        </w:rPr>
        <w:t>3.产出进度</w:t>
      </w:r>
    </w:p>
    <w:p>
      <w:pPr>
        <w:spacing w:line="600" w:lineRule="exact"/>
        <w:ind w:firstLine="560" w:firstLineChars="200"/>
      </w:pPr>
      <w:r>
        <w:rPr>
          <w:rFonts w:hint="eastAsia" w:ascii="仿宋_GB2312" w:hAnsi="仿宋_GB2312" w:eastAsia="仿宋_GB2312" w:cs="仿宋_GB2312"/>
          <w:b w:val="0"/>
          <w:bCs w:val="0"/>
          <w:color w:val="000000"/>
          <w:kern w:val="0"/>
          <w:sz w:val="28"/>
          <w:szCs w:val="28"/>
          <w:lang w:val="en-US" w:eastAsia="zh-CN"/>
        </w:rPr>
        <w:t>本年度预算，按照实际需求完成支出进度。</w:t>
      </w:r>
    </w:p>
    <w:p>
      <w:pPr>
        <w:spacing w:line="600" w:lineRule="exact"/>
        <w:ind w:firstLine="560" w:firstLineChars="200"/>
        <w:rPr>
          <w:rFonts w:hint="eastAsia" w:ascii="仿宋_GB2312" w:hAnsi="仿宋_GB2312" w:eastAsia="仿宋_GB2312" w:cs="仿宋_GB2312"/>
          <w:b w:val="0"/>
          <w:bCs w:val="0"/>
          <w:color w:val="000000"/>
          <w:kern w:val="0"/>
          <w:sz w:val="28"/>
          <w:szCs w:val="28"/>
          <w:lang w:eastAsia="zh-CN"/>
        </w:rPr>
      </w:pPr>
      <w:r>
        <w:rPr>
          <w:rFonts w:hint="eastAsia" w:ascii="仿宋_GB2312" w:hAnsi="仿宋_GB2312" w:eastAsia="仿宋_GB2312" w:cs="仿宋_GB2312"/>
          <w:b w:val="0"/>
          <w:bCs w:val="0"/>
          <w:color w:val="000000"/>
          <w:kern w:val="0"/>
          <w:sz w:val="28"/>
          <w:szCs w:val="28"/>
          <w:lang w:eastAsia="zh-CN"/>
        </w:rPr>
        <w:t xml:space="preserve">4.产出成本   </w:t>
      </w:r>
    </w:p>
    <w:p>
      <w:pPr>
        <w:spacing w:line="600" w:lineRule="exact"/>
        <w:ind w:firstLine="560" w:firstLineChars="200"/>
        <w:rPr>
          <w:rFonts w:ascii="仿宋_GB2312" w:hAnsi="宋体" w:eastAsia="仿宋_GB2312" w:cs="宋体"/>
          <w:color w:val="000000"/>
          <w:kern w:val="0"/>
          <w:sz w:val="32"/>
          <w:szCs w:val="32"/>
        </w:rPr>
      </w:pPr>
      <w:r>
        <w:rPr>
          <w:rFonts w:hint="eastAsia" w:ascii="仿宋_GB2312" w:hAnsi="仿宋_GB2312" w:eastAsia="仿宋_GB2312" w:cs="仿宋_GB2312"/>
          <w:b w:val="0"/>
          <w:bCs w:val="0"/>
          <w:color w:val="000000"/>
          <w:kern w:val="0"/>
          <w:sz w:val="28"/>
          <w:szCs w:val="28"/>
          <w:lang w:eastAsia="zh-CN"/>
        </w:rPr>
        <w:t>人员经费完成支出</w:t>
      </w:r>
      <w:r>
        <w:rPr>
          <w:rFonts w:hint="eastAsia" w:ascii="仿宋_GB2312" w:hAnsi="仿宋_GB2312" w:eastAsia="仿宋_GB2312" w:cs="仿宋_GB2312"/>
          <w:b w:val="0"/>
          <w:bCs w:val="0"/>
          <w:color w:val="000000"/>
          <w:kern w:val="0"/>
          <w:sz w:val="28"/>
          <w:szCs w:val="28"/>
          <w:lang w:val="en-US" w:eastAsia="zh-CN"/>
        </w:rPr>
        <w:t>2105.91万元，公用经费完成126.45万元，项目经费完成946.25万元。</w:t>
      </w:r>
      <w:r>
        <w:rPr>
          <w:rFonts w:hint="eastAsia" w:ascii="仿宋_GB2312" w:hAnsi="仿宋_GB2312" w:eastAsia="仿宋_GB2312" w:cs="仿宋_GB2312"/>
          <w:b w:val="0"/>
          <w:bCs w:val="0"/>
          <w:color w:val="000000"/>
          <w:kern w:val="0"/>
          <w:sz w:val="28"/>
          <w:szCs w:val="28"/>
          <w:lang w:eastAsia="zh-CN"/>
        </w:rPr>
        <w:t xml:space="preserve">  </w:t>
      </w:r>
      <w:r>
        <w:rPr>
          <w:rFonts w:hint="eastAsia" w:ascii="仿宋_GB2312" w:hAnsi="宋体" w:eastAsia="仿宋_GB2312" w:cs="宋体"/>
          <w:color w:val="000000"/>
          <w:kern w:val="0"/>
          <w:sz w:val="32"/>
          <w:szCs w:val="32"/>
        </w:rPr>
        <w:t xml:space="preserve">                                </w:t>
      </w:r>
    </w:p>
    <w:p>
      <w:pPr>
        <w:spacing w:line="600" w:lineRule="exact"/>
        <w:ind w:firstLine="560" w:firstLineChars="200"/>
        <w:rPr>
          <w:rFonts w:hint="eastAsia" w:ascii="楷体_GB2312" w:hAnsi="Times New Roman" w:eastAsia="楷体_GB2312" w:cs="Times New Roman"/>
          <w:sz w:val="28"/>
          <w:szCs w:val="28"/>
        </w:rPr>
      </w:pPr>
      <w:r>
        <w:rPr>
          <w:rFonts w:hint="eastAsia" w:ascii="楷体_GB2312" w:hAnsi="Times New Roman" w:eastAsia="楷体_GB2312" w:cs="Times New Roman"/>
          <w:sz w:val="28"/>
          <w:szCs w:val="28"/>
        </w:rPr>
        <w:t>（二）效果实现情况分析</w:t>
      </w:r>
    </w:p>
    <w:p>
      <w:pPr>
        <w:spacing w:line="600" w:lineRule="exact"/>
        <w:ind w:firstLine="560" w:firstLineChars="200"/>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1.社会效益</w:t>
      </w:r>
    </w:p>
    <w:p>
      <w:pPr>
        <w:spacing w:line="600" w:lineRule="exact"/>
        <w:ind w:firstLine="560" w:firstLineChars="200"/>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为人民群众提供有效的公共法律服务，通过宣传扩大人民调解工作的影响力，不断提升人民调解社会影响力和知晓率，树立人民调解工作品牌。</w:t>
      </w:r>
    </w:p>
    <w:p>
      <w:pPr>
        <w:spacing w:line="600" w:lineRule="exact"/>
        <w:ind w:firstLine="560" w:firstLineChars="200"/>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2.可持续性影响</w:t>
      </w:r>
    </w:p>
    <w:p>
      <w:pPr>
        <w:spacing w:line="600" w:lineRule="exact"/>
        <w:ind w:firstLine="560" w:firstLineChars="200"/>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为全区村居民提供免费公益法律咨询，增强村居民对公共法律服务的获得感。建立长效化的公益法律服务平台，实现村居法律顾问全覆盖，促进以律师为主体的法律服务工作者更好地服务和保障民生。</w:t>
      </w:r>
    </w:p>
    <w:p>
      <w:pPr>
        <w:spacing w:line="600" w:lineRule="exact"/>
        <w:ind w:firstLine="560" w:firstLineChars="200"/>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3.服务对象满意度</w:t>
      </w:r>
    </w:p>
    <w:p>
      <w:pPr>
        <w:spacing w:line="600" w:lineRule="exact"/>
        <w:ind w:firstLine="560" w:firstLineChars="200"/>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司法行政工作满意度良好。</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firstLine="560" w:firstLineChars="200"/>
        <w:rPr>
          <w:rFonts w:hint="eastAsia" w:ascii="楷体_GB2312" w:hAnsi="Times New Roman" w:eastAsia="楷体_GB2312" w:cs="Times New Roman"/>
          <w:sz w:val="28"/>
          <w:szCs w:val="28"/>
        </w:rPr>
      </w:pPr>
      <w:r>
        <w:rPr>
          <w:rFonts w:hint="eastAsia" w:ascii="楷体_GB2312" w:hAnsi="Times New Roman" w:eastAsia="楷体_GB2312" w:cs="Times New Roman"/>
          <w:sz w:val="28"/>
          <w:szCs w:val="28"/>
        </w:rPr>
        <w:t>（一）财务管理</w:t>
      </w:r>
    </w:p>
    <w:p>
      <w:pPr>
        <w:spacing w:line="600" w:lineRule="exact"/>
        <w:ind w:firstLine="560" w:firstLineChars="200"/>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1.财务管理制度健全性</w:t>
      </w:r>
    </w:p>
    <w:p>
      <w:pPr>
        <w:spacing w:line="600" w:lineRule="exact"/>
        <w:ind w:firstLine="560" w:firstLineChars="200"/>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严格执行财务预算管理制度，重视预算编制，准确把握部门的工作重点；预算执行中根据实际需要，合理安排支出。</w:t>
      </w:r>
    </w:p>
    <w:p>
      <w:pPr>
        <w:spacing w:line="600" w:lineRule="exact"/>
        <w:ind w:firstLine="560" w:firstLineChars="200"/>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2.资金使用合规性和安全性</w:t>
      </w:r>
    </w:p>
    <w:p>
      <w:pPr>
        <w:spacing w:line="600" w:lineRule="exact"/>
        <w:ind w:firstLine="560" w:firstLineChars="200"/>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 xml:space="preserve">我局资金使用程序规范，资金使用由业务科室负责人填写申请单，递交主管领导、财务负责人、财务主管领导和我局主要领导进行签字审批。资金使用过程中严格按照下达预算的科目和项目执行，未出现截留、挤占、挪用或擅自调整等问题。 </w:t>
      </w:r>
    </w:p>
    <w:p>
      <w:pPr>
        <w:spacing w:line="600" w:lineRule="exact"/>
        <w:ind w:firstLine="560" w:firstLineChars="200"/>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3.会计基础信息完善性</w:t>
      </w:r>
    </w:p>
    <w:p>
      <w:pPr>
        <w:spacing w:line="600" w:lineRule="exact"/>
        <w:ind w:firstLine="560" w:firstLineChars="200"/>
      </w:pPr>
      <w:r>
        <w:rPr>
          <w:rFonts w:hint="eastAsia" w:ascii="仿宋_GB2312" w:hAnsi="仿宋_GB2312" w:eastAsia="仿宋_GB2312" w:cs="仿宋_GB2312"/>
          <w:b w:val="0"/>
          <w:bCs w:val="0"/>
          <w:color w:val="000000"/>
          <w:kern w:val="0"/>
          <w:sz w:val="28"/>
          <w:szCs w:val="28"/>
          <w:lang w:val="en-US" w:eastAsia="zh-CN"/>
        </w:rPr>
        <w:t xml:space="preserve">部门财务报告、项目收支明细账、固定资产台账等资料较为清晰，账目凭证规范、齐全，完整地反映部门基础数据信息和会计信息，基础信息整体上较为真实、完整。能够按照区预决算公开要求，公开2022年部门预算、部门决算信息，公开内容较完整。 </w:t>
      </w:r>
    </w:p>
    <w:p>
      <w:pPr>
        <w:spacing w:line="600" w:lineRule="exact"/>
        <w:ind w:firstLine="560" w:firstLineChars="200"/>
        <w:rPr>
          <w:rFonts w:hint="eastAsia" w:ascii="楷体_GB2312" w:hAnsi="Times New Roman" w:eastAsia="楷体_GB2312" w:cs="Times New Roman"/>
          <w:sz w:val="28"/>
          <w:szCs w:val="28"/>
        </w:rPr>
      </w:pPr>
      <w:r>
        <w:rPr>
          <w:rFonts w:hint="eastAsia" w:ascii="楷体_GB2312" w:hAnsi="Times New Roman" w:eastAsia="楷体_GB2312" w:cs="Times New Roman"/>
          <w:sz w:val="28"/>
          <w:szCs w:val="28"/>
          <w:lang w:eastAsia="zh-CN"/>
        </w:rPr>
        <w:t>（二）</w:t>
      </w:r>
      <w:r>
        <w:rPr>
          <w:rFonts w:hint="eastAsia" w:ascii="楷体_GB2312" w:hAnsi="Times New Roman" w:eastAsia="楷体_GB2312" w:cs="Times New Roman"/>
          <w:sz w:val="28"/>
          <w:szCs w:val="28"/>
        </w:rPr>
        <w:t>资产管理</w:t>
      </w:r>
    </w:p>
    <w:p>
      <w:pPr>
        <w:spacing w:line="600" w:lineRule="exact"/>
        <w:ind w:firstLine="560" w:firstLineChars="200"/>
        <w:rPr>
          <w:rFonts w:hint="eastAsia"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严格按照《北京市密云区财政局关于印发北京市密云区行政事业单位固定资产管理实施细则》的要求，加强对我局固定资产使用和报废的管理，合理配置和有效利用固定资产，确保固定资产管理流程规范。</w:t>
      </w:r>
    </w:p>
    <w:p>
      <w:pPr>
        <w:spacing w:line="600" w:lineRule="exact"/>
        <w:ind w:firstLine="560" w:firstLineChars="200"/>
        <w:rPr>
          <w:rFonts w:hint="eastAsia" w:ascii="楷体_GB2312" w:hAnsi="Times New Roman" w:eastAsia="楷体_GB2312" w:cs="Times New Roman"/>
          <w:sz w:val="28"/>
          <w:szCs w:val="28"/>
          <w:lang w:eastAsia="zh-CN"/>
        </w:rPr>
      </w:pPr>
      <w:r>
        <w:rPr>
          <w:rFonts w:hint="eastAsia" w:ascii="楷体_GB2312" w:hAnsi="Times New Roman" w:eastAsia="楷体_GB2312" w:cs="Times New Roman"/>
          <w:sz w:val="28"/>
          <w:szCs w:val="28"/>
          <w:lang w:eastAsia="zh-CN"/>
        </w:rPr>
        <w:t>（三）绩效管理</w:t>
      </w:r>
    </w:p>
    <w:p>
      <w:pPr>
        <w:pStyle w:val="6"/>
        <w:numPr>
          <w:ilvl w:val="0"/>
          <w:numId w:val="0"/>
        </w:numPr>
        <w:ind w:firstLine="560" w:firstLineChars="200"/>
      </w:pPr>
      <w:r>
        <w:rPr>
          <w:rFonts w:hint="eastAsia" w:ascii="仿宋_GB2312" w:eastAsia="仿宋_GB2312"/>
          <w:b w:val="0"/>
          <w:sz w:val="28"/>
          <w:szCs w:val="28"/>
        </w:rPr>
        <w:t>根据区财政局绩效管理要求，进行绩效目标编制、跟踪监控资金执行情况，并进行绩效评价，上报自评报表。将预算安排与绩效成效挂钩,作为政策调整和管理改进的重要依据。切实提高财政资金预算执行率及使用效益。</w:t>
      </w:r>
    </w:p>
    <w:p>
      <w:pPr>
        <w:spacing w:line="600" w:lineRule="exact"/>
        <w:ind w:firstLine="560" w:firstLineChars="200"/>
        <w:rPr>
          <w:rFonts w:hint="eastAsia" w:ascii="楷体_GB2312" w:hAnsi="Times New Roman" w:eastAsia="楷体_GB2312" w:cs="Times New Roman"/>
          <w:sz w:val="28"/>
          <w:szCs w:val="28"/>
          <w:lang w:eastAsia="zh-CN"/>
        </w:rPr>
      </w:pPr>
      <w:r>
        <w:rPr>
          <w:rFonts w:hint="eastAsia" w:ascii="楷体_GB2312" w:hAnsi="Times New Roman" w:eastAsia="楷体_GB2312" w:cs="Times New Roman"/>
          <w:sz w:val="28"/>
          <w:szCs w:val="28"/>
          <w:lang w:eastAsia="zh-CN"/>
        </w:rPr>
        <w:t>（四）结转结余率</w:t>
      </w:r>
    </w:p>
    <w:p>
      <w:pPr>
        <w:spacing w:line="600" w:lineRule="exact"/>
        <w:ind w:firstLine="560" w:firstLineChars="200"/>
        <w:rPr>
          <w:rFonts w:hint="default" w:ascii="楷体_GB2312" w:eastAsia="楷体_GB2312"/>
          <w:sz w:val="32"/>
          <w:szCs w:val="32"/>
          <w:lang w:val="en-US" w:eastAsia="zh-CN"/>
        </w:rPr>
      </w:pPr>
      <w:r>
        <w:rPr>
          <w:rFonts w:hint="eastAsia" w:ascii="仿宋_GB2312" w:hAnsi="Times New Roman" w:eastAsia="仿宋_GB2312" w:cs="Times New Roman"/>
          <w:b w:val="0"/>
          <w:kern w:val="2"/>
          <w:sz w:val="28"/>
          <w:szCs w:val="28"/>
          <w:lang w:val="en-US" w:eastAsia="zh-CN" w:bidi="ar-SA"/>
        </w:rPr>
        <w:t>2023年资金结转41万元，均为项目经费，结转率为1.27%。</w:t>
      </w:r>
    </w:p>
    <w:p>
      <w:pPr>
        <w:spacing w:line="600" w:lineRule="exact"/>
        <w:ind w:firstLine="560" w:firstLineChars="200"/>
        <w:rPr>
          <w:rFonts w:hint="eastAsia" w:ascii="楷体_GB2312" w:hAnsi="Times New Roman" w:eastAsia="楷体_GB2312" w:cs="Times New Roman"/>
          <w:sz w:val="28"/>
          <w:szCs w:val="28"/>
          <w:lang w:eastAsia="zh-CN"/>
        </w:rPr>
      </w:pPr>
      <w:r>
        <w:rPr>
          <w:rFonts w:hint="eastAsia" w:ascii="楷体_GB2312" w:hAnsi="Times New Roman" w:eastAsia="楷体_GB2312" w:cs="Times New Roman"/>
          <w:sz w:val="28"/>
          <w:szCs w:val="28"/>
          <w:lang w:eastAsia="zh-CN"/>
        </w:rPr>
        <w:t>（五）部门预决算差异率</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firstLine="560" w:firstLineChars="200"/>
        <w:rPr>
          <w:rFonts w:hint="eastAsia" w:ascii="楷体_GB2312" w:hAnsi="Times New Roman" w:eastAsia="楷体_GB2312" w:cs="Times New Roman"/>
          <w:sz w:val="28"/>
          <w:szCs w:val="28"/>
          <w:lang w:eastAsia="zh-CN"/>
        </w:rPr>
      </w:pPr>
      <w:r>
        <w:rPr>
          <w:rFonts w:hint="eastAsia" w:ascii="楷体_GB2312" w:hAnsi="Times New Roman" w:eastAsia="楷体_GB2312" w:cs="Times New Roman"/>
          <w:sz w:val="28"/>
          <w:szCs w:val="28"/>
          <w:lang w:eastAsia="zh-CN"/>
        </w:rPr>
        <w:t>（一）评价得分情况</w:t>
      </w:r>
    </w:p>
    <w:p>
      <w:pPr>
        <w:pStyle w:val="2"/>
        <w:ind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2023年，在区委</w:t>
      </w:r>
      <w:r>
        <w:rPr>
          <w:rFonts w:hint="eastAsia" w:ascii="仿宋_GB2312" w:eastAsia="仿宋_GB2312" w:cs="Times New Roman"/>
          <w:b w:val="0"/>
          <w:kern w:val="2"/>
          <w:sz w:val="28"/>
          <w:szCs w:val="28"/>
          <w:lang w:val="en-US" w:eastAsia="zh-CN" w:bidi="ar-SA"/>
        </w:rPr>
        <w:t>、</w:t>
      </w:r>
      <w:r>
        <w:rPr>
          <w:rFonts w:hint="eastAsia" w:ascii="仿宋_GB2312" w:hAnsi="Times New Roman" w:eastAsia="仿宋_GB2312" w:cs="Times New Roman"/>
          <w:b w:val="0"/>
          <w:kern w:val="2"/>
          <w:sz w:val="28"/>
          <w:szCs w:val="28"/>
          <w:lang w:val="en-US" w:eastAsia="zh-CN" w:bidi="ar-SA"/>
        </w:rPr>
        <w:t>区政府、区委政法委和市司法局的领导下，我局有序开展了依法治区、普法宣传、公共法律服务等工作，年度工作任务完成情况较好，对强化司法行政工作基础，推进首都法治建设，维护首都安全稳定产生了积极影响。</w:t>
      </w:r>
    </w:p>
    <w:p>
      <w:pPr>
        <w:spacing w:line="600" w:lineRule="exact"/>
        <w:ind w:firstLine="560" w:firstLineChars="200"/>
        <w:rPr>
          <w:rFonts w:hint="eastAsia" w:ascii="楷体_GB2312" w:hAnsi="Times New Roman" w:eastAsia="楷体_GB2312" w:cs="Times New Roman"/>
          <w:sz w:val="28"/>
          <w:szCs w:val="28"/>
          <w:lang w:eastAsia="zh-CN"/>
        </w:rPr>
      </w:pPr>
      <w:r>
        <w:rPr>
          <w:rFonts w:hint="eastAsia" w:ascii="楷体_GB2312" w:hAnsi="Times New Roman" w:eastAsia="楷体_GB2312" w:cs="Times New Roman"/>
          <w:sz w:val="28"/>
          <w:szCs w:val="28"/>
          <w:lang w:eastAsia="zh-CN"/>
        </w:rPr>
        <w:t>（二）存在的问题及原因分析</w:t>
      </w:r>
    </w:p>
    <w:p>
      <w:pPr>
        <w:pStyle w:val="2"/>
        <w:ind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无。</w:t>
      </w:r>
    </w:p>
    <w:p>
      <w:pPr>
        <w:numPr>
          <w:ilvl w:val="0"/>
          <w:numId w:val="2"/>
        </w:num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措施建议</w:t>
      </w:r>
    </w:p>
    <w:p>
      <w:pPr>
        <w:pStyle w:val="2"/>
        <w:ind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无。</w:t>
      </w:r>
      <w:bookmarkStart w:id="0" w:name="_GoBack"/>
      <w:bookmarkEnd w:id="0"/>
    </w:p>
    <w:p>
      <w:pPr>
        <w:spacing w:line="600" w:lineRule="exact"/>
        <w:rPr>
          <w:rFonts w:hint="eastAsia" w:ascii="仿宋_GB2312" w:hAnsi="宋体" w:eastAsia="仿宋_GB2312" w:cs="宋体"/>
          <w:color w:val="000000"/>
          <w:kern w:val="0"/>
          <w:sz w:val="32"/>
          <w:szCs w:val="32"/>
        </w:rPr>
      </w:pPr>
    </w:p>
    <w:p>
      <w:pPr>
        <w:spacing w:line="480" w:lineRule="exact"/>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ind w:firstLine="420"/>
        <w:rPr>
          <w:rFonts w:hint="eastAsia"/>
        </w:rPr>
      </w:pPr>
    </w:p>
    <w:p>
      <w:pPr>
        <w:pStyle w:val="6"/>
        <w:ind w:firstLine="0" w:firstLineChars="0"/>
        <w:rPr>
          <w:rFonts w:hint="eastAsia" w:ascii="黑体" w:eastAsia="黑体"/>
          <w:sz w:val="32"/>
          <w:szCs w:val="32"/>
        </w:rPr>
      </w:pPr>
    </w:p>
    <w:p>
      <w:pPr>
        <w:jc w:val="center"/>
        <w:rPr>
          <w:rFonts w:hint="eastAsia" w:ascii="仿宋_GB2312" w:eastAsia="仿宋_GB2312"/>
          <w:sz w:val="28"/>
          <w:szCs w:val="28"/>
        </w:rPr>
      </w:pPr>
      <w:r>
        <w:rPr>
          <w:rFonts w:hint="eastAsia" w:ascii="黑体" w:hAnsi="黑体" w:eastAsia="黑体" w:cs="方正小标宋简体"/>
          <w:color w:val="000000"/>
          <w:kern w:val="0"/>
          <w:sz w:val="36"/>
          <w:szCs w:val="36"/>
          <w:lang w:bidi="ar"/>
        </w:rPr>
        <w:t>2</w:t>
      </w:r>
      <w:r>
        <w:rPr>
          <w:rFonts w:ascii="黑体" w:hAnsi="黑体" w:eastAsia="黑体" w:cs="方正小标宋简体"/>
          <w:color w:val="000000"/>
          <w:kern w:val="0"/>
          <w:sz w:val="36"/>
          <w:szCs w:val="36"/>
          <w:lang w:bidi="ar"/>
        </w:rPr>
        <w:t>02</w:t>
      </w:r>
      <w:r>
        <w:rPr>
          <w:rFonts w:hint="eastAsia" w:ascii="黑体" w:hAnsi="黑体" w:eastAsia="黑体" w:cs="方正小标宋简体"/>
          <w:color w:val="000000"/>
          <w:kern w:val="0"/>
          <w:sz w:val="36"/>
          <w:szCs w:val="36"/>
          <w:lang w:val="en-US" w:eastAsia="zh-CN" w:bidi="ar"/>
        </w:rPr>
        <w:t>3</w:t>
      </w:r>
      <w:r>
        <w:rPr>
          <w:rFonts w:hint="eastAsia" w:ascii="黑体" w:hAnsi="黑体" w:eastAsia="黑体" w:cs="方正小标宋简体"/>
          <w:color w:val="000000"/>
          <w:kern w:val="0"/>
          <w:sz w:val="36"/>
          <w:szCs w:val="36"/>
          <w:lang w:bidi="ar"/>
        </w:rPr>
        <w:t>年部门整体绩效评价指标体系评分表</w:t>
      </w:r>
    </w:p>
    <w:tbl>
      <w:tblPr>
        <w:tblStyle w:val="13"/>
        <w:tblW w:w="14693" w:type="dxa"/>
        <w:tblInd w:w="93" w:type="dxa"/>
        <w:tblLayout w:type="fixed"/>
        <w:tblCellMar>
          <w:top w:w="0" w:type="dxa"/>
          <w:left w:w="108" w:type="dxa"/>
          <w:bottom w:w="0" w:type="dxa"/>
          <w:right w:w="108" w:type="dxa"/>
        </w:tblCellMar>
      </w:tblPr>
      <w:tblGrid>
        <w:gridCol w:w="1003"/>
        <w:gridCol w:w="1125"/>
        <w:gridCol w:w="797"/>
        <w:gridCol w:w="987"/>
        <w:gridCol w:w="1134"/>
        <w:gridCol w:w="703"/>
        <w:gridCol w:w="699"/>
        <w:gridCol w:w="4014"/>
        <w:gridCol w:w="4231"/>
      </w:tblGrid>
      <w:tr>
        <w:tblPrEx>
          <w:tblCellMar>
            <w:top w:w="0" w:type="dxa"/>
            <w:left w:w="108" w:type="dxa"/>
            <w:bottom w:w="0" w:type="dxa"/>
            <w:right w:w="108" w:type="dxa"/>
          </w:tblCellMar>
        </w:tblPrEx>
        <w:trPr>
          <w:trHeight w:val="220" w:hRule="atLeast"/>
        </w:trPr>
        <w:tc>
          <w:tcPr>
            <w:tcW w:w="14693"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一、当年预算执行情况（2</w:t>
            </w:r>
            <w:r>
              <w:rPr>
                <w:rFonts w:ascii="仿宋_GB2312" w:hAnsi="宋体" w:eastAsia="仿宋_GB2312" w:cs="仿宋_GB2312"/>
                <w:color w:val="000000"/>
                <w:kern w:val="0"/>
                <w:szCs w:val="21"/>
                <w:lang w:bidi="ar"/>
              </w:rPr>
              <w:t>0</w:t>
            </w:r>
            <w:r>
              <w:rPr>
                <w:rFonts w:hint="eastAsia" w:ascii="仿宋_GB2312" w:hAnsi="宋体" w:eastAsia="仿宋_GB2312" w:cs="仿宋_GB2312"/>
                <w:color w:val="000000"/>
                <w:kern w:val="0"/>
                <w:szCs w:val="21"/>
                <w:lang w:bidi="ar"/>
              </w:rPr>
              <w:t>分）</w:t>
            </w:r>
          </w:p>
        </w:tc>
      </w:tr>
      <w:tr>
        <w:tblPrEx>
          <w:tblCellMar>
            <w:top w:w="0" w:type="dxa"/>
            <w:left w:w="108" w:type="dxa"/>
            <w:bottom w:w="0" w:type="dxa"/>
            <w:right w:w="108" w:type="dxa"/>
          </w:tblCellMar>
        </w:tblPrEx>
        <w:trPr>
          <w:trHeight w:val="974"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二级指标</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预算数（万元）</w:t>
            </w:r>
          </w:p>
        </w:tc>
        <w:tc>
          <w:tcPr>
            <w:tcW w:w="9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执行数（万元）</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预算执行率</w:t>
            </w:r>
          </w:p>
        </w:tc>
        <w:tc>
          <w:tcPr>
            <w:tcW w:w="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c>
          <w:tcPr>
            <w:tcW w:w="40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指标解释</w:t>
            </w:r>
          </w:p>
        </w:tc>
        <w:tc>
          <w:tcPr>
            <w:tcW w:w="42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评分标准</w:t>
            </w:r>
          </w:p>
        </w:tc>
      </w:tr>
      <w:tr>
        <w:tblPrEx>
          <w:tblCellMar>
            <w:top w:w="0" w:type="dxa"/>
            <w:left w:w="108" w:type="dxa"/>
            <w:bottom w:w="0" w:type="dxa"/>
            <w:right w:w="108" w:type="dxa"/>
          </w:tblCellMar>
        </w:tblPrEx>
        <w:trPr>
          <w:trHeight w:val="220" w:hRule="atLeast"/>
        </w:trPr>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当年预算执行情况（2</w:t>
            </w:r>
            <w:r>
              <w:rPr>
                <w:rFonts w:ascii="仿宋_GB2312" w:hAnsi="宋体" w:eastAsia="仿宋_GB2312" w:cs="仿宋_GB2312"/>
                <w:color w:val="000000"/>
                <w:kern w:val="0"/>
                <w:szCs w:val="21"/>
                <w:lang w:bidi="ar"/>
              </w:rPr>
              <w:t>0</w:t>
            </w:r>
            <w:r>
              <w:rPr>
                <w:rFonts w:hint="eastAsia" w:ascii="仿宋_GB2312" w:hAnsi="宋体" w:eastAsia="仿宋_GB2312" w:cs="仿宋_GB2312"/>
                <w:color w:val="000000"/>
                <w:kern w:val="0"/>
                <w:szCs w:val="21"/>
                <w:lang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资金总体</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3219.61</w:t>
            </w:r>
          </w:p>
        </w:tc>
        <w:tc>
          <w:tcPr>
            <w:tcW w:w="98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3178.61</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98.73%</w:t>
            </w:r>
          </w:p>
        </w:tc>
        <w:tc>
          <w:tcPr>
            <w:tcW w:w="703"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w:t>
            </w:r>
            <w:r>
              <w:rPr>
                <w:rFonts w:ascii="仿宋_GB2312" w:hAnsi="宋体" w:eastAsia="仿宋_GB2312" w:cs="仿宋_GB2312"/>
                <w:color w:val="000000"/>
                <w:szCs w:val="21"/>
              </w:rPr>
              <w:t>0</w:t>
            </w: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9</w:t>
            </w:r>
          </w:p>
        </w:tc>
        <w:tc>
          <w:tcPr>
            <w:tcW w:w="4014"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部门全年执行数与全年预算数的比率。资金总体=基本支出+项目支出+其他</w:t>
            </w:r>
          </w:p>
        </w:tc>
        <w:tc>
          <w:tcPr>
            <w:tcW w:w="4231" w:type="dxa"/>
            <w:vMerge w:val="restart"/>
            <w:tcBorders>
              <w:top w:val="single" w:color="000000" w:sz="4" w:space="0"/>
              <w:left w:val="single" w:color="000000" w:sz="4" w:space="0"/>
              <w:right w:val="single" w:color="000000" w:sz="4" w:space="0"/>
            </w:tcBorders>
            <w:vAlign w:val="top"/>
          </w:tcPr>
          <w:p>
            <w:pP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①得分一档最高不能超过该指标分值上限（20分）。</w:t>
            </w:r>
          </w:p>
          <w:p>
            <w:pP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 200%-300%（含 200%）区间，则按照该指标分值的 10%扣分；计算结果在300%-500%（含300%）区间，则按照该指标分值的 20%扣分；计算结果高于500%（含500%），则按照该指标分值的 30%扣分。</w:t>
            </w:r>
          </w:p>
        </w:tc>
      </w:tr>
      <w:tr>
        <w:trPr>
          <w:trHeight w:val="220" w:hRule="atLeast"/>
        </w:trPr>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基本支出</w:t>
            </w:r>
          </w:p>
        </w:tc>
        <w:tc>
          <w:tcPr>
            <w:tcW w:w="79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2232.36</w:t>
            </w:r>
          </w:p>
        </w:tc>
        <w:tc>
          <w:tcPr>
            <w:tcW w:w="98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2232.36</w:t>
            </w:r>
          </w:p>
        </w:tc>
        <w:tc>
          <w:tcPr>
            <w:tcW w:w="1134" w:type="dxa"/>
            <w:vMerge w:val="restart"/>
            <w:tcBorders>
              <w:top w:val="single" w:color="000000" w:sz="4" w:space="0"/>
              <w:left w:val="single" w:color="000000" w:sz="4" w:space="0"/>
              <w:right w:val="single" w:color="000000" w:sz="4" w:space="0"/>
            </w:tcBorders>
            <w:vAlign w:val="center"/>
          </w:tcPr>
          <w:p>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w:t>
            </w:r>
          </w:p>
        </w:tc>
        <w:tc>
          <w:tcPr>
            <w:tcW w:w="703"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5</w:t>
            </w:r>
          </w:p>
        </w:tc>
        <w:tc>
          <w:tcPr>
            <w:tcW w:w="4014"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4231" w:type="dxa"/>
            <w:vMerge w:val="continue"/>
            <w:tcBorders>
              <w:left w:val="single" w:color="000000" w:sz="4" w:space="0"/>
              <w:right w:val="single" w:color="000000" w:sz="4" w:space="0"/>
            </w:tcBorders>
            <w:vAlign w:val="top"/>
          </w:tcPr>
          <w:p>
            <w:pPr>
              <w:jc w:val="cente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trHeight w:val="220" w:hRule="atLeast"/>
        </w:trPr>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项目支出</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987.25</w:t>
            </w:r>
          </w:p>
        </w:tc>
        <w:tc>
          <w:tcPr>
            <w:tcW w:w="98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946.25</w:t>
            </w:r>
          </w:p>
        </w:tc>
        <w:tc>
          <w:tcPr>
            <w:tcW w:w="1134"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703"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5</w:t>
            </w:r>
          </w:p>
        </w:tc>
        <w:tc>
          <w:tcPr>
            <w:tcW w:w="4014"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4231" w:type="dxa"/>
            <w:vMerge w:val="continue"/>
            <w:tcBorders>
              <w:left w:val="single" w:color="000000" w:sz="4" w:space="0"/>
              <w:right w:val="single" w:color="000000" w:sz="4" w:space="0"/>
            </w:tcBorders>
            <w:vAlign w:val="top"/>
          </w:tcPr>
          <w:p>
            <w:pPr>
              <w:jc w:val="cente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trHeight w:val="220" w:hRule="atLeast"/>
        </w:trPr>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其他</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宋体" w:eastAsia="仿宋_GB2312" w:cs="仿宋_GB2312"/>
                <w:color w:val="000000"/>
                <w:szCs w:val="21"/>
                <w:lang w:val="en-US" w:eastAsia="zh-CN"/>
              </w:rPr>
            </w:pPr>
          </w:p>
        </w:tc>
        <w:tc>
          <w:tcPr>
            <w:tcW w:w="98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0</w:t>
            </w:r>
          </w:p>
        </w:tc>
        <w:tc>
          <w:tcPr>
            <w:tcW w:w="1134"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703"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0</w:t>
            </w:r>
          </w:p>
        </w:tc>
        <w:tc>
          <w:tcPr>
            <w:tcW w:w="4014"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4231" w:type="dxa"/>
            <w:vMerge w:val="continue"/>
            <w:tcBorders>
              <w:left w:val="single" w:color="000000" w:sz="4" w:space="0"/>
              <w:bottom w:val="single" w:color="000000" w:sz="4" w:space="0"/>
              <w:right w:val="single" w:color="000000" w:sz="4" w:space="0"/>
            </w:tcBorders>
            <w:vAlign w:val="top"/>
          </w:tcPr>
          <w:p>
            <w:pPr>
              <w:jc w:val="cente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trHeight w:val="220" w:hRule="atLeast"/>
        </w:trPr>
        <w:tc>
          <w:tcPr>
            <w:tcW w:w="14693"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二、整体绩效目标实现情况（60分）</w:t>
            </w:r>
          </w:p>
        </w:tc>
      </w:tr>
      <w:tr>
        <w:trPr>
          <w:trHeight w:val="220"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一级指标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二级指标</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三级指标</w:t>
            </w:r>
          </w:p>
        </w:tc>
        <w:tc>
          <w:tcPr>
            <w:tcW w:w="9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指标值</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完成值</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c>
          <w:tcPr>
            <w:tcW w:w="40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指标解释</w:t>
            </w:r>
          </w:p>
        </w:tc>
        <w:tc>
          <w:tcPr>
            <w:tcW w:w="42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评分标准</w:t>
            </w:r>
          </w:p>
        </w:tc>
      </w:tr>
      <w:tr>
        <w:tblPrEx>
          <w:tblCellMar>
            <w:top w:w="0" w:type="dxa"/>
            <w:left w:w="108" w:type="dxa"/>
            <w:bottom w:w="0" w:type="dxa"/>
            <w:right w:w="108" w:type="dxa"/>
          </w:tblCellMar>
        </w:tblPrEx>
        <w:trPr>
          <w:trHeight w:val="220" w:hRule="atLeast"/>
        </w:trPr>
        <w:tc>
          <w:tcPr>
            <w:tcW w:w="10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整体绩效目标实现情况（60分）</w:t>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产出（3</w:t>
            </w:r>
            <w:r>
              <w:rPr>
                <w:rFonts w:ascii="仿宋_GB2312" w:hAnsi="宋体" w:eastAsia="仿宋_GB2312" w:cs="仿宋_GB2312"/>
                <w:color w:val="000000"/>
                <w:kern w:val="0"/>
                <w:szCs w:val="21"/>
                <w:lang w:bidi="ar"/>
              </w:rPr>
              <w:t>0</w:t>
            </w:r>
            <w:r>
              <w:rPr>
                <w:rFonts w:hint="eastAsia" w:ascii="仿宋_GB2312" w:hAnsi="宋体" w:eastAsia="仿宋_GB2312" w:cs="仿宋_GB2312"/>
                <w:color w:val="000000"/>
                <w:kern w:val="0"/>
                <w:szCs w:val="21"/>
                <w:lang w:bidi="ar"/>
              </w:rPr>
              <w:t>）</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lang w:eastAsia="zh-CN"/>
              </w:rPr>
            </w:pPr>
            <w:r>
              <w:rPr>
                <w:rFonts w:hint="eastAsia" w:ascii="仿宋_GB2312" w:hAnsi="宋体" w:eastAsia="仿宋_GB2312" w:cs="仿宋_GB2312"/>
                <w:color w:val="000000"/>
                <w:kern w:val="0"/>
                <w:szCs w:val="21"/>
                <w:lang w:eastAsia="zh-CN" w:bidi="ar"/>
              </w:rPr>
              <w:t>数量</w:t>
            </w:r>
          </w:p>
        </w:tc>
        <w:tc>
          <w:tcPr>
            <w:tcW w:w="9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lang w:eastAsia="zh-CN"/>
              </w:rPr>
            </w:pPr>
            <w:r>
              <w:rPr>
                <w:rFonts w:hint="eastAsia" w:ascii="宋体" w:hAnsi="宋体" w:eastAsia="宋体" w:cs="宋体"/>
                <w:i w:val="0"/>
                <w:color w:val="000000"/>
                <w:kern w:val="0"/>
                <w:sz w:val="20"/>
                <w:szCs w:val="20"/>
                <w:u w:val="none"/>
                <w:lang w:val="en-US" w:eastAsia="zh-CN" w:bidi="ar"/>
              </w:rPr>
              <w:t>人民调解受理案件数</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Cs w:val="21"/>
                <w:lang w:val="en-US" w:eastAsia="zh-CN"/>
              </w:rPr>
            </w:pPr>
            <w:r>
              <w:rPr>
                <w:rFonts w:hint="eastAsia" w:ascii="仿宋_GB2312" w:hAnsi="宋体" w:eastAsia="仿宋_GB2312" w:cs="宋体"/>
                <w:kern w:val="0"/>
                <w:szCs w:val="21"/>
                <w:lang w:val="en-US" w:eastAsia="zh-CN"/>
              </w:rPr>
              <w:t>1078件</w:t>
            </w:r>
          </w:p>
        </w:tc>
        <w:tc>
          <w:tcPr>
            <w:tcW w:w="703"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3</w:t>
            </w:r>
            <w:r>
              <w:rPr>
                <w:rFonts w:ascii="仿宋_GB2312" w:hAnsi="宋体" w:eastAsia="仿宋_GB2312" w:cs="仿宋_GB2312"/>
                <w:color w:val="000000"/>
                <w:szCs w:val="21"/>
              </w:rPr>
              <w:t>0</w:t>
            </w: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5</w:t>
            </w:r>
          </w:p>
        </w:tc>
        <w:tc>
          <w:tcPr>
            <w:tcW w:w="4014" w:type="dxa"/>
            <w:vMerge w:val="restart"/>
            <w:tcBorders>
              <w:top w:val="single" w:color="000000" w:sz="4" w:space="0"/>
              <w:left w:val="single" w:color="000000" w:sz="4" w:space="0"/>
              <w:right w:val="single" w:color="000000" w:sz="4" w:space="0"/>
            </w:tcBorders>
            <w:vAlign w:val="top"/>
          </w:tcPr>
          <w:p>
            <w:pPr>
              <w:rPr>
                <w:rFonts w:hint="eastAsia" w:ascii="仿宋_GB2312" w:hAnsi="宋体" w:eastAsia="仿宋_GB2312" w:cs="仿宋_GB2312"/>
                <w:color w:val="000000"/>
                <w:szCs w:val="21"/>
              </w:rPr>
            </w:pPr>
            <w:r>
              <w:rPr>
                <w:rFonts w:hint="eastAsia" w:ascii="仿宋_GB2312" w:hAnsi="宋体" w:eastAsia="仿宋_GB2312" w:cs="仿宋_GB2312"/>
                <w:b/>
                <w:bCs/>
                <w:color w:val="000000"/>
                <w:szCs w:val="21"/>
              </w:rPr>
              <w:t>产出数量：</w:t>
            </w:r>
            <w:r>
              <w:rPr>
                <w:rFonts w:hint="eastAsia" w:ascii="仿宋_GB2312" w:hAnsi="宋体" w:eastAsia="仿宋_GB2312" w:cs="仿宋_GB2312"/>
                <w:color w:val="000000"/>
                <w:szCs w:val="21"/>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仿宋_GB2312" w:hAnsi="宋体" w:eastAsia="仿宋_GB2312" w:cs="仿宋_GB2312"/>
                <w:b/>
                <w:bCs/>
                <w:color w:val="000000"/>
                <w:szCs w:val="21"/>
              </w:rPr>
              <w:t>产出质量：</w:t>
            </w:r>
            <w:r>
              <w:rPr>
                <w:rFonts w:hint="eastAsia" w:ascii="仿宋_GB2312" w:hAnsi="宋体" w:eastAsia="仿宋_GB2312" w:cs="仿宋_GB2312"/>
                <w:color w:val="000000"/>
                <w:szCs w:val="21"/>
              </w:rPr>
              <w:t>质量达标率=质量达标工作数/实际完成工作数×100%。质量达标工作数：一定时期（年度或规划期）内部门（单位）实际完成工作数中达到部门绩效目标要求（绩效标准值）的工作任务数量。</w:t>
            </w:r>
            <w:r>
              <w:rPr>
                <w:rFonts w:hint="eastAsia" w:ascii="仿宋_GB2312" w:hAnsi="宋体" w:eastAsia="仿宋_GB2312" w:cs="仿宋_GB2312"/>
                <w:b/>
                <w:bCs/>
                <w:color w:val="000000"/>
                <w:szCs w:val="21"/>
              </w:rPr>
              <w:t>产出进度：</w:t>
            </w:r>
            <w:r>
              <w:rPr>
                <w:rFonts w:hint="eastAsia" w:ascii="仿宋_GB2312" w:hAnsi="宋体" w:eastAsia="仿宋_GB2312" w:cs="仿宋_GB2312"/>
                <w:color w:val="000000"/>
                <w:szCs w:val="21"/>
              </w:rPr>
              <w:t>按时完成率=（按时完成工作数/实际完成工作数）×100%。按时完成工作数：部门（单位）按照整体绩效目标确定的时限实际完成的工作任务数量。</w:t>
            </w:r>
            <w:r>
              <w:rPr>
                <w:rFonts w:hint="eastAsia" w:ascii="仿宋_GB2312" w:hAnsi="宋体" w:eastAsia="仿宋_GB2312" w:cs="仿宋_GB2312"/>
                <w:b/>
                <w:bCs/>
                <w:color w:val="000000"/>
                <w:szCs w:val="21"/>
              </w:rPr>
              <w:t>产出成本：</w:t>
            </w:r>
            <w:r>
              <w:rPr>
                <w:rFonts w:hint="eastAsia" w:ascii="仿宋_GB2312" w:hAnsi="宋体" w:eastAsia="仿宋_GB2312" w:cs="仿宋_GB2312"/>
                <w:color w:val="000000"/>
                <w:szCs w:val="21"/>
              </w:rPr>
              <w:t>单位产出相对于上一</w:t>
            </w:r>
          </w:p>
          <w:p>
            <w:pP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年度的节约额；②单位产出相对于市场同类产出的节约额；③部门公用经费的控制情况。</w:t>
            </w:r>
          </w:p>
        </w:tc>
        <w:tc>
          <w:tcPr>
            <w:tcW w:w="4231" w:type="dxa"/>
            <w:vMerge w:val="restart"/>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部门根据本单位情况自行确定并选择产出指标，合理确定各项指标权重。可量化的指标按照比率*单项指标分值即为该指标得分。如果不能定量评价，则以定性的方式进行自评。</w:t>
            </w:r>
          </w:p>
        </w:tc>
      </w:tr>
      <w:tr>
        <w:tblPrEx>
          <w:tblCellMar>
            <w:top w:w="0" w:type="dxa"/>
            <w:left w:w="108" w:type="dxa"/>
            <w:bottom w:w="0" w:type="dxa"/>
            <w:right w:w="108" w:type="dxa"/>
          </w:tblCellMar>
        </w:tblPrEx>
        <w:trPr>
          <w:trHeight w:val="963" w:hRule="atLeast"/>
        </w:trPr>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lang w:eastAsia="zh-CN"/>
              </w:rPr>
            </w:pPr>
            <w:r>
              <w:rPr>
                <w:rFonts w:hint="eastAsia" w:ascii="仿宋_GB2312" w:hAnsi="宋体" w:eastAsia="仿宋_GB2312" w:cs="仿宋_GB2312"/>
                <w:color w:val="000000"/>
                <w:kern w:val="0"/>
                <w:szCs w:val="21"/>
                <w:lang w:eastAsia="zh-CN" w:bidi="ar"/>
              </w:rPr>
              <w:t>质量</w:t>
            </w:r>
          </w:p>
        </w:tc>
        <w:tc>
          <w:tcPr>
            <w:tcW w:w="9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lang w:eastAsia="zh-CN"/>
              </w:rPr>
            </w:pPr>
            <w:r>
              <w:rPr>
                <w:rFonts w:hint="eastAsia" w:ascii="宋体" w:hAnsi="宋体" w:eastAsia="宋体" w:cs="宋体"/>
                <w:i w:val="0"/>
                <w:color w:val="000000"/>
                <w:kern w:val="0"/>
                <w:sz w:val="20"/>
                <w:szCs w:val="20"/>
                <w:u w:val="none"/>
                <w:lang w:val="en-US" w:eastAsia="zh-CN" w:bidi="ar"/>
              </w:rPr>
              <w:t>人民调解案件办结率</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lang w:val="en-US" w:eastAsia="zh-CN"/>
              </w:rPr>
              <w:t>98%</w:t>
            </w:r>
          </w:p>
        </w:tc>
        <w:tc>
          <w:tcPr>
            <w:tcW w:w="703"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10</w:t>
            </w:r>
          </w:p>
        </w:tc>
        <w:tc>
          <w:tcPr>
            <w:tcW w:w="4014"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4231" w:type="dxa"/>
            <w:vMerge w:val="continue"/>
            <w:tcBorders>
              <w:left w:val="single" w:color="000000" w:sz="4" w:space="0"/>
              <w:right w:val="single" w:color="000000" w:sz="4" w:space="0"/>
            </w:tcBorders>
            <w:vAlign w:val="top"/>
          </w:tcPr>
          <w:p>
            <w:pPr>
              <w:jc w:val="cente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trHeight w:val="1928" w:hRule="atLeast"/>
        </w:trPr>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时效指标</w:t>
            </w:r>
          </w:p>
        </w:tc>
        <w:tc>
          <w:tcPr>
            <w:tcW w:w="9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项目实施</w:t>
            </w:r>
          </w:p>
          <w:p>
            <w:pPr>
              <w:jc w:val="center"/>
              <w:rPr>
                <w:rFonts w:hint="eastAsia" w:ascii="仿宋_GB2312" w:hAnsi="宋体" w:eastAsia="仿宋_GB2312" w:cs="仿宋_GB2312"/>
                <w:color w:val="000000"/>
                <w:szCs w:val="21"/>
              </w:rPr>
            </w:pPr>
            <w:r>
              <w:rPr>
                <w:rFonts w:hint="eastAsia" w:ascii="仿宋_GB2312" w:hAnsi="宋体" w:eastAsia="仿宋_GB2312" w:cs="宋体"/>
                <w:kern w:val="0"/>
                <w:szCs w:val="21"/>
                <w:lang w:val="en-US" w:eastAsia="zh-CN"/>
              </w:rPr>
              <w:t>项目总结</w:t>
            </w:r>
          </w:p>
        </w:tc>
        <w:tc>
          <w:tcPr>
            <w:tcW w:w="1134" w:type="dxa"/>
            <w:tcBorders>
              <w:top w:val="single" w:color="000000" w:sz="4" w:space="0"/>
              <w:left w:val="single" w:color="000000" w:sz="4" w:space="0"/>
              <w:bottom w:val="single" w:color="000000" w:sz="4" w:space="0"/>
              <w:right w:val="single" w:color="000000" w:sz="4" w:space="0"/>
            </w:tcBorders>
            <w:vAlign w:val="top"/>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2023.1-12月按计划实施项目</w:t>
            </w:r>
          </w:p>
          <w:p>
            <w:pPr>
              <w:widowControl/>
              <w:spacing w:line="240" w:lineRule="exact"/>
              <w:jc w:val="center"/>
              <w:rPr>
                <w:rFonts w:hint="eastAsia" w:ascii="仿宋_GB2312" w:hAnsi="宋体" w:eastAsia="仿宋_GB2312" w:cs="仿宋_GB2312"/>
                <w:color w:val="000000"/>
                <w:szCs w:val="21"/>
              </w:rPr>
            </w:pPr>
            <w:r>
              <w:rPr>
                <w:rFonts w:hint="eastAsia" w:ascii="仿宋_GB2312" w:hAnsi="宋体" w:eastAsia="仿宋_GB2312" w:cs="宋体"/>
                <w:kern w:val="0"/>
                <w:szCs w:val="21"/>
                <w:lang w:val="en-US" w:eastAsia="zh-CN"/>
              </w:rPr>
              <w:t>2023年12月底进行项目总结</w:t>
            </w:r>
          </w:p>
        </w:tc>
        <w:tc>
          <w:tcPr>
            <w:tcW w:w="703"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5</w:t>
            </w:r>
          </w:p>
        </w:tc>
        <w:tc>
          <w:tcPr>
            <w:tcW w:w="4014"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4231" w:type="dxa"/>
            <w:vMerge w:val="continue"/>
            <w:tcBorders>
              <w:left w:val="single" w:color="000000" w:sz="4" w:space="0"/>
              <w:right w:val="single" w:color="000000" w:sz="4" w:space="0"/>
            </w:tcBorders>
            <w:vAlign w:val="top"/>
          </w:tcPr>
          <w:p>
            <w:pPr>
              <w:jc w:val="center"/>
              <w:rPr>
                <w:rFonts w:hint="eastAsia" w:ascii="仿宋_GB2312" w:hAnsi="宋体" w:eastAsia="仿宋_GB2312" w:cs="仿宋_GB2312"/>
                <w:color w:val="000000"/>
                <w:szCs w:val="21"/>
              </w:rPr>
            </w:pPr>
          </w:p>
        </w:tc>
      </w:tr>
      <w:tr>
        <w:trPr>
          <w:trHeight w:val="220" w:hRule="atLeast"/>
        </w:trPr>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成本指标</w:t>
            </w:r>
          </w:p>
        </w:tc>
        <w:tc>
          <w:tcPr>
            <w:tcW w:w="9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eastAsia="zh-CN" w:bidi="ar"/>
              </w:rPr>
              <w:t>预算控制；支出合规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1.成本不超过预算经费和追加经费之和；</w:t>
            </w:r>
          </w:p>
          <w:p>
            <w:pPr>
              <w:jc w:val="center"/>
              <w:rPr>
                <w:rFonts w:hint="eastAsia" w:ascii="仿宋_GB2312" w:hAnsi="宋体" w:eastAsia="仿宋_GB2312" w:cs="仿宋_GB2312"/>
                <w:color w:val="000000"/>
                <w:szCs w:val="21"/>
              </w:rPr>
            </w:pPr>
            <w:r>
              <w:rPr>
                <w:rFonts w:hint="eastAsia" w:ascii="仿宋_GB2312" w:hAnsi="宋体" w:eastAsia="仿宋_GB2312" w:cs="宋体"/>
                <w:kern w:val="0"/>
                <w:szCs w:val="21"/>
                <w:lang w:val="en-US" w:eastAsia="zh-CN"/>
              </w:rPr>
              <w:t>2.支出合法合规。</w:t>
            </w:r>
          </w:p>
        </w:tc>
        <w:tc>
          <w:tcPr>
            <w:tcW w:w="703"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10</w:t>
            </w:r>
          </w:p>
        </w:tc>
        <w:tc>
          <w:tcPr>
            <w:tcW w:w="4014"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4231" w:type="dxa"/>
            <w:vMerge w:val="continue"/>
            <w:tcBorders>
              <w:left w:val="single" w:color="000000" w:sz="4" w:space="0"/>
              <w:bottom w:val="single" w:color="000000" w:sz="4" w:space="0"/>
              <w:right w:val="single" w:color="000000" w:sz="4" w:space="0"/>
            </w:tcBorders>
            <w:vAlign w:val="top"/>
          </w:tcPr>
          <w:p>
            <w:pPr>
              <w:jc w:val="cente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trHeight w:val="1287" w:hRule="atLeast"/>
        </w:trPr>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效果（3</w:t>
            </w:r>
            <w:r>
              <w:rPr>
                <w:rFonts w:ascii="仿宋_GB2312" w:hAnsi="宋体" w:eastAsia="仿宋_GB2312" w:cs="仿宋_GB2312"/>
                <w:color w:val="000000"/>
                <w:kern w:val="0"/>
                <w:szCs w:val="21"/>
                <w:lang w:bidi="ar"/>
              </w:rPr>
              <w:t>0</w:t>
            </w:r>
            <w:r>
              <w:rPr>
                <w:rFonts w:hint="eastAsia" w:ascii="仿宋_GB2312" w:hAnsi="宋体" w:eastAsia="仿宋_GB2312" w:cs="仿宋_GB2312"/>
                <w:color w:val="000000"/>
                <w:kern w:val="0"/>
                <w:szCs w:val="21"/>
                <w:lang w:bidi="ar"/>
              </w:rPr>
              <w:t>）</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经济效益指标</w:t>
            </w:r>
          </w:p>
        </w:tc>
        <w:tc>
          <w:tcPr>
            <w:tcW w:w="9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仿宋_GB2312"/>
                <w:color w:val="000000"/>
                <w:szCs w:val="21"/>
              </w:rPr>
            </w:pPr>
            <w:r>
              <w:rPr>
                <w:rFonts w:hint="eastAsia" w:ascii="宋体" w:hAnsi="宋体" w:eastAsia="宋体" w:cs="宋体"/>
                <w:i w:val="0"/>
                <w:color w:val="000000"/>
                <w:kern w:val="0"/>
                <w:sz w:val="20"/>
                <w:szCs w:val="20"/>
                <w:u w:val="none"/>
                <w:lang w:val="en-US" w:eastAsia="zh-CN" w:bidi="ar"/>
              </w:rPr>
              <w:t>为人民群众提供有效的公共法律服务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仿宋_GB2312"/>
                <w:color w:val="000000"/>
                <w:kern w:val="2"/>
                <w:sz w:val="21"/>
                <w:szCs w:val="21"/>
                <w:lang w:val="en-US" w:eastAsia="zh-CN" w:bidi="ar-SA"/>
              </w:rPr>
            </w:pPr>
            <w:r>
              <w:rPr>
                <w:rFonts w:hint="eastAsia" w:ascii="仿宋_GB2312" w:hAnsi="宋体" w:eastAsia="仿宋_GB2312" w:cs="宋体"/>
                <w:kern w:val="0"/>
                <w:szCs w:val="21"/>
                <w:lang w:eastAsia="zh-CN"/>
              </w:rPr>
              <w:t>有效提升</w:t>
            </w:r>
          </w:p>
        </w:tc>
        <w:tc>
          <w:tcPr>
            <w:tcW w:w="703"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3</w:t>
            </w:r>
            <w:r>
              <w:rPr>
                <w:rFonts w:ascii="仿宋_GB2312" w:hAnsi="宋体" w:eastAsia="仿宋_GB2312" w:cs="仿宋_GB2312"/>
                <w:color w:val="000000"/>
                <w:szCs w:val="21"/>
              </w:rPr>
              <w:t>0</w:t>
            </w: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5</w:t>
            </w:r>
          </w:p>
        </w:tc>
        <w:tc>
          <w:tcPr>
            <w:tcW w:w="4014" w:type="dxa"/>
            <w:vMerge w:val="restart"/>
            <w:tcBorders>
              <w:top w:val="single" w:color="000000" w:sz="4" w:space="0"/>
              <w:left w:val="single" w:color="000000" w:sz="4" w:space="0"/>
              <w:right w:val="single" w:color="000000" w:sz="4" w:space="0"/>
            </w:tcBorders>
            <w:vAlign w:val="top"/>
          </w:tcPr>
          <w:p>
            <w:pPr>
              <w:rPr>
                <w:rFonts w:hint="eastAsia" w:ascii="仿宋_GB2312" w:hAnsi="宋体" w:eastAsia="仿宋_GB2312" w:cs="仿宋_GB2312"/>
                <w:color w:val="000000"/>
                <w:szCs w:val="21"/>
              </w:rPr>
            </w:pPr>
            <w:r>
              <w:rPr>
                <w:rFonts w:hint="eastAsia" w:ascii="仿宋_GB2312" w:hAnsi="宋体" w:eastAsia="仿宋_GB2312" w:cs="仿宋_GB2312"/>
                <w:b/>
                <w:bCs/>
                <w:color w:val="000000"/>
                <w:szCs w:val="21"/>
              </w:rPr>
              <w:t>经济效益：</w:t>
            </w:r>
            <w:r>
              <w:rPr>
                <w:rFonts w:hint="eastAsia" w:ascii="仿宋_GB2312" w:hAnsi="宋体" w:eastAsia="仿宋_GB2312" w:cs="仿宋_GB2312"/>
                <w:color w:val="000000"/>
                <w:szCs w:val="21"/>
              </w:rPr>
              <w:t>部门（单位）履行职责对经济发展所带来的直接或间接影响。</w:t>
            </w:r>
            <w:r>
              <w:rPr>
                <w:rFonts w:hint="eastAsia" w:ascii="仿宋_GB2312" w:hAnsi="宋体" w:eastAsia="仿宋_GB2312" w:cs="仿宋_GB2312"/>
                <w:b/>
                <w:bCs/>
                <w:color w:val="000000"/>
                <w:szCs w:val="21"/>
              </w:rPr>
              <w:t>社会效益：</w:t>
            </w:r>
            <w:r>
              <w:rPr>
                <w:rFonts w:hint="eastAsia" w:ascii="仿宋_GB2312" w:hAnsi="宋体" w:eastAsia="仿宋_GB2312" w:cs="仿宋_GB2312"/>
                <w:color w:val="000000"/>
                <w:szCs w:val="21"/>
              </w:rPr>
              <w:t>部门（单位）履行职责对社会发展所带来的直接或间接影响。</w:t>
            </w:r>
            <w:r>
              <w:rPr>
                <w:rFonts w:hint="eastAsia" w:ascii="仿宋_GB2312" w:hAnsi="宋体" w:eastAsia="仿宋_GB2312" w:cs="仿宋_GB2312"/>
                <w:b/>
                <w:bCs/>
                <w:color w:val="000000"/>
                <w:szCs w:val="21"/>
              </w:rPr>
              <w:t>环境效益：</w:t>
            </w:r>
            <w:r>
              <w:rPr>
                <w:rFonts w:hint="eastAsia" w:ascii="仿宋_GB2312" w:hAnsi="宋体" w:eastAsia="仿宋_GB2312" w:cs="仿宋_GB2312"/>
                <w:color w:val="000000"/>
                <w:szCs w:val="21"/>
              </w:rPr>
              <w:t>部门（单位）履行职责对环境所带来的直接或间接影响。</w:t>
            </w:r>
            <w:r>
              <w:rPr>
                <w:rFonts w:hint="eastAsia" w:ascii="仿宋_GB2312" w:hAnsi="宋体" w:eastAsia="仿宋_GB2312" w:cs="仿宋_GB2312"/>
                <w:b/>
                <w:bCs/>
                <w:color w:val="000000"/>
                <w:szCs w:val="21"/>
              </w:rPr>
              <w:t>可持续性影响：</w:t>
            </w:r>
            <w:r>
              <w:rPr>
                <w:rFonts w:hint="eastAsia" w:ascii="仿宋_GB2312" w:hAnsi="宋体" w:eastAsia="仿宋_GB2312" w:cs="仿宋_GB2312"/>
                <w:color w:val="000000"/>
                <w:szCs w:val="21"/>
              </w:rPr>
              <w:t>部门绩效目标实现的长效机制建设情况，部门工作效率提升措施的创新。</w:t>
            </w:r>
            <w:r>
              <w:rPr>
                <w:rFonts w:hint="eastAsia" w:ascii="仿宋_GB2312" w:hAnsi="宋体" w:eastAsia="仿宋_GB2312" w:cs="仿宋_GB2312"/>
                <w:b/>
                <w:bCs/>
                <w:color w:val="000000"/>
                <w:szCs w:val="21"/>
              </w:rPr>
              <w:t>服务对象满意度：</w:t>
            </w:r>
            <w:r>
              <w:rPr>
                <w:rFonts w:hint="eastAsia" w:ascii="仿宋_GB2312" w:hAnsi="宋体" w:eastAsia="仿宋_GB2312" w:cs="仿宋_GB2312"/>
                <w:color w:val="000000"/>
                <w:szCs w:val="21"/>
              </w:rPr>
              <w:t>部门（单位）的服务对象对部门履职效果的满意程度。</w:t>
            </w:r>
          </w:p>
        </w:tc>
        <w:tc>
          <w:tcPr>
            <w:tcW w:w="4231" w:type="dxa"/>
            <w:vMerge w:val="restart"/>
            <w:tcBorders>
              <w:top w:val="single" w:color="000000" w:sz="4" w:space="0"/>
              <w:left w:val="single" w:color="000000" w:sz="4" w:space="0"/>
              <w:right w:val="single" w:color="000000" w:sz="4" w:space="0"/>
            </w:tcBorders>
            <w:vAlign w:val="center"/>
          </w:tcPr>
          <w:p>
            <w:pP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部门根据实际情况选择指标进行填写，并将其细化为相应的个性化指标。对于效益类指标可从受益对象瞄准度、受益广度和受益深度上进行设计分析。</w:t>
            </w:r>
          </w:p>
        </w:tc>
      </w:tr>
      <w:tr>
        <w:tblPrEx>
          <w:tblCellMar>
            <w:top w:w="0" w:type="dxa"/>
            <w:left w:w="108" w:type="dxa"/>
            <w:bottom w:w="0" w:type="dxa"/>
            <w:right w:w="108" w:type="dxa"/>
          </w:tblCellMar>
        </w:tblPrEx>
        <w:trPr>
          <w:trHeight w:val="220" w:hRule="atLeast"/>
        </w:trPr>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社会效益指标</w:t>
            </w:r>
          </w:p>
        </w:tc>
        <w:tc>
          <w:tcPr>
            <w:tcW w:w="9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仿宋_GB2312"/>
                <w:color w:val="000000"/>
                <w:szCs w:val="21"/>
              </w:rPr>
            </w:pPr>
            <w:r>
              <w:rPr>
                <w:rFonts w:hint="eastAsia" w:ascii="宋体" w:hAnsi="宋体" w:eastAsia="宋体" w:cs="宋体"/>
                <w:i w:val="0"/>
                <w:color w:val="000000"/>
                <w:kern w:val="0"/>
                <w:sz w:val="20"/>
                <w:szCs w:val="20"/>
                <w:u w:val="none"/>
                <w:lang w:val="en-US" w:eastAsia="zh-CN" w:bidi="ar"/>
              </w:rPr>
              <w:t>促进改善办案基础设施和办案条件</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仿宋_GB2312"/>
                <w:color w:val="000000"/>
                <w:kern w:val="2"/>
                <w:sz w:val="21"/>
                <w:szCs w:val="21"/>
                <w:lang w:val="en-US" w:eastAsia="zh-CN" w:bidi="ar-SA"/>
              </w:rPr>
            </w:pPr>
            <w:r>
              <w:rPr>
                <w:rFonts w:hint="eastAsia" w:ascii="仿宋_GB2312" w:hAnsi="宋体" w:eastAsia="仿宋_GB2312" w:cs="宋体"/>
                <w:kern w:val="0"/>
                <w:szCs w:val="21"/>
                <w:lang w:val="en-US" w:eastAsia="zh-CN"/>
              </w:rPr>
              <w:t>是</w:t>
            </w:r>
          </w:p>
        </w:tc>
        <w:tc>
          <w:tcPr>
            <w:tcW w:w="703"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10</w:t>
            </w:r>
          </w:p>
        </w:tc>
        <w:tc>
          <w:tcPr>
            <w:tcW w:w="4014"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4231" w:type="dxa"/>
            <w:vMerge w:val="continue"/>
            <w:tcBorders>
              <w:left w:val="single" w:color="000000" w:sz="4" w:space="0"/>
              <w:right w:val="single" w:color="000000" w:sz="4" w:space="0"/>
            </w:tcBorders>
            <w:vAlign w:val="top"/>
          </w:tcPr>
          <w:p>
            <w:pPr>
              <w:jc w:val="cente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trHeight w:val="220" w:hRule="atLeast"/>
        </w:trPr>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9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宋体" w:hAnsi="宋体" w:eastAsia="宋体" w:cs="宋体"/>
                <w:i w:val="0"/>
                <w:color w:val="000000"/>
                <w:kern w:val="0"/>
                <w:sz w:val="20"/>
                <w:szCs w:val="20"/>
                <w:u w:val="none"/>
                <w:lang w:val="en-US" w:eastAsia="zh-CN" w:bidi="ar"/>
              </w:rPr>
              <w:t>基层司法行政机关满意度</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2"/>
                <w:sz w:val="21"/>
                <w:szCs w:val="21"/>
                <w:lang w:val="en-US" w:eastAsia="zh-CN" w:bidi="ar-SA"/>
              </w:rPr>
            </w:pPr>
            <w:r>
              <w:rPr>
                <w:rFonts w:hint="eastAsia" w:ascii="仿宋_GB2312" w:hAnsi="宋体" w:eastAsia="仿宋_GB2312" w:cs="仿宋_GB2312"/>
                <w:color w:val="000000"/>
                <w:kern w:val="0"/>
                <w:szCs w:val="21"/>
                <w:lang w:eastAsia="zh-CN" w:bidi="ar"/>
              </w:rPr>
              <w:t>满意</w:t>
            </w:r>
          </w:p>
        </w:tc>
        <w:tc>
          <w:tcPr>
            <w:tcW w:w="703"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5</w:t>
            </w:r>
          </w:p>
        </w:tc>
        <w:tc>
          <w:tcPr>
            <w:tcW w:w="4014"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4231" w:type="dxa"/>
            <w:vMerge w:val="continue"/>
            <w:tcBorders>
              <w:left w:val="single" w:color="000000" w:sz="4" w:space="0"/>
              <w:right w:val="single" w:color="000000" w:sz="4" w:space="0"/>
            </w:tcBorders>
            <w:vAlign w:val="top"/>
          </w:tcPr>
          <w:p>
            <w:pPr>
              <w:jc w:val="center"/>
              <w:rPr>
                <w:rFonts w:hint="eastAsia" w:ascii="仿宋_GB2312" w:hAnsi="宋体" w:eastAsia="仿宋_GB2312" w:cs="仿宋_GB2312"/>
                <w:color w:val="000000"/>
                <w:szCs w:val="21"/>
              </w:rPr>
            </w:pPr>
          </w:p>
        </w:tc>
      </w:tr>
      <w:tr>
        <w:trPr>
          <w:trHeight w:val="220" w:hRule="atLeast"/>
        </w:trPr>
        <w:tc>
          <w:tcPr>
            <w:tcW w:w="10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可持续影响指标</w:t>
            </w:r>
          </w:p>
        </w:tc>
        <w:tc>
          <w:tcPr>
            <w:tcW w:w="9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仿宋_GB2312"/>
                <w:color w:val="000000"/>
                <w:szCs w:val="21"/>
              </w:rPr>
            </w:pPr>
            <w:r>
              <w:rPr>
                <w:rFonts w:hint="eastAsia" w:ascii="宋体" w:hAnsi="宋体" w:eastAsia="宋体" w:cs="宋体"/>
                <w:i w:val="0"/>
                <w:color w:val="000000"/>
                <w:kern w:val="0"/>
                <w:sz w:val="20"/>
                <w:szCs w:val="20"/>
                <w:u w:val="none"/>
                <w:lang w:val="en-US" w:eastAsia="zh-CN" w:bidi="ar"/>
              </w:rPr>
              <w:t>对基层司法行政机关办案经费保障力度持续加强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仿宋_GB2312"/>
                <w:color w:val="000000"/>
                <w:kern w:val="2"/>
                <w:sz w:val="21"/>
                <w:szCs w:val="21"/>
                <w:lang w:val="en-US" w:eastAsia="zh-CN" w:bidi="ar-SA"/>
              </w:rPr>
            </w:pPr>
            <w:r>
              <w:rPr>
                <w:rFonts w:hint="eastAsia" w:ascii="仿宋_GB2312" w:hAnsi="宋体" w:eastAsia="仿宋_GB2312" w:cs="宋体"/>
                <w:kern w:val="0"/>
                <w:szCs w:val="21"/>
                <w:lang w:eastAsia="zh-CN"/>
              </w:rPr>
              <w:t>是</w:t>
            </w:r>
          </w:p>
        </w:tc>
        <w:tc>
          <w:tcPr>
            <w:tcW w:w="703"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10</w:t>
            </w:r>
          </w:p>
        </w:tc>
        <w:tc>
          <w:tcPr>
            <w:tcW w:w="4014"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4231" w:type="dxa"/>
            <w:vMerge w:val="continue"/>
            <w:tcBorders>
              <w:left w:val="single" w:color="000000" w:sz="4" w:space="0"/>
              <w:bottom w:val="single" w:color="000000" w:sz="4" w:space="0"/>
              <w:right w:val="single" w:color="000000" w:sz="4" w:space="0"/>
            </w:tcBorders>
            <w:vAlign w:val="top"/>
          </w:tcPr>
          <w:p>
            <w:pPr>
              <w:jc w:val="center"/>
              <w:rPr>
                <w:rFonts w:hint="eastAsia" w:ascii="仿宋_GB2312" w:hAnsi="宋体" w:eastAsia="仿宋_GB2312" w:cs="仿宋_GB2312"/>
                <w:color w:val="000000"/>
                <w:szCs w:val="21"/>
              </w:rPr>
            </w:pPr>
          </w:p>
        </w:tc>
      </w:tr>
      <w:tr>
        <w:tblPrEx>
          <w:tblCellMar>
            <w:top w:w="0" w:type="dxa"/>
            <w:left w:w="108" w:type="dxa"/>
            <w:bottom w:w="0" w:type="dxa"/>
            <w:right w:w="108" w:type="dxa"/>
          </w:tblCellMar>
        </w:tblPrEx>
        <w:trPr>
          <w:trHeight w:val="220" w:hRule="atLeast"/>
        </w:trPr>
        <w:tc>
          <w:tcPr>
            <w:tcW w:w="14693" w:type="dxa"/>
            <w:gridSpan w:val="9"/>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三、预算管理情况（20分）</w:t>
            </w:r>
          </w:p>
        </w:tc>
      </w:tr>
      <w:tr>
        <w:tblPrEx>
          <w:tblCellMar>
            <w:top w:w="0" w:type="dxa"/>
            <w:left w:w="108" w:type="dxa"/>
            <w:bottom w:w="0" w:type="dxa"/>
            <w:right w:w="108" w:type="dxa"/>
          </w:tblCellMar>
        </w:tblPrEx>
        <w:trPr>
          <w:trHeight w:val="220" w:hRule="atLeast"/>
        </w:trPr>
        <w:tc>
          <w:tcPr>
            <w:tcW w:w="1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一级指标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二级指标</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三级指标</w:t>
            </w:r>
          </w:p>
        </w:tc>
        <w:tc>
          <w:tcPr>
            <w:tcW w:w="9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指标值</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完成值</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c>
          <w:tcPr>
            <w:tcW w:w="40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指标解释</w:t>
            </w:r>
          </w:p>
        </w:tc>
        <w:tc>
          <w:tcPr>
            <w:tcW w:w="42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评分标准</w:t>
            </w:r>
          </w:p>
        </w:tc>
      </w:tr>
      <w:tr>
        <w:tblPrEx>
          <w:tblCellMar>
            <w:top w:w="0" w:type="dxa"/>
            <w:left w:w="108" w:type="dxa"/>
            <w:bottom w:w="0" w:type="dxa"/>
            <w:right w:w="108" w:type="dxa"/>
          </w:tblCellMar>
        </w:tblPrEx>
        <w:trPr>
          <w:trHeight w:val="220" w:hRule="atLeast"/>
        </w:trPr>
        <w:tc>
          <w:tcPr>
            <w:tcW w:w="100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预算管理情况（20）</w:t>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财务管理（4）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财务管理制度健全性</w:t>
            </w:r>
          </w:p>
        </w:tc>
        <w:tc>
          <w:tcPr>
            <w:tcW w:w="9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制定管理制度</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lang w:eastAsia="zh-CN"/>
              </w:rPr>
            </w:pPr>
            <w:r>
              <w:rPr>
                <w:rFonts w:hint="eastAsia" w:ascii="仿宋_GB2312" w:hAnsi="宋体" w:eastAsia="仿宋_GB2312" w:cs="仿宋_GB2312"/>
                <w:color w:val="000000"/>
                <w:szCs w:val="21"/>
                <w:lang w:eastAsia="zh-CN"/>
              </w:rPr>
              <w:t>完善并执行财务管理制度</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w:t>
            </w: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1</w:t>
            </w:r>
          </w:p>
        </w:tc>
        <w:tc>
          <w:tcPr>
            <w:tcW w:w="401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Cs w:val="21"/>
              </w:rPr>
            </w:pPr>
            <w:r>
              <w:rPr>
                <w:rFonts w:hint="eastAsia" w:ascii="仿宋_GB2312" w:hAnsi="宋体" w:eastAsia="仿宋_GB2312" w:cs="仿宋_GB2312"/>
                <w:b/>
                <w:bCs/>
                <w:color w:val="000000"/>
                <w:szCs w:val="21"/>
              </w:rPr>
              <w:t>财务管理制度健全性:</w:t>
            </w:r>
            <w:r>
              <w:rPr>
                <w:rFonts w:hint="eastAsia" w:ascii="仿宋_GB2312" w:hAnsi="宋体" w:eastAsia="仿宋_GB2312" w:cs="仿宋_GB2312"/>
                <w:color w:val="000000"/>
                <w:szCs w:val="21"/>
              </w:rPr>
              <w:t>部门（单位）为加强财务管理、规范财务行为而制定的管理制度。</w:t>
            </w:r>
          </w:p>
        </w:tc>
        <w:tc>
          <w:tcPr>
            <w:tcW w:w="4231"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①预算资金管理办法、绩效跟踪管理办法、资产管理办法等各项制度是否健全；②部门内部财务管理制度是否完整、合规；③会计核算制度是否完整、合规。每有一项不合格扣0.5 分，扣完为止。</w:t>
            </w:r>
          </w:p>
        </w:tc>
      </w:tr>
      <w:tr>
        <w:trPr>
          <w:trHeight w:val="220" w:hRule="atLeast"/>
        </w:trPr>
        <w:tc>
          <w:tcPr>
            <w:tcW w:w="1003"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资金使用合规性和安全性</w:t>
            </w:r>
          </w:p>
        </w:tc>
        <w:tc>
          <w:tcPr>
            <w:tcW w:w="9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lang w:eastAsia="zh-CN"/>
              </w:rPr>
            </w:pPr>
            <w:r>
              <w:rPr>
                <w:rFonts w:ascii="仿宋_GB2312" w:hAnsi="宋体" w:eastAsia="仿宋_GB2312" w:cs="仿宋_GB2312"/>
                <w:color w:val="000000"/>
                <w:kern w:val="0"/>
                <w:szCs w:val="21"/>
                <w:lang w:bidi="ar"/>
              </w:rPr>
              <w:t>预算财务管理制度的</w:t>
            </w:r>
            <w:r>
              <w:rPr>
                <w:rFonts w:hint="eastAsia" w:ascii="仿宋_GB2312" w:hAnsi="宋体" w:eastAsia="仿宋_GB2312" w:cs="仿宋_GB2312"/>
                <w:color w:val="000000"/>
                <w:kern w:val="0"/>
                <w:szCs w:val="21"/>
                <w:lang w:eastAsia="zh-CN" w:bidi="ar"/>
              </w:rPr>
              <w:t>规范性</w:t>
            </w:r>
            <w:r>
              <w:rPr>
                <w:rFonts w:ascii="仿宋_GB2312" w:hAnsi="宋体" w:eastAsia="仿宋_GB2312" w:cs="仿宋_GB2312"/>
                <w:color w:val="000000"/>
                <w:kern w:val="0"/>
                <w:szCs w:val="21"/>
                <w:lang w:bidi="ar"/>
              </w:rPr>
              <w:t>，</w:t>
            </w:r>
            <w:r>
              <w:rPr>
                <w:rFonts w:hint="eastAsia" w:ascii="仿宋_GB2312" w:hAnsi="宋体" w:eastAsia="仿宋_GB2312" w:cs="仿宋_GB2312"/>
                <w:color w:val="000000"/>
                <w:kern w:val="0"/>
                <w:szCs w:val="21"/>
                <w:lang w:eastAsia="zh-CN" w:bidi="ar"/>
              </w:rPr>
              <w:t>经费</w:t>
            </w:r>
            <w:r>
              <w:rPr>
                <w:rFonts w:ascii="仿宋_GB2312" w:hAnsi="宋体" w:eastAsia="仿宋_GB2312" w:cs="仿宋_GB2312"/>
                <w:color w:val="000000"/>
                <w:kern w:val="0"/>
                <w:szCs w:val="21"/>
                <w:lang w:bidi="ar"/>
              </w:rPr>
              <w:t>开支范围</w:t>
            </w:r>
            <w:r>
              <w:rPr>
                <w:rFonts w:hint="eastAsia" w:ascii="仿宋_GB2312" w:hAnsi="宋体" w:eastAsia="仿宋_GB2312" w:cs="仿宋_GB2312"/>
                <w:color w:val="000000"/>
                <w:kern w:val="0"/>
                <w:szCs w:val="21"/>
                <w:lang w:eastAsia="zh-CN" w:bidi="ar"/>
              </w:rPr>
              <w:t>等的规范性</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lang w:eastAsia="zh-CN"/>
              </w:rPr>
            </w:pPr>
            <w:r>
              <w:rPr>
                <w:rFonts w:hint="eastAsia" w:ascii="仿宋_GB2312" w:hAnsi="宋体" w:eastAsia="仿宋_GB2312" w:cs="仿宋_GB2312"/>
                <w:color w:val="000000"/>
                <w:szCs w:val="21"/>
                <w:lang w:eastAsia="zh-CN"/>
              </w:rPr>
              <w:t>按照财务管理制度及资金使用范围进行经费支出</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ascii="仿宋_GB2312" w:hAnsi="宋体" w:eastAsia="仿宋_GB2312" w:cs="仿宋_GB2312"/>
                <w:color w:val="000000"/>
                <w:szCs w:val="21"/>
              </w:rPr>
              <w:t>2</w:t>
            </w: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2</w:t>
            </w:r>
          </w:p>
        </w:tc>
        <w:tc>
          <w:tcPr>
            <w:tcW w:w="401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Cs w:val="21"/>
              </w:rPr>
            </w:pPr>
            <w:r>
              <w:rPr>
                <w:rFonts w:ascii="仿宋_GB2312" w:hAnsi="宋体" w:eastAsia="仿宋_GB2312" w:cs="仿宋_GB2312"/>
                <w:b/>
                <w:bCs/>
                <w:color w:val="000000"/>
                <w:kern w:val="0"/>
                <w:szCs w:val="21"/>
                <w:lang w:bidi="ar"/>
              </w:rPr>
              <w:t>资金使用合规性和安全性:</w:t>
            </w:r>
            <w:r>
              <w:rPr>
                <w:rFonts w:ascii="仿宋_GB2312" w:hAnsi="宋体" w:eastAsia="仿宋_GB2312" w:cs="仿宋_GB2312"/>
                <w:color w:val="000000"/>
                <w:kern w:val="0"/>
                <w:szCs w:val="21"/>
                <w:lang w:bidi="ar"/>
              </w:rPr>
              <w:t>部门（单位）使用预算资金是否符合相关的预算财务管理制度的规定，是否符合相关规定的开支范围，用以反映考核部门（单位）预算资金的规范运行和安全运行情况。</w:t>
            </w:r>
          </w:p>
        </w:tc>
        <w:tc>
          <w:tcPr>
            <w:tcW w:w="4231"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CellMar>
            <w:top w:w="0" w:type="dxa"/>
            <w:left w:w="108" w:type="dxa"/>
            <w:bottom w:w="0" w:type="dxa"/>
            <w:right w:w="108" w:type="dxa"/>
          </w:tblCellMar>
        </w:tblPrEx>
        <w:trPr>
          <w:trHeight w:val="220" w:hRule="atLeast"/>
        </w:trPr>
        <w:tc>
          <w:tcPr>
            <w:tcW w:w="1003"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会计基础信息完善性</w:t>
            </w:r>
          </w:p>
        </w:tc>
        <w:tc>
          <w:tcPr>
            <w:tcW w:w="9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lang w:eastAsia="zh-CN"/>
              </w:rPr>
            </w:pPr>
            <w:r>
              <w:rPr>
                <w:rFonts w:hint="eastAsia" w:ascii="仿宋_GB2312" w:hAnsi="宋体" w:eastAsia="仿宋_GB2312" w:cs="仿宋_GB2312"/>
                <w:color w:val="000000"/>
                <w:szCs w:val="21"/>
                <w:lang w:eastAsia="zh-CN"/>
              </w:rPr>
              <w:t>数据信息；会计信息</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lang w:eastAsia="zh-CN"/>
              </w:rPr>
            </w:pPr>
            <w:r>
              <w:rPr>
                <w:rFonts w:hint="eastAsia" w:ascii="仿宋_GB2312" w:hAnsi="宋体" w:eastAsia="仿宋_GB2312" w:cs="仿宋_GB2312"/>
                <w:color w:val="000000"/>
                <w:szCs w:val="21"/>
                <w:lang w:eastAsia="zh-CN"/>
              </w:rPr>
              <w:t>各项基础数据信息，会计信息资料准确</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w:t>
            </w: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1</w:t>
            </w:r>
          </w:p>
        </w:tc>
        <w:tc>
          <w:tcPr>
            <w:tcW w:w="40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b/>
                <w:bCs/>
                <w:color w:val="000000"/>
                <w:szCs w:val="21"/>
              </w:rPr>
              <w:t>会计基础信息完善性:</w:t>
            </w:r>
            <w:r>
              <w:rPr>
                <w:rFonts w:hint="eastAsia" w:ascii="仿宋_GB2312" w:hAnsi="宋体" w:eastAsia="仿宋_GB2312" w:cs="仿宋_GB2312"/>
                <w:color w:val="000000"/>
                <w:szCs w:val="21"/>
              </w:rPr>
              <w:t>部门（单位）会计基础信息情况</w:t>
            </w:r>
          </w:p>
        </w:tc>
        <w:tc>
          <w:tcPr>
            <w:tcW w:w="4231"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①基础数据信息和会计信息资料是否真实；②基础数据信息和会计信息资料是否完整；③基础数据信息和会计信息资料是否准确。每有一项不合格扣 0.5分，扣完为止。</w:t>
            </w:r>
          </w:p>
        </w:tc>
      </w:tr>
      <w:tr>
        <w:tblPrEx>
          <w:tblCellMar>
            <w:top w:w="0" w:type="dxa"/>
            <w:left w:w="108" w:type="dxa"/>
            <w:bottom w:w="0" w:type="dxa"/>
            <w:right w:w="108" w:type="dxa"/>
          </w:tblCellMar>
        </w:tblPrEx>
        <w:trPr>
          <w:trHeight w:val="220" w:hRule="atLeast"/>
        </w:trPr>
        <w:tc>
          <w:tcPr>
            <w:tcW w:w="1003"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资产管理（4）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资产管理规范性</w:t>
            </w:r>
          </w:p>
        </w:tc>
        <w:tc>
          <w:tcPr>
            <w:tcW w:w="9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lang w:eastAsia="zh-CN"/>
              </w:rPr>
            </w:pPr>
            <w:r>
              <w:rPr>
                <w:rFonts w:hint="eastAsia" w:ascii="仿宋_GB2312" w:hAnsi="宋体" w:eastAsia="仿宋_GB2312" w:cs="仿宋_GB2312"/>
                <w:color w:val="000000"/>
                <w:szCs w:val="21"/>
                <w:lang w:eastAsia="zh-CN"/>
              </w:rPr>
              <w:t>使用资产管理系统；规范资产的采购、入库、使用、处置各项流程。</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lang w:eastAsia="zh-CN"/>
              </w:rPr>
            </w:pPr>
            <w:r>
              <w:rPr>
                <w:rFonts w:hint="eastAsia" w:ascii="仿宋_GB2312" w:hAnsi="宋体" w:eastAsia="仿宋_GB2312" w:cs="仿宋_GB2312"/>
                <w:color w:val="000000"/>
                <w:szCs w:val="21"/>
                <w:lang w:eastAsia="zh-CN"/>
              </w:rPr>
              <w:t>按照规定规范使用资产管理系统等</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4</w:t>
            </w: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4</w:t>
            </w:r>
          </w:p>
        </w:tc>
        <w:tc>
          <w:tcPr>
            <w:tcW w:w="401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Cs w:val="21"/>
              </w:rPr>
            </w:pPr>
            <w:r>
              <w:rPr>
                <w:rFonts w:hint="eastAsia" w:ascii="仿宋_GB2312" w:hAnsi="宋体" w:eastAsia="仿宋_GB2312" w:cs="仿宋_GB2312"/>
                <w:b/>
                <w:bCs/>
                <w:color w:val="000000"/>
                <w:szCs w:val="21"/>
              </w:rPr>
              <w:t>资产管理规范性:</w:t>
            </w:r>
            <w:r>
              <w:rPr>
                <w:rFonts w:hint="eastAsia" w:ascii="仿宋_GB2312" w:hAnsi="宋体" w:eastAsia="仿宋_GB2312" w:cs="仿宋_GB2312"/>
                <w:color w:val="000000"/>
                <w:szCs w:val="21"/>
              </w:rPr>
              <w:t>部门（单位）的资产是否保持安全完整，资产配置是否合理，资产使用和资产处理是否规范，用以反映和考核部门（单位）资产管理的整体水平。</w:t>
            </w:r>
          </w:p>
        </w:tc>
        <w:tc>
          <w:tcPr>
            <w:tcW w:w="4231"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 0.8分，扣完为止</w:t>
            </w:r>
          </w:p>
        </w:tc>
      </w:tr>
      <w:tr>
        <w:tblPrEx>
          <w:tblCellMar>
            <w:top w:w="0" w:type="dxa"/>
            <w:left w:w="108" w:type="dxa"/>
            <w:bottom w:w="0" w:type="dxa"/>
            <w:right w:w="108" w:type="dxa"/>
          </w:tblCellMar>
        </w:tblPrEx>
        <w:trPr>
          <w:trHeight w:val="220" w:hRule="atLeast"/>
        </w:trPr>
        <w:tc>
          <w:tcPr>
            <w:tcW w:w="1003"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绩效管理（4）</w:t>
            </w:r>
          </w:p>
        </w:tc>
        <w:tc>
          <w:tcPr>
            <w:tcW w:w="7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绩效管理情况</w:t>
            </w:r>
          </w:p>
        </w:tc>
        <w:tc>
          <w:tcPr>
            <w:tcW w:w="9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lang w:eastAsia="zh-CN"/>
              </w:rPr>
            </w:pPr>
            <w:r>
              <w:rPr>
                <w:rFonts w:hint="eastAsia" w:ascii="仿宋_GB2312" w:hAnsi="宋体" w:eastAsia="仿宋_GB2312" w:cs="仿宋_GB2312"/>
                <w:color w:val="000000"/>
                <w:szCs w:val="21"/>
                <w:lang w:eastAsia="zh-CN"/>
              </w:rPr>
              <w:t>按照时间节点完成各项目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lang w:eastAsia="zh-CN"/>
              </w:rPr>
            </w:pPr>
            <w:r>
              <w:rPr>
                <w:rFonts w:hint="eastAsia" w:ascii="仿宋_GB2312" w:hAnsi="宋体" w:eastAsia="仿宋_GB2312" w:cs="仿宋_GB2312"/>
                <w:color w:val="000000"/>
                <w:szCs w:val="21"/>
                <w:lang w:eastAsia="zh-CN"/>
              </w:rPr>
              <w:t>年末前按照年初计划开展绩效管理有关工作。</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4</w:t>
            </w: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2</w:t>
            </w:r>
          </w:p>
        </w:tc>
        <w:tc>
          <w:tcPr>
            <w:tcW w:w="40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b/>
                <w:bCs/>
                <w:color w:val="000000"/>
                <w:szCs w:val="21"/>
              </w:rPr>
              <w:t>绩效管理情况:</w:t>
            </w:r>
            <w:r>
              <w:rPr>
                <w:rFonts w:hint="eastAsia" w:ascii="仿宋_GB2312" w:hAnsi="宋体" w:eastAsia="仿宋_GB2312" w:cs="仿宋_GB2312"/>
                <w:color w:val="000000"/>
                <w:szCs w:val="21"/>
              </w:rPr>
              <w:t>考核部门（单位）在绩效管理信息的汇总和应用情况。</w:t>
            </w:r>
          </w:p>
        </w:tc>
        <w:tc>
          <w:tcPr>
            <w:tcW w:w="4231"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①部门（单位）是否及时对绩效信息进行汇总分析整理；②部门（单位）是否对绩效目标偏离情况及时进行矫正。每有一项不合格扣2 分。</w:t>
            </w:r>
          </w:p>
        </w:tc>
      </w:tr>
      <w:tr>
        <w:trPr>
          <w:trHeight w:val="220" w:hRule="atLeast"/>
        </w:trPr>
        <w:tc>
          <w:tcPr>
            <w:tcW w:w="1003"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指标</w:t>
            </w:r>
          </w:p>
        </w:tc>
        <w:tc>
          <w:tcPr>
            <w:tcW w:w="17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w:t>
            </w:r>
            <w:r>
              <w:rPr>
                <w:rFonts w:ascii="仿宋_GB2312" w:hAnsi="宋体" w:eastAsia="仿宋_GB2312" w:cs="仿宋_GB2312"/>
                <w:color w:val="000000"/>
                <w:szCs w:val="21"/>
              </w:rPr>
              <w:t>02</w:t>
            </w:r>
            <w:r>
              <w:rPr>
                <w:rFonts w:hint="eastAsia" w:ascii="仿宋_GB2312" w:hAnsi="宋体" w:eastAsia="仿宋_GB2312" w:cs="仿宋_GB2312"/>
                <w:color w:val="000000"/>
                <w:szCs w:val="21"/>
                <w:lang w:val="en-US" w:eastAsia="zh-CN"/>
              </w:rPr>
              <w:t>2</w:t>
            </w:r>
            <w:r>
              <w:rPr>
                <w:rFonts w:hint="eastAsia" w:ascii="仿宋_GB2312" w:hAnsi="宋体" w:eastAsia="仿宋_GB2312" w:cs="仿宋_GB2312"/>
                <w:color w:val="000000"/>
                <w:szCs w:val="21"/>
              </w:rPr>
              <w:t>年</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w:t>
            </w:r>
            <w:r>
              <w:rPr>
                <w:rFonts w:ascii="仿宋_GB2312" w:hAnsi="宋体" w:eastAsia="仿宋_GB2312" w:cs="仿宋_GB2312"/>
                <w:color w:val="000000"/>
                <w:szCs w:val="21"/>
              </w:rPr>
              <w:t>02</w:t>
            </w:r>
            <w:r>
              <w:rPr>
                <w:rFonts w:hint="eastAsia" w:ascii="仿宋_GB2312" w:hAnsi="宋体" w:eastAsia="仿宋_GB2312" w:cs="仿宋_GB2312"/>
                <w:color w:val="000000"/>
                <w:szCs w:val="21"/>
                <w:lang w:val="en-US" w:eastAsia="zh-CN"/>
              </w:rPr>
              <w:t>3</w:t>
            </w:r>
            <w:r>
              <w:rPr>
                <w:rFonts w:hint="eastAsia" w:ascii="仿宋_GB2312" w:hAnsi="宋体" w:eastAsia="仿宋_GB2312" w:cs="仿宋_GB2312"/>
                <w:color w:val="000000"/>
                <w:szCs w:val="21"/>
              </w:rPr>
              <w:t>年</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c>
          <w:tcPr>
            <w:tcW w:w="40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指标解释</w:t>
            </w:r>
          </w:p>
        </w:tc>
        <w:tc>
          <w:tcPr>
            <w:tcW w:w="42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评分标准</w:t>
            </w:r>
          </w:p>
        </w:tc>
      </w:tr>
      <w:tr>
        <w:tblPrEx>
          <w:tblCellMar>
            <w:top w:w="0" w:type="dxa"/>
            <w:left w:w="108" w:type="dxa"/>
            <w:bottom w:w="0" w:type="dxa"/>
            <w:right w:w="108" w:type="dxa"/>
          </w:tblCellMar>
        </w:tblPrEx>
        <w:trPr>
          <w:trHeight w:val="220" w:hRule="atLeast"/>
        </w:trPr>
        <w:tc>
          <w:tcPr>
            <w:tcW w:w="1003" w:type="dxa"/>
            <w:vMerge w:val="continue"/>
            <w:tcBorders>
              <w:left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结转结余率（4）</w:t>
            </w:r>
          </w:p>
        </w:tc>
        <w:tc>
          <w:tcPr>
            <w:tcW w:w="17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0.05%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1.27%</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3.8</w:t>
            </w: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3.8</w:t>
            </w:r>
          </w:p>
        </w:tc>
        <w:tc>
          <w:tcPr>
            <w:tcW w:w="401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结转结余率=结转结余总额/支出预算数×100%。结转结余总额：部门（单位）本年度的结转资金与结余资金之和。</w:t>
            </w:r>
          </w:p>
        </w:tc>
        <w:tc>
          <w:tcPr>
            <w:tcW w:w="4231"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部门结转结余率低于上年的不扣分；高于上年结余率，每高出1个百分点扣 0.4分，扣完为止。（说明：预算调整和结转结余指标，如非预算部门主观因素导致扣分的，在评分结果征求意见环节，经与相关部门预算主管处室共同研究，可作为例外情况酌情考虑。）</w:t>
            </w:r>
          </w:p>
        </w:tc>
      </w:tr>
      <w:tr>
        <w:tblPrEx>
          <w:tblCellMar>
            <w:top w:w="0" w:type="dxa"/>
            <w:left w:w="108" w:type="dxa"/>
            <w:bottom w:w="0" w:type="dxa"/>
            <w:right w:w="108" w:type="dxa"/>
          </w:tblCellMar>
        </w:tblPrEx>
        <w:trPr>
          <w:trHeight w:val="220" w:hRule="atLeast"/>
        </w:trPr>
        <w:tc>
          <w:tcPr>
            <w:tcW w:w="1003"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部门预决算差异率（4）</w:t>
            </w:r>
          </w:p>
        </w:tc>
        <w:tc>
          <w:tcPr>
            <w:tcW w:w="17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w:t>
            </w:r>
            <w:r>
              <w:rPr>
                <w:rFonts w:ascii="仿宋_GB2312" w:hAnsi="宋体" w:eastAsia="仿宋_GB2312" w:cs="仿宋_GB2312"/>
                <w:color w:val="000000"/>
                <w:szCs w:val="21"/>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4</w:t>
            </w: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2</w:t>
            </w:r>
          </w:p>
        </w:tc>
        <w:tc>
          <w:tcPr>
            <w:tcW w:w="401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通过年度部门决算与年初部门预算对比，对部门的年度支出情况进行考核，衡量部门预算的约束力。</w:t>
            </w:r>
          </w:p>
        </w:tc>
        <w:tc>
          <w:tcPr>
            <w:tcW w:w="4231"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部门预决算差异率高于市级平均差异率（28.3%）的，每高出 10%（含），扣 0.4 分，扣完为止。</w:t>
            </w:r>
          </w:p>
        </w:tc>
      </w:tr>
      <w:tr>
        <w:tblPrEx>
          <w:tblCellMar>
            <w:top w:w="0" w:type="dxa"/>
            <w:left w:w="108" w:type="dxa"/>
            <w:bottom w:w="0" w:type="dxa"/>
            <w:right w:w="108" w:type="dxa"/>
          </w:tblCellMar>
        </w:tblPrEx>
        <w:trPr>
          <w:trHeight w:val="220" w:hRule="atLeast"/>
        </w:trPr>
        <w:tc>
          <w:tcPr>
            <w:tcW w:w="5046"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合计</w:t>
            </w:r>
          </w:p>
        </w:tc>
        <w:tc>
          <w:tcPr>
            <w:tcW w:w="7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w:t>
            </w:r>
            <w:r>
              <w:rPr>
                <w:rFonts w:ascii="仿宋_GB2312" w:hAnsi="宋体" w:eastAsia="仿宋_GB2312" w:cs="仿宋_GB2312"/>
                <w:color w:val="000000"/>
                <w:szCs w:val="21"/>
              </w:rPr>
              <w:t>00</w:t>
            </w:r>
          </w:p>
        </w:tc>
        <w:tc>
          <w:tcPr>
            <w:tcW w:w="69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94.8</w:t>
            </w:r>
          </w:p>
        </w:tc>
        <w:tc>
          <w:tcPr>
            <w:tcW w:w="40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color w:val="000000"/>
                <w:szCs w:val="21"/>
              </w:rPr>
            </w:pPr>
          </w:p>
        </w:tc>
        <w:tc>
          <w:tcPr>
            <w:tcW w:w="423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宋体" w:eastAsia="仿宋_GB2312" w:cs="仿宋_GB2312"/>
                <w:color w:val="000000"/>
                <w:szCs w:val="21"/>
              </w:rPr>
            </w:pPr>
          </w:p>
        </w:tc>
      </w:tr>
    </w:tbl>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ind w:left="0" w:leftChars="0" w:firstLine="0" w:firstLineChars="0"/>
        <w:rPr>
          <w:rFonts w:hint="eastAsia"/>
        </w:rPr>
      </w:pPr>
    </w:p>
    <w:p>
      <w:pPr>
        <w:ind w:firstLine="560" w:firstLineChars="200"/>
        <w:rPr>
          <w:rFonts w:hint="eastAsia" w:ascii="仿宋_GB2312" w:eastAsia="仿宋_GB2312"/>
          <w:sz w:val="32"/>
          <w:szCs w:val="32"/>
        </w:rPr>
      </w:pPr>
      <w:r>
        <w:rPr>
          <w:rFonts w:hint="eastAsia" w:ascii="黑体" w:eastAsia="黑体"/>
          <w:sz w:val="28"/>
          <w:szCs w:val="28"/>
        </w:rPr>
        <w:t>二、项目支出绩效评价报告</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560" w:firstLineChars="200"/>
        <w:rPr>
          <w:rFonts w:hint="eastAsia" w:ascii="楷体_GB2312" w:hAnsi="Times New Roman" w:eastAsia="楷体_GB2312" w:cs="Times New Roman"/>
          <w:sz w:val="28"/>
          <w:szCs w:val="28"/>
          <w:lang w:eastAsia="zh-CN"/>
        </w:rPr>
      </w:pPr>
      <w:r>
        <w:rPr>
          <w:rFonts w:hint="eastAsia" w:ascii="楷体_GB2312" w:hAnsi="Times New Roman" w:eastAsia="楷体_GB2312" w:cs="Times New Roman"/>
          <w:sz w:val="28"/>
          <w:szCs w:val="28"/>
          <w:lang w:eastAsia="zh-CN"/>
        </w:rPr>
        <w:t>（一）项目概况</w:t>
      </w:r>
    </w:p>
    <w:p>
      <w:pPr>
        <w:suppressAutoHyphens/>
        <w:bidi w:val="0"/>
        <w:spacing w:line="600" w:lineRule="exact"/>
        <w:ind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1.项目背景。根据中央办公厅、国务院办公厅引发《关于推行法律顾问制度和公职律师公司律师制度的意见》，北京市人民政府《关于加强政府法律顾问工作的意见》，中共北京市密云区委办公室、区政府办公室关于印发《北京市密云区法律顾问管理办法》的通知要求实施此项目。</w:t>
      </w:r>
    </w:p>
    <w:p>
      <w:pPr>
        <w:suppressAutoHyphens/>
        <w:bidi w:val="0"/>
        <w:spacing w:line="600" w:lineRule="exact"/>
        <w:ind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2.实施主体及内容</w:t>
      </w:r>
    </w:p>
    <w:p>
      <w:pPr>
        <w:suppressAutoHyphens/>
        <w:bidi w:val="0"/>
        <w:spacing w:line="600" w:lineRule="exact"/>
        <w:ind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项目实施主体：一级预算单位负责人。</w:t>
      </w:r>
    </w:p>
    <w:p>
      <w:pPr>
        <w:suppressAutoHyphens/>
        <w:bidi w:val="0"/>
        <w:spacing w:line="600" w:lineRule="exact"/>
        <w:ind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实施内容：对聘用单位重大决策、规范性文件、行政行为、合同签订等进行合法性审核并出具法律意见；为聘用单位的行政复议、调解、诉讼、仲裁执行等案件提供法律服务；经聘用单位授权，以法律顾问身份对特定事项展开独立调查、协调，并提出相关法律意见；定期为聘用单位进行依法行政方面相关培训；承办聘用单位交办的其他涉法事务，维护其合法权益。</w:t>
      </w:r>
    </w:p>
    <w:p>
      <w:pPr>
        <w:suppressAutoHyphens/>
        <w:bidi w:val="0"/>
        <w:spacing w:line="600" w:lineRule="exact"/>
        <w:ind w:firstLine="560" w:firstLineChars="200"/>
        <w:rPr>
          <w:rFonts w:hint="eastAsia"/>
        </w:rPr>
      </w:pPr>
      <w:r>
        <w:rPr>
          <w:rFonts w:hint="eastAsia" w:ascii="仿宋_GB2312" w:hAnsi="Times New Roman" w:eastAsia="仿宋_GB2312" w:cs="Times New Roman"/>
          <w:b w:val="0"/>
          <w:kern w:val="2"/>
          <w:sz w:val="28"/>
          <w:szCs w:val="28"/>
          <w:lang w:val="en-US" w:eastAsia="zh-CN" w:bidi="ar-SA"/>
        </w:rPr>
        <w:t>3.项目资金。项目资金预算金额204.2万元，均为财政拨款收入，无自筹资金和其他资金。资金年度执行金额及执行率100%；截止项目预期完成时点的资金支出金额为204.2万元。</w:t>
      </w:r>
    </w:p>
    <w:p>
      <w:pPr>
        <w:spacing w:line="600" w:lineRule="exact"/>
        <w:ind w:firstLine="560" w:firstLineChars="200"/>
        <w:rPr>
          <w:rFonts w:hint="eastAsia" w:ascii="楷体_GB2312" w:hAnsi="Times New Roman" w:eastAsia="楷体_GB2312" w:cs="Times New Roman"/>
          <w:sz w:val="28"/>
          <w:szCs w:val="28"/>
          <w:lang w:eastAsia="zh-CN"/>
        </w:rPr>
      </w:pPr>
      <w:r>
        <w:rPr>
          <w:rFonts w:hint="eastAsia" w:ascii="楷体_GB2312" w:hAnsi="Times New Roman" w:eastAsia="楷体_GB2312" w:cs="Times New Roman"/>
          <w:sz w:val="28"/>
          <w:szCs w:val="28"/>
          <w:lang w:eastAsia="zh-CN"/>
        </w:rPr>
        <w:t>（二）项目绩效目标</w:t>
      </w:r>
    </w:p>
    <w:p>
      <w:pPr>
        <w:pStyle w:val="2"/>
        <w:numPr>
          <w:ilvl w:val="0"/>
          <w:numId w:val="0"/>
        </w:numPr>
        <w:ind w:leftChars="200" w:firstLine="280" w:firstLineChars="1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一是通过普遍建立党政机关法律顾问制度，充分发挥法律专业人才在全面推进依法治区中的作用。二是建立健全法律顾问队伍，全面构建党政机关法律顾问体系。</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二、绩效评价工作开展情况</w:t>
      </w:r>
    </w:p>
    <w:p>
      <w:pPr>
        <w:suppressAutoHyphens/>
        <w:bidi w:val="0"/>
        <w:spacing w:line="600" w:lineRule="exact"/>
        <w:ind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由一级预算单位自行选聘法律顾问，签订法律顾问合同，指派其开展工作，并进行年度考核。区司法局通过一级预算单位的考核结果对年度法律顾问履职情况进行分析评估，发现履职不到位或发挥作用不明显的法律顾问，督促聘用单位及时进行调整。</w:t>
      </w:r>
    </w:p>
    <w:p>
      <w:pPr>
        <w:numPr>
          <w:ilvl w:val="0"/>
          <w:numId w:val="0"/>
        </w:numPr>
        <w:spacing w:line="600" w:lineRule="exact"/>
        <w:ind w:leftChars="0"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综合评价情况及评价结论</w:t>
      </w:r>
    </w:p>
    <w:p>
      <w:pPr>
        <w:pStyle w:val="2"/>
        <w:numPr>
          <w:ilvl w:val="0"/>
          <w:numId w:val="0"/>
        </w:numPr>
        <w:ind w:leftChars="0"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政府法律顾问项目总体完成情况良好。</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四、绩效评价指标分析</w:t>
      </w:r>
    </w:p>
    <w:p>
      <w:pPr>
        <w:spacing w:line="600" w:lineRule="exact"/>
        <w:ind w:firstLine="560" w:firstLineChars="200"/>
        <w:rPr>
          <w:rFonts w:hint="eastAsia" w:ascii="楷体_GB2312" w:hAnsi="Times New Roman" w:eastAsia="楷体_GB2312" w:cs="Times New Roman"/>
          <w:sz w:val="28"/>
          <w:szCs w:val="28"/>
          <w:lang w:eastAsia="zh-CN"/>
        </w:rPr>
      </w:pPr>
      <w:r>
        <w:rPr>
          <w:rFonts w:hint="eastAsia" w:ascii="楷体_GB2312" w:hAnsi="Times New Roman" w:eastAsia="楷体_GB2312" w:cs="Times New Roman"/>
          <w:sz w:val="28"/>
          <w:szCs w:val="28"/>
          <w:lang w:eastAsia="zh-CN"/>
        </w:rPr>
        <w:t>（一）项目决策情况</w:t>
      </w:r>
    </w:p>
    <w:p>
      <w:pPr>
        <w:suppressAutoHyphens/>
        <w:bidi w:val="0"/>
        <w:spacing w:line="600" w:lineRule="exact"/>
        <w:ind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由各业务科室初步编制本科室《预算报表》，报财务</w:t>
      </w:r>
      <w:r>
        <w:rPr>
          <w:rFonts w:hint="eastAsia" w:ascii="仿宋_GB2312" w:hAnsi="Times New Roman" w:eastAsia="仿宋_GB2312" w:cs="Times New Roman"/>
          <w:b w:val="0"/>
          <w:kern w:val="2"/>
          <w:sz w:val="28"/>
          <w:szCs w:val="28"/>
          <w:lang w:val="en-GB" w:eastAsia="zh-CN" w:bidi="ar-SA"/>
        </w:rPr>
        <w:t>负责人、主管领导及主要领导审核同意后，提交</w:t>
      </w:r>
      <w:r>
        <w:rPr>
          <w:rFonts w:hint="eastAsia" w:ascii="仿宋_GB2312" w:hAnsi="Times New Roman" w:eastAsia="仿宋_GB2312" w:cs="Times New Roman"/>
          <w:b w:val="0"/>
          <w:kern w:val="2"/>
          <w:sz w:val="28"/>
          <w:szCs w:val="28"/>
          <w:lang w:val="en-US" w:eastAsia="zh-CN" w:bidi="ar-SA"/>
        </w:rPr>
        <w:t>局长</w:t>
      </w:r>
      <w:r>
        <w:rPr>
          <w:rFonts w:hint="eastAsia" w:ascii="仿宋_GB2312" w:hAnsi="Times New Roman" w:eastAsia="仿宋_GB2312" w:cs="Times New Roman"/>
          <w:b w:val="0"/>
          <w:kern w:val="2"/>
          <w:sz w:val="28"/>
          <w:szCs w:val="28"/>
          <w:lang w:val="en-GB" w:eastAsia="zh-CN" w:bidi="ar-SA"/>
        </w:rPr>
        <w:t>办公会对《预算报表》进行审批，审批通过交由</w:t>
      </w:r>
      <w:r>
        <w:rPr>
          <w:rFonts w:hint="eastAsia" w:ascii="仿宋_GB2312" w:hAnsi="Times New Roman" w:eastAsia="仿宋_GB2312" w:cs="Times New Roman"/>
          <w:b w:val="0"/>
          <w:kern w:val="2"/>
          <w:sz w:val="28"/>
          <w:szCs w:val="28"/>
          <w:lang w:val="en-US" w:eastAsia="zh-CN" w:bidi="ar-SA"/>
        </w:rPr>
        <w:t>财务人员</w:t>
      </w:r>
      <w:r>
        <w:rPr>
          <w:rFonts w:hint="eastAsia" w:ascii="仿宋_GB2312" w:hAnsi="Times New Roman" w:eastAsia="仿宋_GB2312" w:cs="Times New Roman"/>
          <w:b w:val="0"/>
          <w:kern w:val="2"/>
          <w:sz w:val="28"/>
          <w:szCs w:val="28"/>
          <w:lang w:val="en-GB" w:eastAsia="zh-CN" w:bidi="ar-SA"/>
        </w:rPr>
        <w:t>上报区财政局。</w:t>
      </w:r>
    </w:p>
    <w:p>
      <w:pPr>
        <w:numPr>
          <w:ilvl w:val="0"/>
          <w:numId w:val="3"/>
        </w:num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项目过程情况</w:t>
      </w:r>
    </w:p>
    <w:p>
      <w:pPr>
        <w:suppressAutoHyphens/>
        <w:bidi w:val="0"/>
        <w:spacing w:line="600" w:lineRule="exact"/>
        <w:ind w:firstLine="560" w:firstLineChars="200"/>
        <w:rPr>
          <w:rFonts w:hint="eastAsia"/>
        </w:rPr>
      </w:pPr>
      <w:r>
        <w:rPr>
          <w:rFonts w:hint="eastAsia" w:ascii="仿宋_GB2312" w:hAnsi="Times New Roman" w:eastAsia="仿宋_GB2312" w:cs="Times New Roman"/>
          <w:b w:val="0"/>
          <w:kern w:val="2"/>
          <w:sz w:val="28"/>
          <w:szCs w:val="28"/>
          <w:lang w:val="en-US" w:eastAsia="zh-CN" w:bidi="ar-SA"/>
        </w:rPr>
        <w:t>区司法局与财政局联合下发了《北京市密云区外聘法律顾问经费管理办法（试行）》的通知，按照《通知》要求，区司法局对一级预算单位提交的考核材料（单位党组会或办公会议纪要、律师工作报告、律师考核结果、结算申请、结算清单）进行复核，最终确定支出金额，反馈给一级预算单位，由一级预算单位通知顾问单位向区司法局提供票据，由区司法局见票支付给律所。</w:t>
      </w:r>
    </w:p>
    <w:p>
      <w:pPr>
        <w:numPr>
          <w:ilvl w:val="0"/>
          <w:numId w:val="3"/>
        </w:numPr>
        <w:spacing w:line="600" w:lineRule="exact"/>
        <w:ind w:left="0" w:leftChars="0"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项目产出情况。</w:t>
      </w:r>
    </w:p>
    <w:p>
      <w:pPr>
        <w:suppressAutoHyphens/>
        <w:bidi w:val="0"/>
        <w:spacing w:line="600" w:lineRule="exact"/>
        <w:ind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1.数量产出完成情况。</w:t>
      </w:r>
      <w:r>
        <w:rPr>
          <w:rFonts w:hint="eastAsia" w:ascii="仿宋_GB2312" w:hAnsi="Times New Roman" w:eastAsia="仿宋_GB2312" w:cs="Times New Roman"/>
          <w:b w:val="0"/>
          <w:kern w:val="2"/>
          <w:sz w:val="28"/>
          <w:szCs w:val="28"/>
          <w:lang w:val="en" w:eastAsia="zh-CN" w:bidi="ar-SA"/>
        </w:rPr>
        <w:t>完成协助我区</w:t>
      </w:r>
      <w:r>
        <w:rPr>
          <w:rFonts w:hint="eastAsia" w:ascii="仿宋_GB2312" w:hAnsi="Times New Roman" w:eastAsia="仿宋_GB2312" w:cs="Times New Roman"/>
          <w:b w:val="0"/>
          <w:kern w:val="2"/>
          <w:sz w:val="28"/>
          <w:szCs w:val="28"/>
          <w:lang w:val="en-US" w:eastAsia="zh-CN" w:bidi="ar-SA"/>
        </w:rPr>
        <w:t>聘用政府法律顾问的37个一级预算单位开展相关工作。</w:t>
      </w:r>
    </w:p>
    <w:p>
      <w:pPr>
        <w:suppressAutoHyphens/>
        <w:bidi w:val="0"/>
        <w:spacing w:line="600" w:lineRule="exact"/>
        <w:ind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2.产出质量完成情况。复核聘用单位的考核结果，经复核，所有政府法律顾问考核结果均为合格。</w:t>
      </w:r>
    </w:p>
    <w:p>
      <w:pPr>
        <w:suppressAutoHyphens/>
        <w:bidi w:val="0"/>
        <w:spacing w:line="600" w:lineRule="exact"/>
        <w:ind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3.产出进完成情况。2022年12月对各聘用单位申报的外聘法律顾问考核结果进行复核。此项工作已按计划进度完成。</w:t>
      </w:r>
    </w:p>
    <w:p>
      <w:pPr>
        <w:numPr>
          <w:ilvl w:val="0"/>
          <w:numId w:val="0"/>
        </w:numPr>
        <w:spacing w:line="600" w:lineRule="exact"/>
        <w:ind w:leftChars="200"/>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（四）产出成本（或工作成本）完成情况</w:t>
      </w:r>
    </w:p>
    <w:p>
      <w:pPr>
        <w:suppressAutoHyphens/>
        <w:bidi w:val="0"/>
        <w:spacing w:line="600" w:lineRule="exact"/>
        <w:ind w:firstLine="560" w:firstLineChars="200"/>
        <w:rPr>
          <w:rFonts w:hint="eastAsia"/>
        </w:rPr>
      </w:pPr>
      <w:r>
        <w:rPr>
          <w:rFonts w:hint="eastAsia" w:ascii="仿宋_GB2312" w:hAnsi="Times New Roman" w:eastAsia="仿宋_GB2312" w:cs="Times New Roman"/>
          <w:b w:val="0"/>
          <w:kern w:val="2"/>
          <w:sz w:val="28"/>
          <w:szCs w:val="28"/>
          <w:lang w:val="en-US" w:eastAsia="zh-CN" w:bidi="ar-SA"/>
        </w:rPr>
        <w:t>严格执行计划预算，控制成本，完成情况与预期一致。</w:t>
      </w:r>
    </w:p>
    <w:p>
      <w:pPr>
        <w:numPr>
          <w:ilvl w:val="0"/>
          <w:numId w:val="0"/>
        </w:numPr>
        <w:spacing w:line="600" w:lineRule="exact"/>
        <w:ind w:left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项目效益情况。</w:t>
      </w:r>
    </w:p>
    <w:p>
      <w:pPr>
        <w:suppressAutoHyphens/>
        <w:bidi w:val="0"/>
        <w:spacing w:line="600" w:lineRule="exact"/>
        <w:ind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1.项目社会效益实现情况</w:t>
      </w:r>
    </w:p>
    <w:p>
      <w:pPr>
        <w:suppressAutoHyphens/>
        <w:bidi w:val="0"/>
        <w:spacing w:line="600" w:lineRule="exact"/>
        <w:ind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各聘用单位工作法治化、规范化水平明显提高，法治意识得到增强，对更好地服务群众起到积极地促进作用。</w:t>
      </w:r>
    </w:p>
    <w:p>
      <w:pPr>
        <w:suppressAutoHyphens/>
        <w:bidi w:val="0"/>
        <w:spacing w:line="600" w:lineRule="exact"/>
        <w:ind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2.项目实施的可持续影响</w:t>
      </w:r>
    </w:p>
    <w:p>
      <w:pPr>
        <w:suppressAutoHyphens/>
        <w:bidi w:val="0"/>
        <w:spacing w:line="600" w:lineRule="exact"/>
        <w:ind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确保在聘用周期内，政府法律顾问充分发挥自身职能，协助聘用单位做好法治方面的相关工作，促进聘用单位依法履职。</w:t>
      </w:r>
    </w:p>
    <w:p>
      <w:pPr>
        <w:suppressAutoHyphens/>
        <w:bidi w:val="0"/>
        <w:spacing w:line="600" w:lineRule="exact"/>
        <w:ind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3.项目服务对象满意度实现情况</w:t>
      </w:r>
    </w:p>
    <w:p>
      <w:pPr>
        <w:suppressAutoHyphens/>
        <w:bidi w:val="0"/>
        <w:spacing w:line="600" w:lineRule="exact"/>
        <w:ind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本项目服务对象为一级预算单位。从日常反馈和年度考评结果来看，各聘用单位对政府法律顾问是认可和满意。</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pPr>
        <w:pStyle w:val="2"/>
        <w:ind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无。</w:t>
      </w:r>
    </w:p>
    <w:p>
      <w:pPr>
        <w:pStyle w:val="2"/>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有关建议</w:t>
      </w:r>
    </w:p>
    <w:p>
      <w:pPr>
        <w:pStyle w:val="2"/>
        <w:ind w:firstLine="560" w:firstLineChars="200"/>
        <w:rPr>
          <w:rFonts w:hint="default"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无。</w:t>
      </w:r>
    </w:p>
    <w:p>
      <w:pPr>
        <w:numPr>
          <w:ilvl w:val="0"/>
          <w:numId w:val="2"/>
        </w:numPr>
        <w:spacing w:line="60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其他需要说明的问题</w:t>
      </w:r>
    </w:p>
    <w:p>
      <w:pPr>
        <w:pStyle w:val="2"/>
        <w:ind w:firstLine="560" w:firstLineChars="200"/>
        <w:rPr>
          <w:rFonts w:hint="eastAsia" w:ascii="仿宋_GB2312" w:hAnsi="Times New Roman" w:eastAsia="仿宋_GB2312" w:cs="Times New Roman"/>
          <w:b w:val="0"/>
          <w:kern w:val="2"/>
          <w:sz w:val="28"/>
          <w:szCs w:val="28"/>
          <w:lang w:val="en-US" w:eastAsia="zh-CN" w:bidi="ar-SA"/>
        </w:rPr>
      </w:pPr>
      <w:r>
        <w:rPr>
          <w:rFonts w:hint="eastAsia" w:ascii="仿宋_GB2312" w:hAnsi="Times New Roman" w:eastAsia="仿宋_GB2312" w:cs="Times New Roman"/>
          <w:b w:val="0"/>
          <w:kern w:val="2"/>
          <w:sz w:val="28"/>
          <w:szCs w:val="28"/>
          <w:lang w:val="en-US" w:eastAsia="zh-CN" w:bidi="ar-SA"/>
        </w:rPr>
        <w:t>无。</w:t>
      </w:r>
    </w:p>
    <w:p>
      <w:pPr>
        <w:pStyle w:val="2"/>
        <w:numPr>
          <w:ilvl w:val="0"/>
          <w:numId w:val="0"/>
        </w:numPr>
        <w:ind w:leftChars="200"/>
        <w:rPr>
          <w:rFonts w:hint="eastAsia"/>
          <w:lang w:eastAsia="zh-CN"/>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p>
    <w:tbl>
      <w:tblPr>
        <w:tblStyle w:val="13"/>
        <w:tblW w:w="145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7"/>
        <w:gridCol w:w="776"/>
        <w:gridCol w:w="540"/>
        <w:gridCol w:w="2100"/>
        <w:gridCol w:w="1980"/>
        <w:gridCol w:w="1395"/>
        <w:gridCol w:w="2835"/>
        <w:gridCol w:w="1020"/>
        <w:gridCol w:w="2602"/>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4583"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583"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97" w:type="dxa"/>
            <w:tcBorders>
              <w:top w:val="nil"/>
              <w:left w:val="nil"/>
              <w:bottom w:val="nil"/>
              <w:right w:val="nil"/>
            </w:tcBorders>
            <w:shd w:val="clear" w:color="auto" w:fill="auto"/>
            <w:vAlign w:val="center"/>
          </w:tcPr>
          <w:p>
            <w:pPr>
              <w:rPr>
                <w:rFonts w:hint="eastAsia" w:ascii="宋体" w:hAnsi="宋体" w:eastAsia="宋体" w:cs="宋体"/>
                <w:i w:val="0"/>
                <w:color w:val="000000"/>
                <w:sz w:val="28"/>
                <w:szCs w:val="28"/>
                <w:u w:val="none"/>
              </w:rPr>
            </w:pPr>
          </w:p>
        </w:tc>
        <w:tc>
          <w:tcPr>
            <w:tcW w:w="776" w:type="dxa"/>
            <w:tcBorders>
              <w:top w:val="nil"/>
              <w:left w:val="nil"/>
              <w:bottom w:val="nil"/>
              <w:right w:val="nil"/>
            </w:tcBorders>
            <w:shd w:val="clear" w:color="auto" w:fill="auto"/>
            <w:vAlign w:val="center"/>
          </w:tcPr>
          <w:p>
            <w:pPr>
              <w:rPr>
                <w:rFonts w:hint="eastAsia" w:ascii="宋体" w:hAnsi="宋体" w:eastAsia="宋体" w:cs="宋体"/>
                <w:i w:val="0"/>
                <w:color w:val="000000"/>
                <w:sz w:val="28"/>
                <w:szCs w:val="28"/>
                <w:u w:val="none"/>
              </w:rPr>
            </w:pPr>
          </w:p>
        </w:tc>
        <w:tc>
          <w:tcPr>
            <w:tcW w:w="540" w:type="dxa"/>
            <w:tcBorders>
              <w:top w:val="nil"/>
              <w:left w:val="nil"/>
              <w:bottom w:val="nil"/>
              <w:right w:val="nil"/>
            </w:tcBorders>
            <w:shd w:val="clear" w:color="auto" w:fill="auto"/>
            <w:vAlign w:val="center"/>
          </w:tcPr>
          <w:p>
            <w:pPr>
              <w:rPr>
                <w:rFonts w:hint="eastAsia" w:ascii="宋体" w:hAnsi="宋体" w:eastAsia="宋体" w:cs="宋体"/>
                <w:i w:val="0"/>
                <w:color w:val="000000"/>
                <w:sz w:val="28"/>
                <w:szCs w:val="28"/>
                <w:u w:val="none"/>
              </w:rPr>
            </w:pPr>
          </w:p>
        </w:tc>
        <w:tc>
          <w:tcPr>
            <w:tcW w:w="2100" w:type="dxa"/>
            <w:tcBorders>
              <w:top w:val="nil"/>
              <w:left w:val="nil"/>
              <w:bottom w:val="nil"/>
              <w:right w:val="nil"/>
            </w:tcBorders>
            <w:shd w:val="clear" w:color="auto" w:fill="auto"/>
            <w:vAlign w:val="center"/>
          </w:tcPr>
          <w:p>
            <w:pPr>
              <w:rPr>
                <w:rFonts w:hint="eastAsia" w:ascii="宋体" w:hAnsi="宋体" w:eastAsia="宋体" w:cs="宋体"/>
                <w:i w:val="0"/>
                <w:color w:val="000000"/>
                <w:sz w:val="28"/>
                <w:szCs w:val="28"/>
                <w:u w:val="none"/>
              </w:rPr>
            </w:pPr>
          </w:p>
        </w:tc>
        <w:tc>
          <w:tcPr>
            <w:tcW w:w="1980" w:type="dxa"/>
            <w:tcBorders>
              <w:top w:val="nil"/>
              <w:left w:val="nil"/>
              <w:bottom w:val="nil"/>
              <w:right w:val="nil"/>
            </w:tcBorders>
            <w:shd w:val="clear" w:color="auto" w:fill="auto"/>
            <w:vAlign w:val="center"/>
          </w:tcPr>
          <w:p>
            <w:pPr>
              <w:rPr>
                <w:rFonts w:hint="eastAsia" w:ascii="宋体" w:hAnsi="宋体" w:eastAsia="宋体" w:cs="宋体"/>
                <w:i w:val="0"/>
                <w:color w:val="000000"/>
                <w:sz w:val="28"/>
                <w:szCs w:val="28"/>
                <w:u w:val="none"/>
              </w:rPr>
            </w:pPr>
          </w:p>
        </w:tc>
        <w:tc>
          <w:tcPr>
            <w:tcW w:w="1395" w:type="dxa"/>
            <w:tcBorders>
              <w:top w:val="nil"/>
              <w:left w:val="nil"/>
              <w:bottom w:val="nil"/>
              <w:right w:val="nil"/>
            </w:tcBorders>
            <w:shd w:val="clear" w:color="auto" w:fill="auto"/>
            <w:vAlign w:val="center"/>
          </w:tcPr>
          <w:p>
            <w:pPr>
              <w:rPr>
                <w:rFonts w:hint="eastAsia" w:ascii="宋体" w:hAnsi="宋体" w:eastAsia="宋体" w:cs="宋体"/>
                <w:i w:val="0"/>
                <w:color w:val="000000"/>
                <w:sz w:val="28"/>
                <w:szCs w:val="28"/>
                <w:u w:val="none"/>
              </w:rPr>
            </w:pPr>
          </w:p>
        </w:tc>
        <w:tc>
          <w:tcPr>
            <w:tcW w:w="2835" w:type="dxa"/>
            <w:tcBorders>
              <w:top w:val="nil"/>
              <w:left w:val="nil"/>
              <w:bottom w:val="nil"/>
              <w:right w:val="nil"/>
            </w:tcBorders>
            <w:shd w:val="clear" w:color="auto" w:fill="auto"/>
            <w:vAlign w:val="center"/>
          </w:tcPr>
          <w:p>
            <w:pPr>
              <w:rPr>
                <w:rFonts w:hint="eastAsia" w:ascii="宋体" w:hAnsi="宋体" w:eastAsia="宋体" w:cs="宋体"/>
                <w:i w:val="0"/>
                <w:color w:val="000000"/>
                <w:sz w:val="28"/>
                <w:szCs w:val="28"/>
                <w:u w:val="none"/>
              </w:rPr>
            </w:pPr>
          </w:p>
        </w:tc>
        <w:tc>
          <w:tcPr>
            <w:tcW w:w="1020" w:type="dxa"/>
            <w:tcBorders>
              <w:top w:val="nil"/>
              <w:left w:val="nil"/>
              <w:bottom w:val="nil"/>
              <w:right w:val="nil"/>
            </w:tcBorders>
            <w:shd w:val="clear" w:color="auto" w:fill="auto"/>
            <w:vAlign w:val="center"/>
          </w:tcPr>
          <w:p>
            <w:pPr>
              <w:rPr>
                <w:rFonts w:hint="eastAsia" w:ascii="宋体" w:hAnsi="宋体" w:eastAsia="宋体" w:cs="宋体"/>
                <w:i w:val="0"/>
                <w:color w:val="000000"/>
                <w:sz w:val="28"/>
                <w:szCs w:val="28"/>
                <w:u w:val="none"/>
              </w:rPr>
            </w:pPr>
          </w:p>
        </w:tc>
        <w:tc>
          <w:tcPr>
            <w:tcW w:w="2602" w:type="dxa"/>
            <w:tcBorders>
              <w:top w:val="nil"/>
              <w:left w:val="nil"/>
              <w:bottom w:val="nil"/>
              <w:right w:val="nil"/>
            </w:tcBorders>
            <w:shd w:val="clear" w:color="auto" w:fill="auto"/>
            <w:vAlign w:val="center"/>
          </w:tcPr>
          <w:p>
            <w:pPr>
              <w:rPr>
                <w:rFonts w:hint="eastAsia" w:ascii="宋体" w:hAnsi="宋体" w:eastAsia="宋体" w:cs="宋体"/>
                <w:i w:val="0"/>
                <w:color w:val="000000"/>
                <w:sz w:val="28"/>
                <w:szCs w:val="28"/>
                <w:u w:val="none"/>
              </w:rPr>
            </w:pPr>
          </w:p>
        </w:tc>
        <w:tc>
          <w:tcPr>
            <w:tcW w:w="638" w:type="dxa"/>
            <w:tcBorders>
              <w:top w:val="nil"/>
              <w:left w:val="nil"/>
              <w:bottom w:val="nil"/>
              <w:right w:val="nil"/>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2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项目名称</w:t>
            </w:r>
          </w:p>
        </w:tc>
        <w:tc>
          <w:tcPr>
            <w:tcW w:w="125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政府法律顾问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主管部门</w:t>
            </w:r>
          </w:p>
        </w:tc>
        <w:tc>
          <w:tcPr>
            <w:tcW w:w="5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实施单位</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北京市密云区司法局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项目负责人</w:t>
            </w:r>
          </w:p>
        </w:tc>
        <w:tc>
          <w:tcPr>
            <w:tcW w:w="5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李铁冬</w:t>
            </w: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联系电话</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69056491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0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项目资金</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（万元）</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年初预算数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全年预算数</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全年执行数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分值</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执行率</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20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年度资金总额</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204.2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204.2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100.00%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其中：当年财政拨款</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204.2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204.2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204.2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上年结转资金</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0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其他资金</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8"/>
                <w:szCs w:val="28"/>
                <w:u w:val="none"/>
              </w:rPr>
            </w:pP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8"/>
                <w:szCs w:val="28"/>
                <w:u w:val="none"/>
              </w:rPr>
            </w:pP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atLeast"/>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总</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体</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目</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标</w:t>
            </w:r>
          </w:p>
        </w:tc>
        <w:tc>
          <w:tcPr>
            <w:tcW w:w="67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预期目标</w:t>
            </w:r>
          </w:p>
        </w:tc>
        <w:tc>
          <w:tcPr>
            <w:tcW w:w="7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679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通过普遍建立党政机关法律顾问制度，充分发挥法律专业人才在全面推进依法治区中的作用。建立健全法律顾问队伍，全面构建党政机关法律顾问体系。</w:t>
            </w:r>
          </w:p>
        </w:tc>
        <w:tc>
          <w:tcPr>
            <w:tcW w:w="70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绩</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效</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指</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标</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一级</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指标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二级指标</w:t>
            </w:r>
          </w:p>
        </w:tc>
        <w:tc>
          <w:tcPr>
            <w:tcW w:w="4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三级指标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年度指标值</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实际完成值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分值</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得分</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产出指标（50分）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数量指标</w:t>
            </w:r>
          </w:p>
        </w:tc>
        <w:tc>
          <w:tcPr>
            <w:tcW w:w="4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一级预算单位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5"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质量指标</w:t>
            </w:r>
          </w:p>
        </w:tc>
        <w:tc>
          <w:tcPr>
            <w:tcW w:w="4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考核合格</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合格</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合格</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时效指标</w:t>
            </w:r>
          </w:p>
        </w:tc>
        <w:tc>
          <w:tcPr>
            <w:tcW w:w="21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顾问经费发放到位</w:t>
            </w:r>
          </w:p>
        </w:tc>
        <w:tc>
          <w:tcPr>
            <w:tcW w:w="19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完成</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部分完成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未发放部分纳入下一年度预算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4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项目年底前完成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完成</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完成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成本指标</w:t>
            </w:r>
          </w:p>
        </w:tc>
        <w:tc>
          <w:tcPr>
            <w:tcW w:w="4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204.2万元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204.2万元</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204.2万元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20"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效益指标（30分）</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社会效益</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指标</w:t>
            </w:r>
          </w:p>
        </w:tc>
        <w:tc>
          <w:tcPr>
            <w:tcW w:w="4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各聘用单位工作法治化、规范化水平明显提高，法治意识得到增强，对更好地服务群众起到积极地促进作用。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得到提升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完成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4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确保在聘用周期内，政府法律顾问充分发挥自身职能，协助聘用单位做好法治方面的相关工作，促进聘用单位依法履职。</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得到提升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完成</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满意度</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指标（10分）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服务对象</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满意度指标</w:t>
            </w:r>
          </w:p>
        </w:tc>
        <w:tc>
          <w:tcPr>
            <w:tcW w:w="4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一级预算单位满意度</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满意</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满意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323" w:type="dxa"/>
            <w:gridSpan w:val="7"/>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总分</w:t>
            </w:r>
          </w:p>
        </w:tc>
        <w:tc>
          <w:tcPr>
            <w:tcW w:w="1020"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pPr>
        <w:pStyle w:val="6"/>
        <w:rPr>
          <w:rFonts w:hint="eastAsia"/>
        </w:rPr>
      </w:pPr>
    </w:p>
    <w:p>
      <w:pPr>
        <w:pStyle w:val="6"/>
        <w:rPr>
          <w:rFonts w:hint="eastAsia"/>
        </w:rPr>
      </w:pPr>
    </w:p>
    <w:p>
      <w:pPr>
        <w:pStyle w:val="6"/>
        <w:ind w:left="0" w:leftChars="0" w:firstLine="0" w:firstLineChars="0"/>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pPr>
        <w:spacing w:line="480" w:lineRule="exact"/>
        <w:rPr>
          <w:rFonts w:hint="eastAsia" w:ascii="仿宋_GB2312" w:eastAsia="仿宋_GB2312"/>
          <w:sz w:val="32"/>
          <w:szCs w:val="32"/>
        </w:rPr>
      </w:pPr>
    </w:p>
    <w:p>
      <w:pPr>
        <w:pStyle w:val="6"/>
        <w:ind w:firstLine="640"/>
        <w:rPr>
          <w:rFonts w:hint="eastAsia" w:ascii="仿宋_GB2312" w:eastAsia="仿宋_GB2312"/>
          <w:sz w:val="32"/>
          <w:szCs w:val="32"/>
        </w:rPr>
      </w:pPr>
    </w:p>
    <w:p>
      <w:pPr>
        <w:pStyle w:val="6"/>
        <w:ind w:firstLine="640"/>
        <w:rPr>
          <w:rFonts w:hint="eastAsia" w:ascii="仿宋_GB2312" w:eastAsia="仿宋_GB2312"/>
          <w:sz w:val="32"/>
          <w:szCs w:val="32"/>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Droid Sans">
    <w:altName w:val="文泉驿微米黑"/>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23</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FAEAB"/>
    <w:multiLevelType w:val="singleLevel"/>
    <w:tmpl w:val="F5AFAEAB"/>
    <w:lvl w:ilvl="0" w:tentative="0">
      <w:start w:val="2"/>
      <w:numFmt w:val="chineseCounting"/>
      <w:suff w:val="nothing"/>
      <w:lvlText w:val="（%1）"/>
      <w:lvlJc w:val="left"/>
      <w:rPr>
        <w:rFonts w:hint="eastAsia"/>
      </w:rPr>
    </w:lvl>
  </w:abstractNum>
  <w:abstractNum w:abstractNumId="1">
    <w:nsid w:val="F97F61AE"/>
    <w:multiLevelType w:val="singleLevel"/>
    <w:tmpl w:val="F97F61AE"/>
    <w:lvl w:ilvl="0" w:tentative="0">
      <w:start w:val="6"/>
      <w:numFmt w:val="chineseCounting"/>
      <w:suff w:val="nothing"/>
      <w:lvlText w:val="%1、"/>
      <w:lvlJc w:val="left"/>
      <w:rPr>
        <w:rFonts w:hint="eastAsia"/>
      </w:rPr>
    </w:lvl>
  </w:abstractNum>
  <w:abstractNum w:abstractNumId="2">
    <w:nsid w:val="2FFD6D1B"/>
    <w:multiLevelType w:val="singleLevel"/>
    <w:tmpl w:val="2FFD6D1B"/>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79004AC"/>
    <w:rsid w:val="0F8E2C57"/>
    <w:rsid w:val="1059665E"/>
    <w:rsid w:val="10AC13BA"/>
    <w:rsid w:val="1AEC0734"/>
    <w:rsid w:val="1D573410"/>
    <w:rsid w:val="1DEF20B0"/>
    <w:rsid w:val="1F75DCE7"/>
    <w:rsid w:val="214243FA"/>
    <w:rsid w:val="257A14F5"/>
    <w:rsid w:val="27196C26"/>
    <w:rsid w:val="29EF086F"/>
    <w:rsid w:val="2EFFE297"/>
    <w:rsid w:val="301437CA"/>
    <w:rsid w:val="3FDF4E65"/>
    <w:rsid w:val="3FFD8B26"/>
    <w:rsid w:val="433E495C"/>
    <w:rsid w:val="4AC27CB3"/>
    <w:rsid w:val="4BF72BEF"/>
    <w:rsid w:val="51DB3C59"/>
    <w:rsid w:val="55762E42"/>
    <w:rsid w:val="57A7B272"/>
    <w:rsid w:val="58470068"/>
    <w:rsid w:val="5A1720F9"/>
    <w:rsid w:val="5B9C37C2"/>
    <w:rsid w:val="5BA7C654"/>
    <w:rsid w:val="64C0607C"/>
    <w:rsid w:val="676F09E1"/>
    <w:rsid w:val="6E1DD6B5"/>
    <w:rsid w:val="77FFF19E"/>
    <w:rsid w:val="7A7F1C49"/>
    <w:rsid w:val="7B330394"/>
    <w:rsid w:val="7B5B7AE6"/>
    <w:rsid w:val="7BA7071E"/>
    <w:rsid w:val="7BDF6DA8"/>
    <w:rsid w:val="7C7EDC1A"/>
    <w:rsid w:val="7CCED98D"/>
    <w:rsid w:val="7D08410F"/>
    <w:rsid w:val="7DB96DED"/>
    <w:rsid w:val="7DD3AD81"/>
    <w:rsid w:val="7F7FE70F"/>
    <w:rsid w:val="7FFF772F"/>
    <w:rsid w:val="95F35EF6"/>
    <w:rsid w:val="9BFFD860"/>
    <w:rsid w:val="AC5F73DE"/>
    <w:rsid w:val="AFF7EC34"/>
    <w:rsid w:val="B0EF641F"/>
    <w:rsid w:val="B5DDD2C8"/>
    <w:rsid w:val="B9DFABD9"/>
    <w:rsid w:val="BC0D83FC"/>
    <w:rsid w:val="BF3BDEFB"/>
    <w:rsid w:val="BF7E81B5"/>
    <w:rsid w:val="C75F6086"/>
    <w:rsid w:val="C7F7ED2D"/>
    <w:rsid w:val="CFAF854E"/>
    <w:rsid w:val="D8D7928E"/>
    <w:rsid w:val="D8FE3136"/>
    <w:rsid w:val="DA7FB8FD"/>
    <w:rsid w:val="DDDE60B7"/>
    <w:rsid w:val="DDFB0BAE"/>
    <w:rsid w:val="DE9F6A22"/>
    <w:rsid w:val="DF4FCE6A"/>
    <w:rsid w:val="E4FED278"/>
    <w:rsid w:val="EDAA365C"/>
    <w:rsid w:val="EDADFC12"/>
    <w:rsid w:val="EF3B88DD"/>
    <w:rsid w:val="F2FD229B"/>
    <w:rsid w:val="F3F08023"/>
    <w:rsid w:val="F7F709E9"/>
    <w:rsid w:val="F7FF3690"/>
    <w:rsid w:val="F9BD3900"/>
    <w:rsid w:val="FB3FAAC1"/>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unhideWhenUsed/>
    <w:qFormat/>
    <w:uiPriority w:val="99"/>
    <w:pPr>
      <w:spacing w:after="120"/>
    </w:pPr>
  </w:style>
  <w:style w:type="paragraph" w:customStyle="1" w:styleId="4">
    <w:name w:val="toc 1_b958cacf-7e5f-454f-8c5b-6e15b77831f9"/>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Normal Indent"/>
    <w:basedOn w:val="1"/>
    <w:qFormat/>
    <w:uiPriority w:val="0"/>
    <w:pPr>
      <w:ind w:firstLine="200" w:firstLineChars="200"/>
    </w:pPr>
  </w:style>
  <w:style w:type="paragraph" w:styleId="7">
    <w:name w:val="Body Text Indent"/>
    <w:basedOn w:val="1"/>
    <w:qFormat/>
    <w:uiPriority w:val="0"/>
    <w:pPr>
      <w:ind w:firstLine="645"/>
    </w:pPr>
    <w:rPr>
      <w:rFonts w:ascii="仿宋_GB2312" w:hAnsi="Calibri" w:eastAsia="仿宋_GB2312"/>
      <w:sz w:val="32"/>
      <w:szCs w:val="32"/>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7"/>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2">
    <w:name w:val="Normal (Web)"/>
    <w:basedOn w:val="1"/>
    <w:unhideWhenUsed/>
    <w:qFormat/>
    <w:uiPriority w:val="0"/>
    <w:pPr>
      <w:spacing w:before="100" w:beforeAutospacing="1" w:after="100" w:afterAutospacing="1"/>
      <w:ind w:right="238"/>
      <w:jc w:val="left"/>
    </w:pPr>
    <w:rPr>
      <w:b/>
      <w:kern w:val="0"/>
      <w:sz w:val="24"/>
      <w:szCs w:val="20"/>
    </w:rPr>
  </w:style>
  <w:style w:type="character" w:styleId="15">
    <w:name w:val="Strong"/>
    <w:qFormat/>
    <w:uiPriority w:val="0"/>
    <w:rPr>
      <w:b/>
    </w:rPr>
  </w:style>
  <w:style w:type="character" w:styleId="16">
    <w:name w:val="page number"/>
    <w:qFormat/>
    <w:uiPriority w:val="0"/>
  </w:style>
  <w:style w:type="character" w:customStyle="1" w:styleId="17">
    <w:name w:val="页脚 Char"/>
    <w:link w:val="10"/>
    <w:qFormat/>
    <w:uiPriority w:val="0"/>
    <w:rPr>
      <w:rFonts w:eastAsia="宋体"/>
      <w:kern w:val="2"/>
      <w:sz w:val="18"/>
      <w:szCs w:val="18"/>
      <w:lang w:val="en-US" w:eastAsia="zh-CN" w:bidi="ar-SA"/>
    </w:rPr>
  </w:style>
  <w:style w:type="character" w:customStyle="1" w:styleId="18">
    <w:name w:val="页眉 Char"/>
    <w:link w:val="11"/>
    <w:qFormat/>
    <w:uiPriority w:val="0"/>
    <w:rPr>
      <w:rFonts w:ascii="Calibri" w:hAnsi="Calibri" w:eastAsia="宋体"/>
      <w:kern w:val="2"/>
      <w:sz w:val="18"/>
      <w:szCs w:val="18"/>
      <w:lang w:val="en-US" w:eastAsia="zh-CN" w:bidi="ar-SA"/>
    </w:rPr>
  </w:style>
  <w:style w:type="paragraph" w:customStyle="1" w:styleId="19">
    <w:name w:val=" Char Char Char Char Char Char Char"/>
    <w:basedOn w:val="1"/>
    <w:qFormat/>
    <w:uiPriority w:val="0"/>
    <w:rPr>
      <w:rFonts w:ascii="Tahoma" w:hAnsi="Tahoma"/>
      <w:sz w:val="24"/>
      <w:szCs w:val="20"/>
    </w:rPr>
  </w:style>
  <w:style w:type="paragraph" w:customStyle="1" w:styleId="20">
    <w:name w:val="Char1 Char Char Char"/>
    <w:basedOn w:val="1"/>
    <w:qFormat/>
    <w:uiPriority w:val="0"/>
    <w:pPr>
      <w:widowControl/>
      <w:spacing w:after="160" w:line="240" w:lineRule="exact"/>
      <w:jc w:val="left"/>
    </w:pPr>
    <w:rPr>
      <w:szCs w:val="20"/>
    </w:rPr>
  </w:style>
  <w:style w:type="paragraph" w:customStyle="1" w:styleId="21">
    <w:name w:val="Char"/>
    <w:basedOn w:val="1"/>
    <w:qFormat/>
    <w:uiPriority w:val="0"/>
    <w:rPr>
      <w:rFonts w:ascii="Tahoma" w:hAnsi="Tahoma"/>
      <w:sz w:val="24"/>
      <w:szCs w:val="20"/>
    </w:rPr>
  </w:style>
  <w:style w:type="paragraph" w:customStyle="1" w:styleId="22">
    <w:name w:val="Char Char3 Char Char"/>
    <w:basedOn w:val="1"/>
    <w:qFormat/>
    <w:uiPriority w:val="0"/>
    <w:rPr>
      <w:szCs w:val="21"/>
    </w:rPr>
  </w:style>
  <w:style w:type="paragraph" w:customStyle="1" w:styleId="23">
    <w:name w:val="TOC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baseline="0">
              <a:solidFill>
                <a:schemeClr val="bg1">
                  <a:lumMod val="50000"/>
                </a:schemeClr>
              </a:solidFill>
              <a:latin typeface="+mn-lt"/>
              <a:ea typeface="+mn-ea"/>
              <a:cs typeface="+mn-cs"/>
            </a:defRPr>
          </a:pPr>
        </a:p>
      </c:txPr>
    </c:title>
    <c:autoTitleDeleted val="false"/>
    <c:plotArea>
      <c:layout/>
      <c:pieChart>
        <c:varyColors val="true"/>
        <c:ser>
          <c:idx val="0"/>
          <c:order val="0"/>
          <c:tx>
            <c:strRef>
              <c:f>Sheet1!$B$1</c:f>
              <c:strCache>
                <c:ptCount val="1"/>
                <c:pt idx="0">
                  <c:v>收入决算</c:v>
                </c:pt>
              </c:strCache>
            </c:strRef>
          </c:tx>
          <c:spPr/>
          <c:explosion val="0"/>
          <c:dPt>
            <c:idx val="0"/>
            <c:bubble3D val="false"/>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财政拨款收入</c:v>
                </c:pt>
              </c:strCache>
            </c:strRef>
          </c:cat>
          <c:val>
            <c:numRef>
              <c:f>Sheet1!$B$2</c:f>
              <c:numCache>
                <c:formatCode>General</c:formatCode>
                <c:ptCount val="1"/>
                <c:pt idx="0">
                  <c:v>100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egendEntry>
        <c:idx val="0"/>
        <c:txPr>
          <a:bodyPr rot="0" spcFirstLastPara="0" vertOverflow="ellipsis" vert="horz" wrap="square" anchor="ctr" anchorCtr="true"/>
          <a:lstStyle/>
          <a:p>
            <a:pPr>
              <a:defRPr lang="zh-CN" sz="900" b="0" i="0" u="none" strike="noStrike" kern="1200" baseline="0">
                <a:solidFill>
                  <a:schemeClr val="bg1">
                    <a:lumMod val="50000"/>
                  </a:schemeClr>
                </a:solid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bg1">
                  <a:lumMod val="50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支出金额占比</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0.7023</c:v>
                </c:pt>
                <c:pt idx="1">
                  <c:v>0.2977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TotalTime>19</TotalTime>
  <ScaleCrop>false</ScaleCrop>
  <LinksUpToDate>false</LinksUpToDate>
  <CharactersWithSpaces>6114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2017-07-14T07:16:00Z</dcterms:created>
  <dc:creator>常程</dc:creator>
  <cp:lastModifiedBy>user</cp:lastModifiedBy>
  <cp:lastPrinted>2020-08-10T03:39:00Z</cp:lastPrinted>
  <dcterms:modified xsi:type="dcterms:W3CDTF">2024-09-19T10:26:57Z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C53E0049DD7D4F56A956C4A3BA3D12CC_13</vt:lpwstr>
  </property>
</Properties>
</file>