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default" w:ascii="黑体" w:eastAsia="黑体"/>
          <w:sz w:val="72"/>
          <w:szCs w:val="72"/>
          <w:lang w:val="en-US" w:eastAsia="zh-CN"/>
        </w:rPr>
      </w:pPr>
      <w:bookmarkStart w:id="0" w:name="_GoBack"/>
      <w:r>
        <w:rPr>
          <w:rFonts w:hint="eastAsia" w:ascii="黑体" w:eastAsia="黑体"/>
          <w:sz w:val="72"/>
          <w:szCs w:val="72"/>
          <w:lang w:val="en-US" w:eastAsia="zh-CN"/>
        </w:rPr>
        <w:t>北京市密云区植物保护站</w:t>
      </w:r>
    </w:p>
    <w:bookmarkEnd w:id="0"/>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numPr>
          <w:ilvl w:val="0"/>
          <w:numId w:val="1"/>
        </w:num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w:t>
      </w:r>
    </w:p>
    <w:p>
      <w:pPr>
        <w:widowControl w:val="0"/>
        <w:numPr>
          <w:ilvl w:val="0"/>
          <w:numId w:val="0"/>
        </w:numPr>
        <w:tabs>
          <w:tab w:val="center" w:pos="6979"/>
        </w:tabs>
        <w:spacing w:before="156" w:beforeLines="50" w:after="156" w:afterLines="50"/>
        <w:jc w:val="center"/>
        <w:rPr>
          <w:rFonts w:hint="eastAsia" w:eastAsia="仿宋_GB2312"/>
          <w:b w:val="0"/>
          <w:bCs w:val="0"/>
          <w:lang w:val="en" w:eastAsia="zh-CN"/>
        </w:rPr>
      </w:pPr>
    </w:p>
    <w:p>
      <w:pPr>
        <w:pStyle w:val="2"/>
        <w:ind w:left="0" w:leftChars="0" w:firstLine="0" w:firstLineChars="0"/>
        <w:jc w:val="both"/>
        <w:rPr>
          <w:rFonts w:hint="eastAsia"/>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r>
        <w:drawing>
          <wp:inline distT="0" distB="0" distL="114300" distR="114300">
            <wp:extent cx="9243695" cy="6779895"/>
            <wp:effectExtent l="0" t="0" r="14605" b="19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9243695" cy="677989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9251315" cy="4881245"/>
            <wp:effectExtent l="0" t="0" r="6985" b="1460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9251315" cy="4881245"/>
                    </a:xfrm>
                    <a:prstGeom prst="rect">
                      <a:avLst/>
                    </a:prstGeom>
                    <a:noFill/>
                    <a:ln>
                      <a:noFill/>
                    </a:ln>
                  </pic:spPr>
                </pic:pic>
              </a:graphicData>
            </a:graphic>
          </wp:inline>
        </w:drawing>
      </w:r>
    </w:p>
    <w:p>
      <w:pPr>
        <w:pStyle w:val="2"/>
        <w:ind w:left="0" w:leftChars="0" w:firstLine="0" w:firstLineChars="0"/>
        <w:jc w:val="both"/>
      </w:pPr>
      <w:r>
        <w:drawing>
          <wp:inline distT="0" distB="0" distL="114300" distR="114300">
            <wp:extent cx="9058275" cy="5276850"/>
            <wp:effectExtent l="0" t="0" r="9525"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9058275" cy="5276850"/>
                    </a:xfrm>
                    <a:prstGeom prst="rect">
                      <a:avLst/>
                    </a:prstGeom>
                    <a:noFill/>
                    <a:ln>
                      <a:noFill/>
                    </a:ln>
                  </pic:spPr>
                </pic:pic>
              </a:graphicData>
            </a:graphic>
          </wp:inline>
        </w:drawing>
      </w:r>
    </w:p>
    <w:p>
      <w:pPr>
        <w:pStyle w:val="2"/>
        <w:ind w:left="0" w:leftChars="0" w:firstLine="0" w:firstLineChars="0"/>
        <w:jc w:val="both"/>
      </w:pPr>
      <w:r>
        <w:drawing>
          <wp:inline distT="0" distB="0" distL="114300" distR="114300">
            <wp:extent cx="9251315" cy="5090160"/>
            <wp:effectExtent l="0" t="0" r="6985" b="152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9251315" cy="5090160"/>
                    </a:xfrm>
                    <a:prstGeom prst="rect">
                      <a:avLst/>
                    </a:prstGeom>
                    <a:noFill/>
                    <a:ln>
                      <a:noFill/>
                    </a:ln>
                  </pic:spPr>
                </pic:pic>
              </a:graphicData>
            </a:graphic>
          </wp:inline>
        </w:drawing>
      </w:r>
    </w:p>
    <w:p>
      <w:pPr>
        <w:pStyle w:val="2"/>
        <w:jc w:val="both"/>
      </w:pPr>
    </w:p>
    <w:p>
      <w:pPr>
        <w:pStyle w:val="2"/>
        <w:tabs>
          <w:tab w:val="left" w:pos="477"/>
          <w:tab w:val="center" w:pos="7515"/>
        </w:tabs>
        <w:ind w:left="0" w:leftChars="0" w:firstLine="0" w:firstLineChars="0"/>
        <w:jc w:val="left"/>
      </w:pPr>
      <w:r>
        <w:drawing>
          <wp:inline distT="0" distB="0" distL="114300" distR="114300">
            <wp:extent cx="9248140" cy="4131945"/>
            <wp:effectExtent l="0" t="0" r="10160" b="1905"/>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11"/>
                    <a:stretch>
                      <a:fillRect/>
                    </a:stretch>
                  </pic:blipFill>
                  <pic:spPr>
                    <a:xfrm>
                      <a:off x="0" y="0"/>
                      <a:ext cx="9248140" cy="4131945"/>
                    </a:xfrm>
                    <a:prstGeom prst="rect">
                      <a:avLst/>
                    </a:prstGeom>
                    <a:noFill/>
                    <a:ln>
                      <a:noFill/>
                    </a:ln>
                  </pic:spPr>
                </pic:pic>
              </a:graphicData>
            </a:graphic>
          </wp:inline>
        </w:drawing>
      </w:r>
    </w:p>
    <w:p>
      <w:pPr>
        <w:pStyle w:val="2"/>
        <w:tabs>
          <w:tab w:val="left" w:pos="477"/>
          <w:tab w:val="center" w:pos="7515"/>
        </w:tabs>
        <w:ind w:left="0" w:leftChars="0" w:firstLine="0" w:firstLineChars="0"/>
        <w:jc w:val="center"/>
      </w:pPr>
    </w:p>
    <w:p>
      <w:pPr>
        <w:pStyle w:val="2"/>
        <w:tabs>
          <w:tab w:val="left" w:pos="477"/>
          <w:tab w:val="center" w:pos="7515"/>
        </w:tabs>
        <w:ind w:left="0" w:leftChars="0" w:firstLine="0" w:firstLineChars="0"/>
        <w:jc w:val="left"/>
      </w:pPr>
      <w:r>
        <w:drawing>
          <wp:inline distT="0" distB="0" distL="114300" distR="114300">
            <wp:extent cx="8486775" cy="5457825"/>
            <wp:effectExtent l="0" t="0" r="9525" b="952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2"/>
                    <a:stretch>
                      <a:fillRect/>
                    </a:stretch>
                  </pic:blipFill>
                  <pic:spPr>
                    <a:xfrm>
                      <a:off x="0" y="0"/>
                      <a:ext cx="8486775" cy="5457825"/>
                    </a:xfrm>
                    <a:prstGeom prst="rect">
                      <a:avLst/>
                    </a:prstGeom>
                    <a:noFill/>
                    <a:ln>
                      <a:noFill/>
                    </a:ln>
                  </pic:spPr>
                </pic:pic>
              </a:graphicData>
            </a:graphic>
          </wp:inline>
        </w:drawing>
      </w:r>
    </w:p>
    <w:p>
      <w:pPr>
        <w:pStyle w:val="2"/>
        <w:ind w:left="0" w:leftChars="0" w:firstLine="0" w:firstLineChars="0"/>
        <w:jc w:val="both"/>
        <w:rPr>
          <w:rFonts w:hint="eastAsia"/>
        </w:rPr>
      </w:pPr>
      <w:r>
        <w:drawing>
          <wp:inline distT="0" distB="0" distL="114300" distR="114300">
            <wp:extent cx="9250045" cy="6318250"/>
            <wp:effectExtent l="0" t="0" r="8255" b="635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3"/>
                    <a:stretch>
                      <a:fillRect/>
                    </a:stretch>
                  </pic:blipFill>
                  <pic:spPr>
                    <a:xfrm>
                      <a:off x="0" y="0"/>
                      <a:ext cx="9250045" cy="6318250"/>
                    </a:xfrm>
                    <a:prstGeom prst="rect">
                      <a:avLst/>
                    </a:prstGeom>
                    <a:noFill/>
                    <a:ln>
                      <a:noFill/>
                    </a:ln>
                  </pic:spPr>
                </pic:pic>
              </a:graphicData>
            </a:graphic>
          </wp:inline>
        </w:drawing>
      </w:r>
    </w:p>
    <w:p>
      <w:pPr>
        <w:tabs>
          <w:tab w:val="center" w:pos="6979"/>
        </w:tabs>
        <w:spacing w:before="156" w:beforeLines="50" w:after="156" w:afterLines="50"/>
        <w:jc w:val="center"/>
        <w:rPr>
          <w:rFonts w:ascii="Times New Roman" w:hAnsi="Times New Roman" w:eastAsia="宋体" w:cs="Times New Roman"/>
          <w:kern w:val="2"/>
          <w:sz w:val="21"/>
          <w:szCs w:val="24"/>
          <w:lang w:val="en-US" w:eastAsia="zh-CN" w:bidi="ar-SA"/>
        </w:rPr>
      </w:pPr>
      <w:r>
        <w:drawing>
          <wp:inline distT="0" distB="0" distL="114300" distR="114300">
            <wp:extent cx="9246235" cy="1160145"/>
            <wp:effectExtent l="0" t="0" r="12065" b="190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4"/>
                    <a:stretch>
                      <a:fillRect/>
                    </a:stretch>
                  </pic:blipFill>
                  <pic:spPr>
                    <a:xfrm>
                      <a:off x="0" y="0"/>
                      <a:ext cx="9246235" cy="1160145"/>
                    </a:xfrm>
                    <a:prstGeom prst="rect">
                      <a:avLst/>
                    </a:prstGeom>
                    <a:noFill/>
                    <a:ln>
                      <a:noFill/>
                    </a:ln>
                  </pic:spPr>
                </pic:pic>
              </a:graphicData>
            </a:graphic>
          </wp:inline>
        </w:drawing>
      </w:r>
    </w:p>
    <w:p>
      <w:pPr>
        <w:tabs>
          <w:tab w:val="center" w:pos="6979"/>
        </w:tabs>
        <w:spacing w:before="156" w:beforeLines="50" w:after="156" w:afterLines="50"/>
        <w:jc w:val="left"/>
        <w:rPr>
          <w:rFonts w:hint="eastAsia" w:eastAsia="宋体"/>
          <w:lang w:val="en-US" w:eastAsia="zh-CN"/>
        </w:rPr>
      </w:pPr>
      <w:r>
        <w:rPr>
          <w:rFonts w:hint="eastAsia"/>
          <w:lang w:val="en-US" w:eastAsia="zh-CN"/>
        </w:rPr>
        <w:t>备注：我单位无此项支出。</w:t>
      </w:r>
    </w:p>
    <w:p>
      <w:pPr>
        <w:tabs>
          <w:tab w:val="left" w:pos="643"/>
        </w:tabs>
        <w:bidi w:val="0"/>
        <w:jc w:val="left"/>
        <w:rPr>
          <w:lang w:val="en-US" w:eastAsia="zh-CN"/>
        </w:rPr>
      </w:pPr>
    </w:p>
    <w:p>
      <w:pPr>
        <w:pStyle w:val="2"/>
        <w:ind w:left="0" w:leftChars="0" w:firstLine="0" w:firstLineChars="0"/>
        <w:jc w:val="both"/>
        <w:rPr>
          <w:rFonts w:hint="eastAsia"/>
        </w:rPr>
      </w:pPr>
      <w:r>
        <w:drawing>
          <wp:inline distT="0" distB="0" distL="114300" distR="114300">
            <wp:extent cx="9250045" cy="6318250"/>
            <wp:effectExtent l="0" t="0" r="8255" b="635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5"/>
                    <a:stretch>
                      <a:fillRect/>
                    </a:stretch>
                  </pic:blipFill>
                  <pic:spPr>
                    <a:xfrm>
                      <a:off x="0" y="0"/>
                      <a:ext cx="9250045" cy="6318250"/>
                    </a:xfrm>
                    <a:prstGeom prst="rect">
                      <a:avLst/>
                    </a:prstGeom>
                    <a:noFill/>
                    <a:ln>
                      <a:noFill/>
                    </a:ln>
                  </pic:spPr>
                </pic:pic>
              </a:graphicData>
            </a:graphic>
          </wp:inline>
        </w:drawing>
      </w:r>
    </w:p>
    <w:p>
      <w:pPr>
        <w:tabs>
          <w:tab w:val="center" w:pos="6979"/>
        </w:tabs>
        <w:spacing w:before="156" w:beforeLines="50" w:after="156" w:afterLines="50"/>
        <w:jc w:val="left"/>
        <w:rPr>
          <w:rFonts w:hint="eastAsia" w:eastAsia="宋体"/>
          <w:lang w:val="en-US" w:eastAsia="zh-CN"/>
        </w:rPr>
      </w:pPr>
      <w:r>
        <w:rPr>
          <w:rFonts w:hint="eastAsia"/>
          <w:lang w:val="en-US" w:eastAsia="zh-CN"/>
        </w:rPr>
        <w:t>备注：我单位无此项支出。</w:t>
      </w:r>
    </w:p>
    <w:p>
      <w:pPr>
        <w:tabs>
          <w:tab w:val="center" w:pos="6979"/>
        </w:tabs>
        <w:spacing w:before="156" w:beforeLines="50" w:after="156" w:afterLines="50"/>
        <w:jc w:val="center"/>
      </w:pPr>
    </w:p>
    <w:p>
      <w:pPr>
        <w:tabs>
          <w:tab w:val="center" w:pos="6979"/>
        </w:tabs>
        <w:spacing w:before="156" w:beforeLines="50" w:after="156" w:afterLines="50"/>
        <w:jc w:val="center"/>
      </w:pPr>
      <w:r>
        <w:drawing>
          <wp:inline distT="0" distB="0" distL="114300" distR="114300">
            <wp:extent cx="6153150" cy="1476375"/>
            <wp:effectExtent l="0" t="0" r="0" b="952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6"/>
                    <a:stretch>
                      <a:fillRect/>
                    </a:stretch>
                  </pic:blipFill>
                  <pic:spPr>
                    <a:xfrm>
                      <a:off x="0" y="0"/>
                      <a:ext cx="6153150" cy="1476375"/>
                    </a:xfrm>
                    <a:prstGeom prst="rect">
                      <a:avLst/>
                    </a:prstGeom>
                    <a:noFill/>
                    <a:ln>
                      <a:noFill/>
                    </a:ln>
                  </pic:spPr>
                </pic:pic>
              </a:graphicData>
            </a:graphic>
          </wp:inline>
        </w:drawing>
      </w:r>
    </w:p>
    <w:p>
      <w:pPr>
        <w:pStyle w:val="2"/>
        <w:rPr>
          <w:rFonts w:hint="default" w:eastAsia="宋体"/>
          <w:lang w:val="en-US" w:eastAsia="zh-CN"/>
        </w:rPr>
      </w:pPr>
      <w:r>
        <w:rPr>
          <w:rFonts w:hint="eastAsia"/>
          <w:lang w:val="en-US" w:eastAsia="zh-CN"/>
        </w:rPr>
        <w:t xml:space="preserve">                   备注：我单位无此项支出。</w:t>
      </w:r>
    </w:p>
    <w:p>
      <w:pPr>
        <w:pStyle w:val="2"/>
      </w:pPr>
    </w:p>
    <w:p>
      <w:pPr>
        <w:pStyle w:val="2"/>
      </w:pPr>
    </w:p>
    <w:p>
      <w:pPr>
        <w:pStyle w:val="2"/>
      </w:pPr>
    </w:p>
    <w:p>
      <w:pPr>
        <w:pStyle w:val="2"/>
      </w:pPr>
    </w:p>
    <w:p>
      <w:pPr>
        <w:pStyle w:val="2"/>
        <w:jc w:val="center"/>
      </w:pPr>
    </w:p>
    <w:p>
      <w:pPr>
        <w:pStyle w:val="2"/>
        <w:jc w:val="center"/>
        <w:rPr>
          <w:rFonts w:hint="eastAsia"/>
        </w:rPr>
      </w:pPr>
      <w:r>
        <w:drawing>
          <wp:inline distT="0" distB="0" distL="114300" distR="114300">
            <wp:extent cx="9250045" cy="154876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9250045" cy="154876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5657850" cy="3952875"/>
            <wp:effectExtent l="0" t="0" r="0" b="9525"/>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18"/>
                    <a:stretch>
                      <a:fillRect/>
                    </a:stretch>
                  </pic:blipFill>
                  <pic:spPr>
                    <a:xfrm>
                      <a:off x="0" y="0"/>
                      <a:ext cx="5657850" cy="395287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4586605" cy="6071235"/>
            <wp:effectExtent l="0" t="0" r="4445" b="5715"/>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19"/>
                    <a:stretch>
                      <a:fillRect/>
                    </a:stretch>
                  </pic:blipFill>
                  <pic:spPr>
                    <a:xfrm>
                      <a:off x="0" y="0"/>
                      <a:ext cx="4586605" cy="6071235"/>
                    </a:xfrm>
                    <a:prstGeom prst="rect">
                      <a:avLst/>
                    </a:prstGeom>
                    <a:noFill/>
                    <a:ln>
                      <a:noFill/>
                    </a:ln>
                  </pic:spPr>
                </pic:pic>
              </a:graphicData>
            </a:graphic>
          </wp:inline>
        </w:drawing>
      </w:r>
    </w:p>
    <w:p>
      <w:pPr>
        <w:pStyle w:val="2"/>
        <w:rPr>
          <w:rFonts w:hint="default" w:eastAsia="宋体"/>
          <w:lang w:val="en-US" w:eastAsia="zh-CN"/>
        </w:rPr>
      </w:pPr>
      <w:r>
        <w:rPr>
          <w:rFonts w:hint="eastAsia"/>
          <w:lang w:val="en-US" w:eastAsia="zh-CN"/>
        </w:rPr>
        <w:t>备注：我单位无此项支出。</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hint="default" w:ascii="仿宋_GB2312" w:eastAsia="仿宋_GB2312"/>
          <w:sz w:val="28"/>
          <w:szCs w:val="28"/>
          <w:lang w:val="en-US" w:eastAsia="zh-CN"/>
        </w:rPr>
      </w:pPr>
      <w:r>
        <w:rPr>
          <w:rFonts w:hint="eastAsia" w:ascii="仿宋_GB2312" w:eastAsia="仿宋_GB2312"/>
          <w:sz w:val="28"/>
          <w:szCs w:val="28"/>
        </w:rPr>
        <w:t>（一）</w:t>
      </w:r>
      <w:r>
        <w:rPr>
          <w:rFonts w:hint="eastAsia" w:ascii="仿宋_GB2312" w:eastAsia="仿宋_GB2312"/>
          <w:sz w:val="28"/>
          <w:szCs w:val="28"/>
          <w:lang w:val="en-US" w:eastAsia="zh-CN"/>
        </w:rPr>
        <w:t>北京市密云区植物保护站为北京市密云区农业服务中心二级预算单位，内设机构</w:t>
      </w:r>
      <w:r>
        <w:rPr>
          <w:rFonts w:hint="default" w:ascii="仿宋_GB2312" w:eastAsia="仿宋_GB2312"/>
          <w:sz w:val="28"/>
          <w:szCs w:val="28"/>
          <w:lang w:val="en" w:eastAsia="zh-CN"/>
        </w:rPr>
        <w:t>4</w:t>
      </w:r>
      <w:r>
        <w:rPr>
          <w:rFonts w:hint="eastAsia" w:ascii="仿宋_GB2312" w:eastAsia="仿宋_GB2312"/>
          <w:sz w:val="28"/>
          <w:szCs w:val="28"/>
          <w:lang w:val="en-US" w:eastAsia="zh-CN"/>
        </w:rPr>
        <w:t>个。主要承担农业部、北京市及全区植物保护相关科技项目，负责植物生防技术及植保新技术的研究、引进、示范推广和咨询服务等公益服务工作。</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我单位</w:t>
      </w:r>
      <w:r>
        <w:rPr>
          <w:rFonts w:hint="eastAsia" w:ascii="仿宋_GB2312" w:eastAsia="仿宋_GB2312"/>
          <w:kern w:val="0"/>
          <w:sz w:val="28"/>
          <w:szCs w:val="28"/>
        </w:rPr>
        <w:t>事业编制</w:t>
      </w:r>
      <w:r>
        <w:rPr>
          <w:rFonts w:hint="eastAsia" w:ascii="仿宋_GB2312" w:eastAsia="仿宋_GB2312"/>
          <w:kern w:val="0"/>
          <w:sz w:val="28"/>
          <w:szCs w:val="28"/>
          <w:lang w:val="en-US" w:eastAsia="zh-CN"/>
        </w:rPr>
        <w:t>22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21</w:t>
      </w:r>
      <w:r>
        <w:rPr>
          <w:rFonts w:hint="eastAsia" w:ascii="仿宋_GB2312" w:eastAsia="仿宋_GB2312"/>
          <w:kern w:val="0"/>
          <w:sz w:val="28"/>
          <w:szCs w:val="28"/>
        </w:rPr>
        <w:t>人</w:t>
      </w:r>
      <w:r>
        <w:rPr>
          <w:rFonts w:hint="eastAsia" w:ascii="仿宋_GB2312" w:eastAsia="仿宋_GB2312"/>
          <w:kern w:val="0"/>
          <w:sz w:val="28"/>
          <w:szCs w:val="28"/>
          <w:lang w:eastAsia="zh-CN"/>
        </w:rPr>
        <w:t>。</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default"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hint="eastAsia" w:ascii="仿宋_GB2312" w:eastAsia="仿宋_GB2312"/>
          <w:sz w:val="28"/>
          <w:szCs w:val="28"/>
          <w:lang w:val="en-US" w:eastAsia="zh-CN"/>
        </w:rPr>
        <w:t>入</w:t>
      </w:r>
      <w:r>
        <w:rPr>
          <w:rFonts w:hint="eastAsia" w:ascii="仿宋_GB2312" w:eastAsia="仿宋_GB2312"/>
          <w:sz w:val="28"/>
          <w:szCs w:val="28"/>
        </w:rPr>
        <w:t>总计</w:t>
      </w:r>
      <w:r>
        <w:rPr>
          <w:rFonts w:ascii="仿宋_GB2312" w:eastAsia="仿宋_GB2312"/>
          <w:sz w:val="28"/>
          <w:szCs w:val="28"/>
        </w:rPr>
        <w:t>2236.17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771.02</w:t>
      </w:r>
      <w:r>
        <w:rPr>
          <w:rFonts w:hint="eastAsia" w:ascii="仿宋_GB2312" w:eastAsia="仿宋_GB2312"/>
          <w:sz w:val="28"/>
          <w:szCs w:val="28"/>
        </w:rPr>
        <w:t>万元，增长</w:t>
      </w:r>
      <w:r>
        <w:rPr>
          <w:rFonts w:hint="eastAsia" w:ascii="仿宋_GB2312" w:eastAsia="仿宋_GB2312"/>
          <w:sz w:val="28"/>
          <w:szCs w:val="28"/>
          <w:lang w:val="en-US" w:eastAsia="zh-CN"/>
        </w:rPr>
        <w:t>52.62</w:t>
      </w:r>
      <w:r>
        <w:rPr>
          <w:rFonts w:hint="eastAsia" w:ascii="仿宋_GB2312" w:eastAsia="仿宋_GB2312"/>
          <w:sz w:val="28"/>
          <w:szCs w:val="28"/>
        </w:rPr>
        <w:t>%。</w:t>
      </w:r>
      <w:r>
        <w:rPr>
          <w:rFonts w:hint="eastAsia" w:ascii="仿宋_GB2312" w:eastAsia="仿宋_GB2312"/>
          <w:sz w:val="28"/>
          <w:szCs w:val="28"/>
          <w:lang w:val="en-US" w:eastAsia="zh-CN"/>
        </w:rPr>
        <w:t>2023年度支出总计2236.17万元，比上年增加687.15万元，增长44.36%。</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2236.17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771.02</w:t>
      </w:r>
      <w:r>
        <w:rPr>
          <w:rFonts w:hint="eastAsia" w:ascii="仿宋_GB2312" w:eastAsia="仿宋_GB2312"/>
          <w:sz w:val="28"/>
          <w:szCs w:val="28"/>
        </w:rPr>
        <w:t>万元，增长</w:t>
      </w:r>
      <w:r>
        <w:rPr>
          <w:rFonts w:hint="eastAsia" w:ascii="仿宋_GB2312" w:eastAsia="仿宋_GB2312"/>
          <w:sz w:val="28"/>
          <w:szCs w:val="28"/>
          <w:lang w:val="en-US" w:eastAsia="zh-CN"/>
        </w:rPr>
        <w:t>52.62</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2236.17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2236.17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2236.17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687.15万元，增长44.36%。</w:t>
      </w:r>
      <w:r>
        <w:rPr>
          <w:rFonts w:hint="eastAsia" w:ascii="仿宋_GB2312" w:eastAsia="仿宋_GB2312"/>
          <w:sz w:val="28"/>
          <w:szCs w:val="28"/>
        </w:rPr>
        <w:t>，其中：基本支出</w:t>
      </w:r>
      <w:r>
        <w:rPr>
          <w:rFonts w:ascii="仿宋_GB2312" w:eastAsia="仿宋_GB2312"/>
          <w:sz w:val="28"/>
          <w:szCs w:val="28"/>
        </w:rPr>
        <w:t>764.26</w:t>
      </w:r>
      <w:r>
        <w:rPr>
          <w:rFonts w:hint="eastAsia" w:ascii="仿宋_GB2312" w:eastAsia="仿宋_GB2312"/>
          <w:sz w:val="28"/>
          <w:szCs w:val="28"/>
        </w:rPr>
        <w:t>万元，占支出合计的</w:t>
      </w:r>
      <w:r>
        <w:rPr>
          <w:rFonts w:ascii="仿宋_GB2312" w:eastAsia="仿宋_GB2312"/>
          <w:sz w:val="28"/>
          <w:szCs w:val="28"/>
        </w:rPr>
        <w:t>34.17</w:t>
      </w:r>
      <w:r>
        <w:rPr>
          <w:rFonts w:hint="eastAsia" w:ascii="仿宋_GB2312" w:eastAsia="仿宋_GB2312"/>
          <w:sz w:val="28"/>
          <w:szCs w:val="28"/>
        </w:rPr>
        <w:t>%；项目支出</w:t>
      </w:r>
      <w:r>
        <w:rPr>
          <w:rFonts w:ascii="仿宋_GB2312" w:eastAsia="仿宋_GB2312"/>
          <w:sz w:val="28"/>
          <w:szCs w:val="28"/>
        </w:rPr>
        <w:t>1471.91</w:t>
      </w:r>
      <w:r>
        <w:rPr>
          <w:rFonts w:hint="eastAsia" w:ascii="仿宋_GB2312" w:eastAsia="仿宋_GB2312"/>
          <w:sz w:val="28"/>
          <w:szCs w:val="28"/>
        </w:rPr>
        <w:t>万元，占支出合计的</w:t>
      </w:r>
      <w:r>
        <w:rPr>
          <w:rFonts w:ascii="仿宋_GB2312" w:eastAsia="仿宋_GB2312"/>
          <w:sz w:val="28"/>
          <w:szCs w:val="28"/>
        </w:rPr>
        <w:t>65.82</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775200" cy="2749550"/>
            <wp:effectExtent l="4445" t="4445" r="20955" b="825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default"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hint="eastAsia" w:ascii="仿宋_GB2312" w:eastAsia="仿宋_GB2312"/>
          <w:sz w:val="28"/>
          <w:szCs w:val="28"/>
          <w:lang w:val="en-US" w:eastAsia="zh-CN"/>
        </w:rPr>
        <w:t>入</w:t>
      </w:r>
      <w:r>
        <w:rPr>
          <w:rFonts w:hint="eastAsia" w:ascii="仿宋_GB2312" w:eastAsia="仿宋_GB2312"/>
          <w:sz w:val="28"/>
          <w:szCs w:val="28"/>
        </w:rPr>
        <w:t>总计</w:t>
      </w:r>
      <w:r>
        <w:rPr>
          <w:rFonts w:ascii="仿宋_GB2312" w:eastAsia="仿宋_GB2312"/>
          <w:sz w:val="28"/>
          <w:szCs w:val="28"/>
        </w:rPr>
        <w:t>2236.17</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771.02</w:t>
      </w:r>
      <w:r>
        <w:rPr>
          <w:rFonts w:hint="eastAsia" w:ascii="仿宋_GB2312" w:eastAsia="仿宋_GB2312"/>
          <w:sz w:val="28"/>
          <w:szCs w:val="28"/>
        </w:rPr>
        <w:t>万元，增长</w:t>
      </w:r>
      <w:r>
        <w:rPr>
          <w:rFonts w:hint="eastAsia" w:ascii="仿宋_GB2312" w:eastAsia="仿宋_GB2312"/>
          <w:sz w:val="28"/>
          <w:szCs w:val="28"/>
          <w:lang w:val="en-US" w:eastAsia="zh-CN"/>
        </w:rPr>
        <w:t>52.62</w:t>
      </w:r>
      <w:r>
        <w:rPr>
          <w:rFonts w:hint="eastAsia" w:ascii="仿宋_GB2312" w:eastAsia="仿宋_GB2312"/>
          <w:sz w:val="28"/>
          <w:szCs w:val="28"/>
        </w:rPr>
        <w:t>%。主要原因：</w:t>
      </w:r>
      <w:r>
        <w:rPr>
          <w:rFonts w:hint="eastAsia" w:ascii="仿宋_GB2312" w:eastAsia="仿宋_GB2312"/>
          <w:sz w:val="28"/>
          <w:szCs w:val="28"/>
          <w:lang w:val="en-US" w:eastAsia="zh-CN"/>
        </w:rPr>
        <w:t>项目收入比上年增加。</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val="en-US" w:eastAsia="zh-CN"/>
        </w:rPr>
        <w:t>2023年度财政拨款支出总计2236.17万元，比上年增加687.15万元，增长44.36%。</w:t>
      </w:r>
      <w:r>
        <w:rPr>
          <w:rFonts w:hint="eastAsia" w:ascii="仿宋_GB2312" w:eastAsia="仿宋_GB2312"/>
          <w:sz w:val="28"/>
          <w:szCs w:val="28"/>
        </w:rPr>
        <w:t>主要原因：</w:t>
      </w:r>
      <w:r>
        <w:rPr>
          <w:rFonts w:hint="eastAsia" w:ascii="仿宋_GB2312" w:eastAsia="仿宋_GB2312"/>
          <w:sz w:val="28"/>
          <w:szCs w:val="28"/>
          <w:lang w:val="en-US" w:eastAsia="zh-CN"/>
        </w:rPr>
        <w:t>项目支出比上年增加。</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2236.17</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w:t>
      </w:r>
      <w:r>
        <w:rPr>
          <w:rFonts w:hint="eastAsia" w:ascii="仿宋_GB2312" w:eastAsia="仿宋_GB2312"/>
          <w:sz w:val="28"/>
          <w:szCs w:val="28"/>
        </w:rPr>
        <w:t>%；</w:t>
      </w:r>
      <w:r>
        <w:rPr>
          <w:rFonts w:hint="eastAsia" w:ascii="仿宋_GB2312" w:eastAsia="仿宋_GB2312"/>
          <w:sz w:val="28"/>
          <w:szCs w:val="28"/>
          <w:lang w:val="en-US" w:eastAsia="zh-CN"/>
        </w:rPr>
        <w:t>社会和保障就业支出145.85万元，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6.52</w:t>
      </w:r>
      <w:r>
        <w:rPr>
          <w:rFonts w:hint="eastAsia" w:ascii="仿宋_GB2312" w:eastAsia="仿宋_GB2312"/>
          <w:sz w:val="28"/>
          <w:szCs w:val="28"/>
        </w:rPr>
        <w:t>%；</w:t>
      </w:r>
      <w:r>
        <w:rPr>
          <w:rFonts w:hint="eastAsia" w:ascii="仿宋_GB2312" w:eastAsia="仿宋_GB2312"/>
          <w:sz w:val="28"/>
          <w:szCs w:val="28"/>
          <w:lang w:val="en-US" w:eastAsia="zh-CN"/>
        </w:rPr>
        <w:t>卫生健康支出47.82万元，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2.14</w:t>
      </w:r>
      <w:r>
        <w:rPr>
          <w:rFonts w:hint="eastAsia" w:ascii="仿宋_GB2312" w:eastAsia="仿宋_GB2312"/>
          <w:sz w:val="28"/>
          <w:szCs w:val="28"/>
        </w:rPr>
        <w:t>%；</w:t>
      </w:r>
      <w:r>
        <w:rPr>
          <w:rFonts w:hint="eastAsia" w:ascii="仿宋_GB2312" w:eastAsia="仿宋_GB2312"/>
          <w:sz w:val="28"/>
          <w:szCs w:val="28"/>
          <w:lang w:val="en-US" w:eastAsia="zh-CN"/>
        </w:rPr>
        <w:t>节能环保支出1394.28万元，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62.35</w:t>
      </w:r>
      <w:r>
        <w:rPr>
          <w:rFonts w:hint="eastAsia" w:ascii="仿宋_GB2312" w:eastAsia="仿宋_GB2312"/>
          <w:sz w:val="28"/>
          <w:szCs w:val="28"/>
        </w:rPr>
        <w:t>%；</w:t>
      </w:r>
      <w:r>
        <w:rPr>
          <w:rFonts w:hint="eastAsia" w:ascii="仿宋_GB2312" w:eastAsia="仿宋_GB2312"/>
          <w:sz w:val="28"/>
          <w:szCs w:val="28"/>
          <w:lang w:val="en-US" w:eastAsia="zh-CN"/>
        </w:rPr>
        <w:t>农林水支出648.22万元，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28.99</w:t>
      </w:r>
      <w:r>
        <w:rPr>
          <w:rFonts w:hint="eastAsia" w:ascii="仿宋_GB2312" w:eastAsia="仿宋_GB2312"/>
          <w:sz w:val="28"/>
          <w:szCs w:val="28"/>
        </w:rPr>
        <w:t>%</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145.85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8.29</w:t>
      </w:r>
      <w:r>
        <w:rPr>
          <w:rFonts w:hint="eastAsia" w:ascii="仿宋_GB2312" w:eastAsia="仿宋_GB2312"/>
          <w:sz w:val="28"/>
          <w:szCs w:val="28"/>
        </w:rPr>
        <w:t>万元，增长</w:t>
      </w:r>
      <w:r>
        <w:rPr>
          <w:rFonts w:hint="eastAsia" w:ascii="仿宋_GB2312" w:eastAsia="仿宋_GB2312"/>
          <w:sz w:val="28"/>
          <w:szCs w:val="28"/>
          <w:lang w:val="en-US" w:eastAsia="zh-CN"/>
        </w:rPr>
        <w:t>6.03</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行政事业养老支出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145.85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8.29</w:t>
      </w:r>
      <w:r>
        <w:rPr>
          <w:rFonts w:hint="eastAsia" w:ascii="仿宋_GB2312" w:eastAsia="仿宋_GB2312"/>
          <w:sz w:val="28"/>
          <w:szCs w:val="28"/>
        </w:rPr>
        <w:t>万元，增长</w:t>
      </w:r>
      <w:r>
        <w:rPr>
          <w:rFonts w:hint="eastAsia" w:ascii="仿宋_GB2312" w:eastAsia="仿宋_GB2312"/>
          <w:sz w:val="28"/>
          <w:szCs w:val="28"/>
          <w:lang w:val="en-US" w:eastAsia="zh-CN"/>
        </w:rPr>
        <w:t>6.03</w:t>
      </w:r>
      <w:r>
        <w:rPr>
          <w:rFonts w:hint="eastAsia" w:ascii="仿宋_GB2312" w:eastAsia="仿宋_GB2312"/>
          <w:sz w:val="28"/>
          <w:szCs w:val="28"/>
        </w:rPr>
        <w:t>%。主要原因：</w:t>
      </w:r>
      <w:r>
        <w:rPr>
          <w:rFonts w:hint="eastAsia" w:ascii="仿宋_GB2312" w:eastAsia="仿宋_GB2312"/>
          <w:sz w:val="28"/>
          <w:szCs w:val="28"/>
          <w:lang w:val="en-US" w:eastAsia="zh-CN"/>
        </w:rPr>
        <w:t>社保缴费基数增加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47.82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35.79</w:t>
      </w:r>
      <w:r>
        <w:rPr>
          <w:rFonts w:hint="eastAsia" w:ascii="仿宋_GB2312" w:eastAsia="仿宋_GB2312"/>
          <w:sz w:val="28"/>
          <w:szCs w:val="28"/>
        </w:rPr>
        <w:t>万元，下降</w:t>
      </w:r>
      <w:r>
        <w:rPr>
          <w:rFonts w:hint="eastAsia" w:ascii="仿宋_GB2312" w:eastAsia="仿宋_GB2312"/>
          <w:sz w:val="28"/>
          <w:szCs w:val="28"/>
          <w:lang w:val="en-US" w:eastAsia="zh-CN"/>
        </w:rPr>
        <w:t>42.81</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行政事业单位医疗</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47.82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35.79</w:t>
      </w:r>
      <w:r>
        <w:rPr>
          <w:rFonts w:hint="eastAsia" w:ascii="仿宋_GB2312" w:eastAsia="仿宋_GB2312"/>
          <w:sz w:val="28"/>
          <w:szCs w:val="28"/>
        </w:rPr>
        <w:t>万元，下降</w:t>
      </w:r>
      <w:r>
        <w:rPr>
          <w:rFonts w:hint="eastAsia" w:ascii="仿宋_GB2312" w:eastAsia="仿宋_GB2312"/>
          <w:sz w:val="28"/>
          <w:szCs w:val="28"/>
          <w:lang w:val="en-US" w:eastAsia="zh-CN"/>
        </w:rPr>
        <w:t>42.81</w:t>
      </w:r>
      <w:r>
        <w:rPr>
          <w:rFonts w:hint="eastAsia" w:ascii="仿宋_GB2312" w:eastAsia="仿宋_GB2312"/>
          <w:sz w:val="28"/>
          <w:szCs w:val="28"/>
        </w:rPr>
        <w:t>%。主要原因：</w:t>
      </w:r>
      <w:r>
        <w:rPr>
          <w:rFonts w:hint="eastAsia" w:ascii="仿宋_GB2312" w:eastAsia="仿宋_GB2312"/>
          <w:sz w:val="28"/>
          <w:szCs w:val="28"/>
          <w:lang w:val="en-US" w:eastAsia="zh-CN"/>
        </w:rPr>
        <w:t>因机构改革，人员有变动</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节能环保支出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1394.28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增加1394.28</w:t>
      </w:r>
      <w:r>
        <w:rPr>
          <w:rFonts w:hint="eastAsia" w:ascii="仿宋_GB2312" w:eastAsia="仿宋_GB2312"/>
          <w:sz w:val="28"/>
          <w:szCs w:val="28"/>
        </w:rPr>
        <w:t>万元，</w:t>
      </w:r>
      <w:r>
        <w:rPr>
          <w:rFonts w:hint="eastAsia" w:ascii="仿宋_GB2312" w:eastAsia="仿宋_GB2312"/>
          <w:sz w:val="28"/>
          <w:szCs w:val="28"/>
          <w:lang w:val="en-US" w:eastAsia="zh-CN"/>
        </w:rPr>
        <w:t>增长100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污染防治</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1030.20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增加1030.20</w:t>
      </w:r>
      <w:r>
        <w:rPr>
          <w:rFonts w:hint="eastAsia" w:ascii="仿宋_GB2312" w:eastAsia="仿宋_GB2312"/>
          <w:sz w:val="28"/>
          <w:szCs w:val="28"/>
        </w:rPr>
        <w:t>万元，</w:t>
      </w:r>
      <w:r>
        <w:rPr>
          <w:rFonts w:hint="eastAsia" w:ascii="仿宋_GB2312" w:eastAsia="仿宋_GB2312"/>
          <w:sz w:val="28"/>
          <w:szCs w:val="28"/>
          <w:lang w:val="en-US" w:eastAsia="zh-CN"/>
        </w:rPr>
        <w:t>增长100</w:t>
      </w:r>
      <w:r>
        <w:rPr>
          <w:rFonts w:hint="eastAsia" w:ascii="仿宋_GB2312" w:eastAsia="仿宋_GB2312"/>
          <w:sz w:val="28"/>
          <w:szCs w:val="28"/>
        </w:rPr>
        <w:t>%。主要原因：</w:t>
      </w:r>
      <w:r>
        <w:rPr>
          <w:rFonts w:hint="eastAsia" w:ascii="仿宋_GB2312" w:eastAsia="仿宋_GB2312"/>
          <w:sz w:val="28"/>
          <w:szCs w:val="28"/>
          <w:lang w:val="en-US" w:eastAsia="zh-CN"/>
        </w:rPr>
        <w:t>2023年年初无预算</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其他节能环保支出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364.08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增加364.08</w:t>
      </w:r>
      <w:r>
        <w:rPr>
          <w:rFonts w:hint="eastAsia" w:ascii="仿宋_GB2312" w:eastAsia="仿宋_GB2312"/>
          <w:sz w:val="28"/>
          <w:szCs w:val="28"/>
        </w:rPr>
        <w:t>万元，</w:t>
      </w:r>
      <w:r>
        <w:rPr>
          <w:rFonts w:hint="eastAsia" w:ascii="仿宋_GB2312" w:eastAsia="仿宋_GB2312"/>
          <w:sz w:val="28"/>
          <w:szCs w:val="28"/>
          <w:lang w:val="en-US" w:eastAsia="zh-CN"/>
        </w:rPr>
        <w:t>增长100</w:t>
      </w:r>
      <w:r>
        <w:rPr>
          <w:rFonts w:hint="eastAsia" w:ascii="仿宋_GB2312" w:eastAsia="仿宋_GB2312"/>
          <w:sz w:val="28"/>
          <w:szCs w:val="28"/>
        </w:rPr>
        <w:t>%。主要原因：</w:t>
      </w:r>
      <w:r>
        <w:rPr>
          <w:rFonts w:hint="eastAsia" w:ascii="仿宋_GB2312" w:eastAsia="仿宋_GB2312"/>
          <w:sz w:val="28"/>
          <w:szCs w:val="28"/>
          <w:lang w:val="en-US" w:eastAsia="zh-CN"/>
        </w:rPr>
        <w:t>2023年年初无预算</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val="en-US"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648.22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增加115.57</w:t>
      </w:r>
      <w:r>
        <w:rPr>
          <w:rFonts w:hint="eastAsia" w:ascii="仿宋_GB2312" w:eastAsia="仿宋_GB2312"/>
          <w:sz w:val="28"/>
          <w:szCs w:val="28"/>
        </w:rPr>
        <w:t>万元，</w:t>
      </w:r>
      <w:r>
        <w:rPr>
          <w:rFonts w:hint="eastAsia" w:ascii="仿宋_GB2312" w:eastAsia="仿宋_GB2312"/>
          <w:sz w:val="28"/>
          <w:szCs w:val="28"/>
          <w:lang w:val="en-US" w:eastAsia="zh-CN"/>
        </w:rPr>
        <w:t>增长21.70</w:t>
      </w:r>
      <w:r>
        <w:rPr>
          <w:rFonts w:hint="eastAsia" w:ascii="仿宋_GB2312" w:eastAsia="仿宋_GB2312"/>
          <w:sz w:val="28"/>
          <w:szCs w:val="28"/>
        </w:rPr>
        <w:t>%。其中：</w:t>
      </w:r>
    </w:p>
    <w:p>
      <w:pPr>
        <w:spacing w:line="580" w:lineRule="exact"/>
        <w:ind w:firstLine="560" w:firstLineChars="200"/>
        <w:rPr>
          <w:rFonts w:hint="eastAsia" w:ascii="黑体" w:eastAsia="黑体"/>
          <w:b w:val="0"/>
          <w:bCs/>
          <w:sz w:val="28"/>
          <w:szCs w:val="28"/>
        </w:rPr>
      </w:pPr>
      <w:r>
        <w:rPr>
          <w:rFonts w:hint="eastAsia" w:ascii="仿宋_GB2312" w:eastAsia="仿宋_GB2312"/>
          <w:sz w:val="28"/>
          <w:szCs w:val="28"/>
        </w:rPr>
        <w:t>“</w:t>
      </w:r>
      <w:r>
        <w:rPr>
          <w:rFonts w:hint="eastAsia" w:ascii="仿宋_GB2312" w:eastAsia="仿宋_GB2312"/>
          <w:sz w:val="28"/>
          <w:szCs w:val="28"/>
          <w:lang w:val="en-US" w:eastAsia="zh-CN"/>
        </w:rPr>
        <w:t>农业农村</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648.22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增加115.57</w:t>
      </w:r>
      <w:r>
        <w:rPr>
          <w:rFonts w:hint="eastAsia" w:ascii="仿宋_GB2312" w:eastAsia="仿宋_GB2312"/>
          <w:sz w:val="28"/>
          <w:szCs w:val="28"/>
        </w:rPr>
        <w:t>万元，</w:t>
      </w:r>
      <w:r>
        <w:rPr>
          <w:rFonts w:hint="eastAsia" w:ascii="仿宋_GB2312" w:eastAsia="仿宋_GB2312"/>
          <w:sz w:val="28"/>
          <w:szCs w:val="28"/>
          <w:lang w:val="en-US" w:eastAsia="zh-CN"/>
        </w:rPr>
        <w:t>增长21.70</w:t>
      </w:r>
      <w:r>
        <w:rPr>
          <w:rFonts w:hint="eastAsia" w:ascii="仿宋_GB2312" w:eastAsia="仿宋_GB2312"/>
          <w:sz w:val="28"/>
          <w:szCs w:val="28"/>
        </w:rPr>
        <w:t>%。主要原因：</w:t>
      </w:r>
      <w:r>
        <w:rPr>
          <w:rFonts w:hint="eastAsia" w:ascii="仿宋_GB2312" w:eastAsia="仿宋_GB2312"/>
          <w:sz w:val="28"/>
          <w:szCs w:val="28"/>
          <w:lang w:val="en-US" w:eastAsia="zh-CN"/>
        </w:rPr>
        <w:t>2023年财政拨项目款</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本年度无此项支出</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764.26</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4.55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10.11</w:t>
      </w:r>
      <w:r>
        <w:rPr>
          <w:rFonts w:hint="eastAsia" w:ascii="仿宋_GB2312" w:eastAsia="仿宋_GB2312"/>
          <w:sz w:val="28"/>
          <w:szCs w:val="28"/>
        </w:rPr>
        <w:t>万元减少</w:t>
      </w:r>
      <w:r>
        <w:rPr>
          <w:rFonts w:ascii="仿宋_GB2312" w:eastAsia="仿宋_GB2312"/>
          <w:sz w:val="28"/>
          <w:szCs w:val="28"/>
        </w:rPr>
        <w:t>5.56</w:t>
      </w:r>
      <w:r>
        <w:rPr>
          <w:rFonts w:hint="eastAsia" w:ascii="仿宋_GB2312" w:eastAsia="仿宋_GB2312"/>
          <w:sz w:val="28"/>
          <w:szCs w:val="28"/>
        </w:rPr>
        <w:t>万元。其中：</w:t>
      </w:r>
    </w:p>
    <w:p>
      <w:pPr>
        <w:numPr>
          <w:ilvl w:val="0"/>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4.55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10.11</w:t>
      </w:r>
      <w:r>
        <w:rPr>
          <w:rFonts w:hint="eastAsia" w:ascii="仿宋_GB2312" w:eastAsia="仿宋_GB2312"/>
          <w:sz w:val="28"/>
          <w:szCs w:val="28"/>
        </w:rPr>
        <w:t>万元减少</w:t>
      </w:r>
      <w:r>
        <w:rPr>
          <w:rFonts w:hint="eastAsia" w:ascii="仿宋_GB2312" w:eastAsia="仿宋_GB2312"/>
          <w:sz w:val="28"/>
          <w:szCs w:val="28"/>
          <w:lang w:val="en-US" w:eastAsia="zh-CN"/>
        </w:rPr>
        <w:t>5.56</w:t>
      </w:r>
      <w:r>
        <w:rPr>
          <w:rFonts w:hint="eastAsia" w:ascii="仿宋_GB2312" w:eastAsia="仿宋_GB2312"/>
          <w:sz w:val="28"/>
          <w:szCs w:val="28"/>
        </w:rPr>
        <w:t>万元，主要原因：</w:t>
      </w:r>
      <w:r>
        <w:rPr>
          <w:rFonts w:hint="eastAsia" w:ascii="仿宋_GB2312" w:eastAsia="仿宋_GB2312"/>
          <w:sz w:val="28"/>
          <w:szCs w:val="28"/>
          <w:lang w:val="en-US" w:eastAsia="zh-CN"/>
        </w:rPr>
        <w:t>本年下乡减少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1.35</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2.36</w:t>
      </w:r>
      <w:r>
        <w:rPr>
          <w:rFonts w:hint="eastAsia" w:ascii="仿宋_GB2312" w:eastAsia="仿宋_GB2312"/>
          <w:sz w:val="28"/>
          <w:szCs w:val="28"/>
        </w:rPr>
        <w:t>万元，公务用车保险</w:t>
      </w:r>
      <w:r>
        <w:rPr>
          <w:rFonts w:ascii="仿宋_GB2312" w:eastAsia="仿宋_GB2312"/>
          <w:sz w:val="28"/>
          <w:szCs w:val="28"/>
          <w:highlight w:val="none"/>
        </w:rPr>
        <w:t>0</w:t>
      </w:r>
      <w:r>
        <w:rPr>
          <w:rFonts w:hint="eastAsia" w:ascii="仿宋_GB2312" w:eastAsia="仿宋_GB2312"/>
          <w:sz w:val="28"/>
          <w:szCs w:val="28"/>
          <w:highlight w:val="none"/>
          <w:lang w:val="en-US" w:eastAsia="zh-CN"/>
        </w:rPr>
        <w:t>.59</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.25</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4</w:t>
      </w:r>
      <w:r>
        <w:rPr>
          <w:rFonts w:hint="eastAsia" w:ascii="仿宋_GB2312" w:eastAsia="仿宋_GB2312"/>
          <w:sz w:val="28"/>
          <w:szCs w:val="28"/>
        </w:rPr>
        <w:t>辆，车均运行维护费</w:t>
      </w:r>
      <w:r>
        <w:rPr>
          <w:rFonts w:hint="eastAsia" w:ascii="仿宋_GB2312" w:eastAsia="仿宋_GB2312"/>
          <w:sz w:val="28"/>
          <w:szCs w:val="28"/>
          <w:lang w:val="en-US" w:eastAsia="zh-CN"/>
        </w:rPr>
        <w:t>1.14</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left="540"/>
        <w:rPr>
          <w:rFonts w:hint="default" w:ascii="仿宋_GB2312" w:eastAsia="仿宋_GB2312"/>
          <w:sz w:val="28"/>
          <w:szCs w:val="28"/>
          <w:lang w:val="en-US" w:eastAsia="zh-CN"/>
        </w:rPr>
      </w:pPr>
      <w:r>
        <w:rPr>
          <w:rFonts w:hint="eastAsia" w:ascii="仿宋_GB2312" w:eastAsia="仿宋_GB2312"/>
          <w:sz w:val="28"/>
          <w:szCs w:val="28"/>
          <w:lang w:val="en-US" w:eastAsia="zh-CN"/>
        </w:rPr>
        <w:t>不属于机关运行经费统计范围。</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1283.7</w:t>
      </w:r>
      <w:r>
        <w:rPr>
          <w:rFonts w:hint="eastAsia" w:ascii="仿宋_GB2312" w:eastAsia="仿宋_GB2312"/>
          <w:sz w:val="28"/>
          <w:szCs w:val="28"/>
        </w:rPr>
        <w:t>万元，其中：政府采购货物支出</w:t>
      </w:r>
      <w:r>
        <w:rPr>
          <w:rFonts w:ascii="仿宋_GB2312" w:eastAsia="仿宋_GB2312"/>
          <w:sz w:val="28"/>
          <w:szCs w:val="28"/>
        </w:rPr>
        <w:t>416.1</w:t>
      </w:r>
      <w:r>
        <w:rPr>
          <w:rFonts w:hint="eastAsia" w:ascii="仿宋_GB2312" w:eastAsia="仿宋_GB2312"/>
          <w:sz w:val="28"/>
          <w:szCs w:val="28"/>
        </w:rPr>
        <w:t>万元，政府采购工程支出</w:t>
      </w:r>
      <w:r>
        <w:rPr>
          <w:rFonts w:ascii="仿宋_GB2312" w:eastAsia="仿宋_GB2312"/>
          <w:sz w:val="28"/>
          <w:szCs w:val="28"/>
        </w:rPr>
        <w:t>269.05</w:t>
      </w:r>
      <w:r>
        <w:rPr>
          <w:rFonts w:hint="eastAsia" w:ascii="仿宋_GB2312" w:eastAsia="仿宋_GB2312"/>
          <w:sz w:val="28"/>
          <w:szCs w:val="28"/>
        </w:rPr>
        <w:t>万元，政府采购服务支出</w:t>
      </w:r>
      <w:r>
        <w:rPr>
          <w:rFonts w:ascii="仿宋_GB2312" w:eastAsia="仿宋_GB2312"/>
          <w:sz w:val="28"/>
          <w:szCs w:val="28"/>
        </w:rPr>
        <w:t>598.54</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12月31日，本单位</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4</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65.65</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1</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170.86</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jc w:val="both"/>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0"/>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2023年</w:t>
            </w:r>
            <w:r>
              <w:rPr>
                <w:rFonts w:hint="eastAsia" w:ascii="仿宋_GB2312" w:hAnsi="宋体" w:eastAsia="仿宋_GB2312" w:cs="宋体"/>
                <w:kern w:val="0"/>
                <w:szCs w:val="21"/>
              </w:rPr>
              <w:t>赤眼蜂生物防治桃蛀螟等农作物病虫害监测项目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北京市密云区农业服务中心</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21"/>
              </w:rPr>
            </w:pPr>
            <w:r>
              <w:rPr>
                <w:rFonts w:hint="eastAsia" w:ascii="仿宋_GB2312" w:hAnsi="宋体" w:eastAsia="仿宋_GB2312" w:cs="宋体"/>
                <w:kern w:val="0"/>
                <w:sz w:val="18"/>
                <w:szCs w:val="21"/>
              </w:rPr>
              <w:t>北京市密云区植物保护站</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李清波</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69042622</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 w:val="18"/>
                <w:szCs w:val="21"/>
              </w:rPr>
              <w:t>290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 w:val="18"/>
                <w:szCs w:val="21"/>
              </w:rPr>
              <w:t>290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 w:val="18"/>
                <w:szCs w:val="21"/>
              </w:rPr>
              <w:t>290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3611"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21"/>
              </w:rPr>
            </w:pPr>
            <w:r>
              <w:rPr>
                <w:rFonts w:hint="eastAsia" w:ascii="仿宋_GB2312" w:hAnsi="宋体" w:eastAsia="仿宋_GB2312" w:cs="宋体"/>
                <w:kern w:val="0"/>
                <w:sz w:val="18"/>
                <w:szCs w:val="21"/>
              </w:rPr>
              <w:t>1、利用全区18个病虫草鼠害监测预警网点、5个疫情监测点，对农业有害生物进行及时监测、预警。2、开展区域内20万亩农田灭鼠工作。开展农业有害杂草的适时防治工作。开展粘虫、草地贪夜蛾、草地螟、粉虱、蚜虫等突发性重大病虫害应急防控。3、在全区15个乡镇、230个行政村释放赤眼蜂120亿头，开展全区20万亩板栗桃蛀螟统防统治工作。4、利用已安装的15盏高空测报灯进行监测，开展草地贪夜蛾监测预警与指导防控，及时有效指导适时防治工作。在全区内17个镇布置的1400套草地贪夜蛾性诱捕器开展草地贪夜蛾等重大迁飞性害虫的监测和诱杀。</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21"/>
              </w:rPr>
            </w:pPr>
            <w:r>
              <w:rPr>
                <w:rFonts w:hint="eastAsia" w:ascii="仿宋_GB2312" w:hAnsi="宋体" w:eastAsia="仿宋_GB2312" w:cs="宋体"/>
                <w:kern w:val="0"/>
                <w:sz w:val="18"/>
                <w:szCs w:val="21"/>
              </w:rPr>
              <w:t>1、利用全区18个病虫草鼠害监测预警网点、5个疫情监测点，对农业有害生物进行及时监测、预警。2、开展区域内20万亩农田灭鼠工作。开展农业有害杂草的适时防治工作。开展粘虫、草地贪夜蛾、草地螟、粉虱、蚜虫等突发性重大病虫害应急防控。3、在全区15个乡镇、230个行政村释放赤眼蜂120亿头，开展全区20万亩板栗桃蛀螟统防统治工作。4、利用已安装的15盏高空测报灯进行监测，开展草地贪夜蛾监测预警与指导防控，及时有效指导适时防治工作。在全区内17个镇布置的1400套草地贪夜蛾性诱捕器开展草地贪夜蛾等重大迁飞性害虫的监测和诱杀。</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1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指标1：释放赤眼蜂</w:t>
            </w:r>
          </w:p>
        </w:tc>
        <w:tc>
          <w:tcPr>
            <w:tcW w:w="849" w:type="dxa"/>
            <w:tcBorders>
              <w:top w:val="single" w:color="auto" w:sz="4" w:space="0"/>
              <w:left w:val="nil"/>
              <w:bottom w:val="single" w:color="auto" w:sz="4" w:space="0"/>
              <w:right w:val="single" w:color="auto" w:sz="4" w:space="0"/>
            </w:tcBorders>
            <w:noWrap w:val="0"/>
            <w:vAlign w:val="top"/>
          </w:tcPr>
          <w:p>
            <w:r>
              <w:rPr>
                <w:rFonts w:ascii="宋体" w:hAnsi="宋体" w:cs="宋体"/>
                <w:sz w:val="20"/>
                <w:szCs w:val="20"/>
              </w:rPr>
              <w:t>120</w:t>
            </w:r>
            <w:r>
              <w:rPr>
                <w:rFonts w:hint="eastAsia" w:ascii="宋体" w:hAnsi="宋体" w:cs="宋体"/>
                <w:sz w:val="20"/>
                <w:szCs w:val="20"/>
              </w:rPr>
              <w:t>亿头</w:t>
            </w:r>
          </w:p>
        </w:tc>
        <w:tc>
          <w:tcPr>
            <w:tcW w:w="848" w:type="dxa"/>
            <w:tcBorders>
              <w:top w:val="single" w:color="auto" w:sz="4" w:space="0"/>
              <w:left w:val="nil"/>
              <w:bottom w:val="single" w:color="auto" w:sz="4" w:space="0"/>
              <w:right w:val="single" w:color="auto" w:sz="4" w:space="0"/>
            </w:tcBorders>
            <w:noWrap w:val="0"/>
            <w:vAlign w:val="top"/>
          </w:tcPr>
          <w:p>
            <w:r>
              <w:rPr>
                <w:rFonts w:ascii="宋体" w:hAnsi="宋体" w:cs="宋体"/>
                <w:sz w:val="20"/>
                <w:szCs w:val="20"/>
              </w:rPr>
              <w:t>120</w:t>
            </w:r>
            <w:r>
              <w:rPr>
                <w:rFonts w:hint="eastAsia" w:ascii="宋体" w:hAnsi="宋体" w:cs="宋体"/>
                <w:sz w:val="20"/>
                <w:szCs w:val="20"/>
              </w:rPr>
              <w:t>亿头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40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指标2：监测点建设</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23个</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23个</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2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：农田灭鼠</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宋体" w:hAnsi="宋体" w:eastAsia="宋体" w:cs="宋体"/>
                <w:sz w:val="20"/>
                <w:szCs w:val="20"/>
                <w:lang w:eastAsia="zh-CN"/>
              </w:rPr>
              <w:t>20</w:t>
            </w:r>
            <w:r>
              <w:rPr>
                <w:rFonts w:hint="eastAsia" w:ascii="宋体" w:hAnsi="宋体" w:eastAsia="宋体" w:cs="宋体"/>
                <w:sz w:val="20"/>
                <w:szCs w:val="20"/>
                <w:lang w:eastAsia="zh-CN"/>
              </w:rPr>
              <w:t>万亩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宋体" w:hAnsi="宋体" w:eastAsia="宋体" w:cs="宋体"/>
                <w:sz w:val="20"/>
                <w:szCs w:val="20"/>
                <w:lang w:eastAsia="zh-CN"/>
              </w:rPr>
              <w:t>20</w:t>
            </w:r>
            <w:r>
              <w:rPr>
                <w:rFonts w:hint="eastAsia" w:ascii="宋体" w:hAnsi="宋体" w:eastAsia="宋体" w:cs="宋体"/>
                <w:sz w:val="20"/>
                <w:szCs w:val="20"/>
                <w:lang w:eastAsia="zh-CN"/>
              </w:rPr>
              <w:t>万亩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27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ascii="仿宋_GB2312" w:hAnsi="宋体" w:eastAsia="仿宋_GB2312" w:cs="宋体"/>
                <w:color w:val="000000"/>
                <w:kern w:val="0"/>
                <w:szCs w:val="21"/>
              </w:rPr>
              <w:t>4</w:t>
            </w:r>
            <w:r>
              <w:rPr>
                <w:rFonts w:hint="eastAsia" w:ascii="仿宋_GB2312" w:hAnsi="宋体" w:eastAsia="仿宋_GB2312" w:cs="宋体"/>
                <w:color w:val="000000"/>
                <w:kern w:val="0"/>
                <w:szCs w:val="21"/>
              </w:rPr>
              <w:t>：有害杂草防除</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宋体" w:hAnsi="宋体" w:eastAsia="宋体" w:cs="宋体"/>
                <w:sz w:val="20"/>
                <w:szCs w:val="20"/>
                <w:lang w:val="en-US" w:eastAsia="zh-CN" w:bidi="en-US"/>
              </w:rPr>
              <w:t>4000</w:t>
            </w:r>
            <w:r>
              <w:rPr>
                <w:rFonts w:hint="eastAsia" w:ascii="宋体" w:hAnsi="宋体" w:eastAsia="宋体" w:cs="宋体"/>
                <w:sz w:val="20"/>
                <w:szCs w:val="20"/>
                <w:lang w:val="en-US" w:eastAsia="zh-CN" w:bidi="en-US"/>
              </w:rPr>
              <w:t>亩</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ascii="宋体" w:hAnsi="宋体" w:eastAsia="宋体" w:cs="宋体"/>
                <w:sz w:val="20"/>
                <w:szCs w:val="20"/>
                <w:lang w:val="en-US" w:eastAsia="zh-CN" w:bidi="en-US"/>
              </w:rPr>
              <w:t>4000</w:t>
            </w:r>
            <w:r>
              <w:rPr>
                <w:rFonts w:hint="eastAsia" w:ascii="宋体" w:hAnsi="宋体" w:eastAsia="宋体" w:cs="宋体"/>
                <w:sz w:val="20"/>
                <w:szCs w:val="20"/>
                <w:lang w:val="en-US" w:eastAsia="zh-CN" w:bidi="en-US"/>
              </w:rPr>
              <w:t>亩</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4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宋体" w:hAnsi="宋体" w:eastAsia="宋体" w:cs="宋体"/>
                <w:sz w:val="20"/>
                <w:szCs w:val="20"/>
                <w:lang w:eastAsia="zh-CN"/>
              </w:rPr>
              <w:t>密云区农业服务中心验收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合格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合格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r>
              <w:rPr>
                <w:rFonts w:hint="eastAsia" w:ascii="宋体" w:hAnsi="宋体" w:eastAsia="宋体" w:cs="宋体"/>
                <w:sz w:val="20"/>
                <w:szCs w:val="20"/>
                <w:lang w:eastAsia="zh-CN"/>
              </w:rPr>
              <w:t>密云区财政验收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合格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合格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3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hint="eastAsia" w:ascii="宋体" w:hAnsi="宋体" w:eastAsia="宋体" w:cs="宋体"/>
                <w:sz w:val="20"/>
                <w:szCs w:val="20"/>
                <w:lang w:eastAsia="zh-CN"/>
              </w:rPr>
              <w:t>监理验收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合格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合格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76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宋体" w:hAnsi="宋体" w:eastAsia="宋体" w:cs="宋体"/>
                <w:sz w:val="20"/>
                <w:szCs w:val="20"/>
                <w:lang w:eastAsia="zh-CN"/>
              </w:rPr>
              <w:t>2023年4月对项目具体内容进行研讨，组织制定实施方案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3</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r>
              <w:rPr>
                <w:rFonts w:hint="eastAsia" w:ascii="宋体" w:hAnsi="宋体" w:eastAsia="宋体" w:cs="宋体"/>
                <w:sz w:val="20"/>
                <w:szCs w:val="20"/>
                <w:lang w:eastAsia="zh-CN"/>
              </w:rPr>
              <w:t>2023年5月至2023年11月组织实施项目具体内容</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6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w:t>
            </w:r>
            <w:r>
              <w:rPr>
                <w:rFonts w:hint="eastAsia" w:ascii="宋体" w:hAnsi="宋体" w:eastAsia="宋体" w:cs="宋体"/>
                <w:sz w:val="20"/>
                <w:szCs w:val="20"/>
                <w:lang w:val="en-US" w:eastAsia="zh-CN"/>
              </w:rPr>
              <w:t>2023年12月</w:t>
            </w:r>
            <w:r>
              <w:rPr>
                <w:rFonts w:hint="eastAsia" w:ascii="宋体" w:hAnsi="宋体" w:eastAsia="宋体" w:cs="宋体"/>
                <w:sz w:val="20"/>
                <w:szCs w:val="20"/>
                <w:lang w:eastAsia="zh-CN"/>
              </w:rPr>
              <w:t>项目总结验收</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5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宋体" w:hAnsi="宋体" w:eastAsia="宋体" w:cs="宋体"/>
                <w:sz w:val="20"/>
                <w:szCs w:val="20"/>
                <w:lang w:eastAsia="zh-CN"/>
              </w:rPr>
              <w:t>购置赤眼蜂、监测点建设、农田灭鼠</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236.3万元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236.3万元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6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r>
              <w:rPr>
                <w:rFonts w:hint="eastAsia" w:ascii="宋体" w:hAnsi="宋体" w:eastAsia="宋体" w:cs="宋体"/>
                <w:sz w:val="20"/>
                <w:szCs w:val="20"/>
                <w:lang w:eastAsia="zh-CN"/>
              </w:rPr>
              <w:t>其它监测及防治工作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53.7万元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sz w:val="20"/>
                <w:szCs w:val="20"/>
                <w:lang w:eastAsia="zh-CN"/>
              </w:rPr>
              <w:t>53.7万元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00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项目实施后将带动全区农产品实现绿色生产，提升产品的附加值，使农民增收</w:t>
            </w:r>
            <w:r>
              <w:rPr>
                <w:rFonts w:eastAsia="宋体"/>
                <w:sz w:val="20"/>
                <w:szCs w:val="20"/>
                <w:lang w:eastAsia="zh-CN"/>
              </w:rPr>
              <w:t>20%—25%</w:t>
            </w:r>
            <w:r>
              <w:rPr>
                <w:rFonts w:hint="eastAsia" w:eastAsia="宋体"/>
                <w:sz w:val="20"/>
                <w:szCs w:val="20"/>
                <w:lang w:eastAsia="zh-CN"/>
              </w:rPr>
              <w:t>。年可挽回损失</w:t>
            </w:r>
            <w:r>
              <w:rPr>
                <w:rFonts w:eastAsia="宋体"/>
                <w:sz w:val="20"/>
                <w:szCs w:val="20"/>
                <w:lang w:eastAsia="zh-CN"/>
              </w:rPr>
              <w:t>8</w:t>
            </w:r>
            <w:r>
              <w:rPr>
                <w:rFonts w:hint="eastAsia" w:eastAsia="宋体"/>
                <w:sz w:val="20"/>
                <w:szCs w:val="20"/>
                <w:lang w:eastAsia="zh-CN"/>
              </w:rPr>
              <w:t>万吨以上，减少杀虫剂、除草剂、激素、杀鼠剂等化学农药使用</w:t>
            </w:r>
            <w:r>
              <w:rPr>
                <w:rFonts w:eastAsia="宋体"/>
                <w:sz w:val="20"/>
                <w:szCs w:val="20"/>
                <w:lang w:eastAsia="zh-CN"/>
              </w:rPr>
              <w:t>90吨</w:t>
            </w:r>
            <w:r>
              <w:rPr>
                <w:rFonts w:hint="eastAsia" w:eastAsia="宋体"/>
                <w:sz w:val="20"/>
                <w:szCs w:val="20"/>
                <w:lang w:eastAsia="zh-CN"/>
              </w:rPr>
              <w:t>以上，减少农民防治用工</w:t>
            </w:r>
            <w:r>
              <w:rPr>
                <w:rFonts w:eastAsia="宋体"/>
                <w:sz w:val="20"/>
                <w:szCs w:val="20"/>
                <w:lang w:eastAsia="zh-CN"/>
              </w:rPr>
              <w:t>2</w:t>
            </w:r>
            <w:r>
              <w:rPr>
                <w:rFonts w:hint="eastAsia" w:eastAsia="宋体"/>
                <w:sz w:val="20"/>
                <w:szCs w:val="20"/>
                <w:lang w:eastAsia="zh-CN"/>
              </w:rPr>
              <w:t>万个以上，将增加农民收入</w:t>
            </w:r>
            <w:r>
              <w:rPr>
                <w:rFonts w:eastAsia="宋体"/>
                <w:sz w:val="20"/>
                <w:szCs w:val="20"/>
                <w:lang w:eastAsia="zh-CN"/>
              </w:rPr>
              <w:t>9000</w:t>
            </w:r>
            <w:r>
              <w:rPr>
                <w:rFonts w:hint="eastAsia" w:eastAsia="宋体"/>
                <w:sz w:val="20"/>
                <w:szCs w:val="20"/>
                <w:lang w:eastAsia="zh-CN"/>
              </w:rPr>
              <w:t>万元以上，经济效益显著。</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项目实施后将带动全区农产品实现绿色生产，提升产品的附加值，使农民增收</w:t>
            </w:r>
            <w:r>
              <w:rPr>
                <w:rFonts w:eastAsia="宋体"/>
                <w:sz w:val="20"/>
                <w:szCs w:val="20"/>
                <w:lang w:eastAsia="zh-CN"/>
              </w:rPr>
              <w:t>20%—25%</w:t>
            </w:r>
            <w:r>
              <w:rPr>
                <w:rFonts w:hint="eastAsia" w:eastAsia="宋体"/>
                <w:sz w:val="20"/>
                <w:szCs w:val="20"/>
                <w:lang w:eastAsia="zh-CN"/>
              </w:rPr>
              <w:t>。年可挽回损失</w:t>
            </w:r>
            <w:r>
              <w:rPr>
                <w:rFonts w:eastAsia="宋体"/>
                <w:sz w:val="20"/>
                <w:szCs w:val="20"/>
                <w:lang w:eastAsia="zh-CN"/>
              </w:rPr>
              <w:t>8</w:t>
            </w:r>
            <w:r>
              <w:rPr>
                <w:rFonts w:hint="eastAsia" w:eastAsia="宋体"/>
                <w:sz w:val="20"/>
                <w:szCs w:val="20"/>
                <w:lang w:eastAsia="zh-CN"/>
              </w:rPr>
              <w:t>万吨以上，减少杀虫剂、除草剂、激素、杀鼠剂等化学农药使用</w:t>
            </w:r>
            <w:r>
              <w:rPr>
                <w:rFonts w:eastAsia="宋体"/>
                <w:sz w:val="20"/>
                <w:szCs w:val="20"/>
                <w:lang w:eastAsia="zh-CN"/>
              </w:rPr>
              <w:t>90吨</w:t>
            </w:r>
            <w:r>
              <w:rPr>
                <w:rFonts w:hint="eastAsia" w:eastAsia="宋体"/>
                <w:sz w:val="20"/>
                <w:szCs w:val="20"/>
                <w:lang w:eastAsia="zh-CN"/>
              </w:rPr>
              <w:t>以上，减少农民防治用工</w:t>
            </w:r>
            <w:r>
              <w:rPr>
                <w:rFonts w:eastAsia="宋体"/>
                <w:sz w:val="20"/>
                <w:szCs w:val="20"/>
                <w:lang w:eastAsia="zh-CN"/>
              </w:rPr>
              <w:t>2</w:t>
            </w:r>
            <w:r>
              <w:rPr>
                <w:rFonts w:hint="eastAsia" w:eastAsia="宋体"/>
                <w:sz w:val="20"/>
                <w:szCs w:val="20"/>
                <w:lang w:eastAsia="zh-CN"/>
              </w:rPr>
              <w:t>万个以上，将增加农民收入</w:t>
            </w:r>
            <w:r>
              <w:rPr>
                <w:rFonts w:eastAsia="宋体"/>
                <w:sz w:val="20"/>
                <w:szCs w:val="20"/>
                <w:lang w:eastAsia="zh-CN"/>
              </w:rPr>
              <w:t>9000</w:t>
            </w:r>
            <w:r>
              <w:rPr>
                <w:rFonts w:hint="eastAsia" w:eastAsia="宋体"/>
                <w:sz w:val="20"/>
                <w:szCs w:val="20"/>
                <w:lang w:eastAsia="zh-CN"/>
              </w:rPr>
              <w:t>万元以上，经济效益显著。</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89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项目实施后可提高我区农产品质量，可以保护北京市重要的饮用水源基地密云水库，并能为密云水库涵养水源建立一个良好的生态环境，从而满足我区人民对安全食用农副产品的需求，保证人民吃上放心的农副产品，保障人民的身体健康。</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项目实施后可提高我区农产品质量，可以保护北京市重要的饮用水源基地密云水库，并能为密云水库涵养水源建立一个良好的生态环境，从而满足我区人民对安全食用农副产品的需求，保证人民吃上放心的农副产品，保障人民的身体健康。</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873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val="zh-TW" w:eastAsia="zh-CN"/>
              </w:rPr>
              <w:t>带动全区农产品实现绿色生产，提升产品的附加值。开展赤眼蜂防治有效解决了食品安全问题，通过打造板栗有机精品品牌，为我区农产品出口，为农民增收创造了有利的技术条件。同时减少了大量化学农药使用，减少对环境污染。</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val="zh-TW" w:eastAsia="zh-CN"/>
              </w:rPr>
              <w:t>带动全区农产品实现绿色生产，提升产品的附加值。开展赤眼蜂防治有效解决了食品安全问题，通过打造板栗有机精品品牌，为我区农产品出口，为农民增收创造了有利的技术条件。同时减少了大量化学农药使用，减少对环境污染。</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120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项目的实施，可进一步巩固密云保水保生态成效，为密云污染防治攻坚战提供有力的技术支持。利用现代绿色防控技术和科学指导防治，能有效控制病虫危害发生，降低化学农药用量，主要农作物绿色防控及统防统治覆盖率分别达</w:t>
            </w:r>
            <w:r>
              <w:rPr>
                <w:rFonts w:hint="eastAsia" w:eastAsia="宋体"/>
                <w:color w:val="auto"/>
                <w:sz w:val="20"/>
                <w:szCs w:val="20"/>
                <w:lang w:eastAsia="zh-CN"/>
              </w:rPr>
              <w:t>到</w:t>
            </w:r>
            <w:r>
              <w:rPr>
                <w:rFonts w:eastAsia="宋体"/>
                <w:color w:val="auto"/>
                <w:sz w:val="20"/>
                <w:szCs w:val="20"/>
                <w:lang w:eastAsia="zh-CN"/>
              </w:rPr>
              <w:t>75%</w:t>
            </w:r>
            <w:r>
              <w:rPr>
                <w:rFonts w:hint="eastAsia" w:eastAsia="宋体"/>
                <w:color w:val="auto"/>
                <w:sz w:val="20"/>
                <w:szCs w:val="20"/>
                <w:lang w:eastAsia="zh-CN"/>
              </w:rPr>
              <w:t>和</w:t>
            </w:r>
            <w:r>
              <w:rPr>
                <w:rFonts w:eastAsia="宋体"/>
                <w:color w:val="auto"/>
                <w:sz w:val="20"/>
                <w:szCs w:val="20"/>
                <w:lang w:eastAsia="zh-CN"/>
              </w:rPr>
              <w:t>54%</w:t>
            </w:r>
            <w:r>
              <w:rPr>
                <w:rFonts w:hint="eastAsia" w:eastAsia="宋体"/>
                <w:color w:val="auto"/>
                <w:sz w:val="20"/>
                <w:szCs w:val="20"/>
                <w:lang w:eastAsia="zh-CN"/>
              </w:rPr>
              <w:t>，预计可减少杀虫剂、除草剂、激素、杀鼠剂等化学农药用量</w:t>
            </w:r>
            <w:r>
              <w:rPr>
                <w:rFonts w:eastAsia="宋体"/>
                <w:color w:val="auto"/>
                <w:sz w:val="20"/>
                <w:szCs w:val="20"/>
                <w:lang w:eastAsia="zh-CN"/>
              </w:rPr>
              <w:t>90吨</w:t>
            </w:r>
            <w:r>
              <w:rPr>
                <w:rFonts w:hint="eastAsia" w:eastAsia="宋体"/>
                <w:color w:val="auto"/>
                <w:sz w:val="20"/>
                <w:szCs w:val="20"/>
                <w:lang w:eastAsia="zh-CN"/>
              </w:rPr>
              <w:t>以上。</w:t>
            </w:r>
            <w:r>
              <w:rPr>
                <w:rFonts w:eastAsia="宋体"/>
                <w:color w:val="auto"/>
                <w:sz w:val="20"/>
                <w:szCs w:val="20"/>
                <w:lang w:eastAsia="zh-CN"/>
              </w:rPr>
              <w:t xml:space="preserve"> </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项目的实施，可进一步巩固密云保水保生态成效，为密云污染防治攻坚战提供有力的技术支持。利用现代绿色防控技术和科学指导防治，能有效控制病虫危害发生，降低化学农药用量，主要农作物绿色防控及统防统治覆盖率分别达</w:t>
            </w:r>
            <w:r>
              <w:rPr>
                <w:rFonts w:hint="eastAsia" w:eastAsia="宋体"/>
                <w:color w:val="auto"/>
                <w:sz w:val="20"/>
                <w:szCs w:val="20"/>
                <w:lang w:eastAsia="zh-CN"/>
              </w:rPr>
              <w:t>到</w:t>
            </w:r>
            <w:r>
              <w:rPr>
                <w:rFonts w:eastAsia="宋体"/>
                <w:color w:val="auto"/>
                <w:sz w:val="20"/>
                <w:szCs w:val="20"/>
                <w:lang w:eastAsia="zh-CN"/>
              </w:rPr>
              <w:t>75%</w:t>
            </w:r>
            <w:r>
              <w:rPr>
                <w:rFonts w:hint="eastAsia" w:eastAsia="宋体"/>
                <w:color w:val="auto"/>
                <w:sz w:val="20"/>
                <w:szCs w:val="20"/>
                <w:lang w:eastAsia="zh-CN"/>
              </w:rPr>
              <w:t>和</w:t>
            </w:r>
            <w:r>
              <w:rPr>
                <w:rFonts w:eastAsia="宋体"/>
                <w:color w:val="auto"/>
                <w:sz w:val="20"/>
                <w:szCs w:val="20"/>
                <w:lang w:eastAsia="zh-CN"/>
              </w:rPr>
              <w:t>54%</w:t>
            </w:r>
            <w:r>
              <w:rPr>
                <w:rFonts w:hint="eastAsia" w:eastAsia="宋体"/>
                <w:color w:val="auto"/>
                <w:sz w:val="20"/>
                <w:szCs w:val="20"/>
                <w:lang w:eastAsia="zh-CN"/>
              </w:rPr>
              <w:t>，预计可减少杀虫剂、除草剂、激素、杀鼠剂等化学农药用量</w:t>
            </w:r>
            <w:r>
              <w:rPr>
                <w:rFonts w:eastAsia="宋体"/>
                <w:color w:val="auto"/>
                <w:sz w:val="20"/>
                <w:szCs w:val="20"/>
                <w:lang w:eastAsia="zh-CN"/>
              </w:rPr>
              <w:t>90吨</w:t>
            </w:r>
            <w:r>
              <w:rPr>
                <w:rFonts w:hint="eastAsia" w:eastAsia="宋体"/>
                <w:color w:val="auto"/>
                <w:sz w:val="20"/>
                <w:szCs w:val="20"/>
                <w:lang w:eastAsia="zh-CN"/>
              </w:rPr>
              <w:t>以上。</w:t>
            </w:r>
            <w:r>
              <w:rPr>
                <w:rFonts w:eastAsia="宋体"/>
                <w:color w:val="auto"/>
                <w:sz w:val="20"/>
                <w:szCs w:val="20"/>
                <w:lang w:eastAsia="zh-CN"/>
              </w:rPr>
              <w:t xml:space="preserve"> </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49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用天敌昆虫防治害虫是取之于自然，用之于自然，不产生任何有悖于生态环境建设的现象，可以获得显著的环境效益。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用天敌昆虫防治害虫是取之于自然，用之于自然，不产生任何有悖于生态环境建设的现象，可以获得显著的环境效益。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62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在项目实施后，是保护密云水库减少面源污染的关键措施，也是保护农业生产不受病虫草鼠害侵袭的有效措施，是控制外来有害生物入侵和扩散蔓延的重要保障。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在项目实施后，是保护密云水库减少面源污染的关键措施，也是保护农业生产不受病虫草鼠害侵袭的有效措施，是控制外来有害生物入侵和扩散蔓延的重要保障。</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71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通过项目建设可加大对各种作物病虫草鼠害监测预警、指导防控工作力度，是保护全区生态环境、保护人民身体健康的必要措施。因此，本项目的发展具有明显的效益和持久性。</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通过项目建设可加大对各种作物病虫草鼠害监测预警、指导防控工作力度，是保护全区生态环境、保护人民身体健康的必要措施。因此，本项目的发展具有明显的效益和持久性。</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9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满意率98%以上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eastAsia="zh-CN"/>
              </w:rPr>
              <w:t>满意率98%以上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pStyle w:val="2"/>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6C781"/>
    <w:multiLevelType w:val="singleLevel"/>
    <w:tmpl w:val="B6D6C781"/>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2MxM2RhZTkzMTMxNDhjNTRmNTM4ODhhYmNjNTY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207"/>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957D29"/>
    <w:rsid w:val="050F6813"/>
    <w:rsid w:val="059E1945"/>
    <w:rsid w:val="06021ED4"/>
    <w:rsid w:val="06A411DD"/>
    <w:rsid w:val="079004AC"/>
    <w:rsid w:val="0D227400"/>
    <w:rsid w:val="0F8E2C57"/>
    <w:rsid w:val="103B4960"/>
    <w:rsid w:val="1059665E"/>
    <w:rsid w:val="10991687"/>
    <w:rsid w:val="10AC13BA"/>
    <w:rsid w:val="14221993"/>
    <w:rsid w:val="175454C1"/>
    <w:rsid w:val="18956BD8"/>
    <w:rsid w:val="19FA2C17"/>
    <w:rsid w:val="1ABC1594"/>
    <w:rsid w:val="1ADD2FED"/>
    <w:rsid w:val="1AEC0734"/>
    <w:rsid w:val="1DEF20B0"/>
    <w:rsid w:val="214243FA"/>
    <w:rsid w:val="249028FD"/>
    <w:rsid w:val="257A14F5"/>
    <w:rsid w:val="27196C26"/>
    <w:rsid w:val="27481027"/>
    <w:rsid w:val="281B7EF7"/>
    <w:rsid w:val="29EF086F"/>
    <w:rsid w:val="2A591B2F"/>
    <w:rsid w:val="2CA90A4C"/>
    <w:rsid w:val="2CFF34CD"/>
    <w:rsid w:val="2EFFE297"/>
    <w:rsid w:val="2F09127E"/>
    <w:rsid w:val="301437CA"/>
    <w:rsid w:val="313A1C72"/>
    <w:rsid w:val="321B5F48"/>
    <w:rsid w:val="32D00AE0"/>
    <w:rsid w:val="331826F9"/>
    <w:rsid w:val="34BF0E0C"/>
    <w:rsid w:val="37015E7C"/>
    <w:rsid w:val="3A685AA2"/>
    <w:rsid w:val="3DB80AEF"/>
    <w:rsid w:val="3E29379B"/>
    <w:rsid w:val="3E3839DE"/>
    <w:rsid w:val="402C30CE"/>
    <w:rsid w:val="433E495C"/>
    <w:rsid w:val="46401681"/>
    <w:rsid w:val="464B5A77"/>
    <w:rsid w:val="48187D69"/>
    <w:rsid w:val="4AC27CB3"/>
    <w:rsid w:val="4AD66A58"/>
    <w:rsid w:val="4BF72BEF"/>
    <w:rsid w:val="4F9067A1"/>
    <w:rsid w:val="50355192"/>
    <w:rsid w:val="51DB3C59"/>
    <w:rsid w:val="52453B44"/>
    <w:rsid w:val="53976014"/>
    <w:rsid w:val="55762E42"/>
    <w:rsid w:val="57A7B272"/>
    <w:rsid w:val="58470068"/>
    <w:rsid w:val="5A1720F9"/>
    <w:rsid w:val="5A403EEE"/>
    <w:rsid w:val="5A6C5773"/>
    <w:rsid w:val="5B503CBD"/>
    <w:rsid w:val="5B9C37C2"/>
    <w:rsid w:val="5BA7C654"/>
    <w:rsid w:val="5E4A34D4"/>
    <w:rsid w:val="5EDA046D"/>
    <w:rsid w:val="60A46F85"/>
    <w:rsid w:val="61475B62"/>
    <w:rsid w:val="616952FD"/>
    <w:rsid w:val="62754357"/>
    <w:rsid w:val="62E01E46"/>
    <w:rsid w:val="639F57E1"/>
    <w:rsid w:val="64C0607C"/>
    <w:rsid w:val="676B3D84"/>
    <w:rsid w:val="676F09E1"/>
    <w:rsid w:val="68E124C1"/>
    <w:rsid w:val="6E1DD6B5"/>
    <w:rsid w:val="70F07A7D"/>
    <w:rsid w:val="72FB5C36"/>
    <w:rsid w:val="77FFF19E"/>
    <w:rsid w:val="784A6228"/>
    <w:rsid w:val="7A7F1C49"/>
    <w:rsid w:val="7B330394"/>
    <w:rsid w:val="7B5B7AE6"/>
    <w:rsid w:val="7BA7071E"/>
    <w:rsid w:val="7BD05B7C"/>
    <w:rsid w:val="7BDF6DA8"/>
    <w:rsid w:val="7C7EDC1A"/>
    <w:rsid w:val="7C94566F"/>
    <w:rsid w:val="7CCED98D"/>
    <w:rsid w:val="7D08410F"/>
    <w:rsid w:val="7DB96DED"/>
    <w:rsid w:val="7DD3AD81"/>
    <w:rsid w:val="7DF84014"/>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5240;&#26087;\2024&#24180;\&#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工作表.xls]Sheet1'!$A$1:$A$2</c:f>
              <c:strCache>
                <c:ptCount val="2"/>
                <c:pt idx="0">
                  <c:v>基本支出</c:v>
                </c:pt>
                <c:pt idx="1">
                  <c:v>项目支出</c:v>
                </c:pt>
              </c:strCache>
            </c:strRef>
          </c:cat>
          <c:val>
            <c:numRef>
              <c:f>'[新建 XLS 工作表.xls]Sheet1'!$B$1:$B$2</c:f>
              <c:numCache>
                <c:formatCode>0.00%</c:formatCode>
                <c:ptCount val="2"/>
                <c:pt idx="0">
                  <c:v>0.3417</c:v>
                </c:pt>
                <c:pt idx="1">
                  <c:v>0.6582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6219</Words>
  <Characters>6984</Characters>
  <Lines>77</Lines>
  <Paragraphs>21</Paragraphs>
  <TotalTime>4</TotalTime>
  <ScaleCrop>false</ScaleCrop>
  <LinksUpToDate>false</LinksUpToDate>
  <CharactersWithSpaces>7031</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user</cp:lastModifiedBy>
  <cp:lastPrinted>2020-08-08T03:39:00Z</cp:lastPrinted>
  <dcterms:modified xsi:type="dcterms:W3CDTF">2024-07-04T00:42:44Z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C53E0049DD7D4F56A956C4A3BA3D12CC_13</vt:lpwstr>
  </property>
</Properties>
</file>