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lang w:val="en-US" w:eastAsia="zh-CN"/>
        </w:rPr>
      </w:pPr>
      <w:r>
        <w:rPr>
          <w:rFonts w:hint="eastAsia" w:ascii="黑体" w:eastAsia="黑体"/>
          <w:sz w:val="72"/>
          <w:szCs w:val="72"/>
          <w:lang w:val="en-US" w:eastAsia="zh-CN"/>
        </w:rPr>
        <w:t>北京市密云区水产技术推广站</w:t>
      </w: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3"/>
        <w:rPr>
          <w:rFonts w:hint="eastAsia" w:ascii="仿宋_GB2312" w:eastAsia="仿宋_GB2312"/>
          <w:sz w:val="28"/>
          <w:szCs w:val="28"/>
          <w:lang w:val="en-US" w:eastAsia="zh-CN"/>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p>
    <w:p>
      <w:pPr>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rPr>
          <w:rFonts w:hint="eastAsia" w:ascii="仿宋_GB2312" w:eastAsia="仿宋_GB2312"/>
          <w:sz w:val="28"/>
          <w:szCs w:val="28"/>
          <w:lang w:val="en" w:eastAsia="zh-CN"/>
        </w:rPr>
        <w:sectPr>
          <w:footerReference r:id="rId3" w:type="default"/>
          <w:pgSz w:w="16838" w:h="11906" w:orient="landscape"/>
          <w:pgMar w:top="1134" w:right="1134" w:bottom="1134" w:left="1134" w:header="851" w:footer="992" w:gutter="0"/>
          <w:cols w:space="720" w:num="1"/>
          <w:docGrid w:type="linesAndChars" w:linePitch="312" w:charSpace="0"/>
        </w:sectPr>
      </w:pPr>
      <w:r>
        <w:drawing>
          <wp:inline distT="0" distB="0" distL="114300" distR="114300">
            <wp:extent cx="9243695" cy="6237605"/>
            <wp:effectExtent l="0" t="0" r="14605" b="1079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9243695" cy="623760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9251315" cy="4403090"/>
            <wp:effectExtent l="0" t="0" r="6985" b="1651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9251315" cy="4403090"/>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r>
        <w:drawing>
          <wp:inline distT="0" distB="0" distL="114300" distR="114300">
            <wp:extent cx="9058275" cy="4276725"/>
            <wp:effectExtent l="0" t="0" r="9525"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9058275" cy="427672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9251315" cy="5090160"/>
            <wp:effectExtent l="0" t="0" r="6985" b="1524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0"/>
                    <a:stretch>
                      <a:fillRect/>
                    </a:stretch>
                  </pic:blipFill>
                  <pic:spPr>
                    <a:xfrm>
                      <a:off x="0" y="0"/>
                      <a:ext cx="9251315" cy="5090160"/>
                    </a:xfrm>
                    <a:prstGeom prst="rect">
                      <a:avLst/>
                    </a:prstGeom>
                    <a:noFill/>
                    <a:ln>
                      <a:noFill/>
                    </a:ln>
                  </pic:spPr>
                </pic:pic>
              </a:graphicData>
            </a:graphic>
          </wp:inline>
        </w:drawing>
      </w: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r>
        <w:drawing>
          <wp:inline distT="0" distB="0" distL="114300" distR="114300">
            <wp:extent cx="9248140" cy="3348990"/>
            <wp:effectExtent l="0" t="0" r="10160" b="381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1"/>
                    <a:stretch>
                      <a:fillRect/>
                    </a:stretch>
                  </pic:blipFill>
                  <pic:spPr>
                    <a:xfrm>
                      <a:off x="0" y="0"/>
                      <a:ext cx="9248140" cy="3348990"/>
                    </a:xfrm>
                    <a:prstGeom prst="rect">
                      <a:avLst/>
                    </a:prstGeom>
                    <a:noFill/>
                    <a:ln>
                      <a:noFill/>
                    </a:ln>
                  </pic:spPr>
                </pic:pic>
              </a:graphicData>
            </a:graphic>
          </wp:inline>
        </w:drawing>
      </w: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8486775" cy="4410075"/>
            <wp:effectExtent l="0" t="0" r="9525" b="952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2"/>
                    <a:stretch>
                      <a:fillRect/>
                    </a:stretch>
                  </pic:blipFill>
                  <pic:spPr>
                    <a:xfrm>
                      <a:off x="0" y="0"/>
                      <a:ext cx="8486775" cy="4410075"/>
                    </a:xfrm>
                    <a:prstGeom prst="rect">
                      <a:avLst/>
                    </a:prstGeom>
                    <a:noFill/>
                    <a:ln>
                      <a:noFill/>
                    </a:ln>
                  </pic:spPr>
                </pic:pic>
              </a:graphicData>
            </a:graphic>
          </wp:inline>
        </w:drawing>
      </w:r>
    </w:p>
    <w:p>
      <w:pPr>
        <w:tabs>
          <w:tab w:val="center" w:pos="6979"/>
        </w:tabs>
        <w:spacing w:before="156" w:beforeLines="50" w:after="156" w:afterLines="50"/>
        <w:jc w:val="both"/>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9250045" cy="6318250"/>
            <wp:effectExtent l="0" t="0" r="8255" b="635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3"/>
                    <a:stretch>
                      <a:fillRect/>
                    </a:stretch>
                  </pic:blipFill>
                  <pic:spPr>
                    <a:xfrm>
                      <a:off x="0" y="0"/>
                      <a:ext cx="9250045" cy="6318250"/>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9246235" cy="1160145"/>
            <wp:effectExtent l="0" t="0" r="12065" b="190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4"/>
                    <a:stretch>
                      <a:fillRect/>
                    </a:stretch>
                  </pic:blipFill>
                  <pic:spPr>
                    <a:xfrm>
                      <a:off x="0" y="0"/>
                      <a:ext cx="9246235" cy="116014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9250045" cy="6318250"/>
            <wp:effectExtent l="0" t="0" r="8255" b="635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5"/>
                    <a:stretch>
                      <a:fillRect/>
                    </a:stretch>
                  </pic:blipFill>
                  <pic:spPr>
                    <a:xfrm>
                      <a:off x="0" y="0"/>
                      <a:ext cx="9250045" cy="6318250"/>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pPr>
      <w:r>
        <w:drawing>
          <wp:inline distT="0" distB="0" distL="114300" distR="114300">
            <wp:extent cx="6153150" cy="1476375"/>
            <wp:effectExtent l="0" t="0" r="0" b="9525"/>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6"/>
                    <a:stretch>
                      <a:fillRect/>
                    </a:stretch>
                  </pic:blipFill>
                  <pic:spPr>
                    <a:xfrm>
                      <a:off x="0" y="0"/>
                      <a:ext cx="6153150" cy="1476375"/>
                    </a:xfrm>
                    <a:prstGeom prst="rect">
                      <a:avLst/>
                    </a:prstGeom>
                    <a:noFill/>
                    <a:ln>
                      <a:noFill/>
                    </a:ln>
                  </pic:spPr>
                </pic:pic>
              </a:graphicData>
            </a:graphic>
          </wp:inline>
        </w:drawing>
      </w:r>
    </w:p>
    <w:p>
      <w:pPr>
        <w:pStyle w:val="2"/>
        <w:ind w:left="0" w:leftChars="0" w:firstLine="0" w:firstLineChars="0"/>
      </w:pPr>
    </w:p>
    <w:p>
      <w:pPr>
        <w:pStyle w:val="2"/>
      </w:pPr>
    </w:p>
    <w:p>
      <w:pPr>
        <w:pStyle w:val="2"/>
      </w:pPr>
    </w:p>
    <w:p>
      <w:pPr>
        <w:pStyle w:val="2"/>
      </w:pPr>
    </w:p>
    <w:p>
      <w:pPr>
        <w:pStyle w:val="2"/>
      </w:pPr>
    </w:p>
    <w:p>
      <w:pPr>
        <w:pStyle w:val="2"/>
        <w:rPr>
          <w:rFonts w:hint="eastAsia"/>
        </w:rPr>
      </w:pPr>
    </w:p>
    <w:p>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9250045" cy="154876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9250045" cy="1548765"/>
                    </a:xfrm>
                    <a:prstGeom prst="rect">
                      <a:avLst/>
                    </a:prstGeom>
                    <a:noFill/>
                    <a:ln>
                      <a:noFill/>
                    </a:ln>
                  </pic:spPr>
                </pic:pic>
              </a:graphicData>
            </a:graphic>
          </wp:inline>
        </w:drawing>
      </w:r>
    </w:p>
    <w:p>
      <w:pPr>
        <w:tabs>
          <w:tab w:val="center" w:pos="6979"/>
        </w:tabs>
        <w:spacing w:before="156" w:beforeLines="50" w:after="156" w:afterLines="50"/>
        <w:jc w:val="center"/>
      </w:pPr>
      <w:r>
        <w:drawing>
          <wp:inline distT="0" distB="0" distL="114300" distR="114300">
            <wp:extent cx="5657850" cy="3952875"/>
            <wp:effectExtent l="0" t="0" r="0" b="9525"/>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18"/>
                    <a:stretch>
                      <a:fillRect/>
                    </a:stretch>
                  </pic:blipFill>
                  <pic:spPr>
                    <a:xfrm>
                      <a:off x="0" y="0"/>
                      <a:ext cx="5657850" cy="3952875"/>
                    </a:xfrm>
                    <a:prstGeom prst="rect">
                      <a:avLst/>
                    </a:prstGeom>
                    <a:noFill/>
                    <a:ln>
                      <a:noFill/>
                    </a:ln>
                  </pic:spPr>
                </pic:pic>
              </a:graphicData>
            </a:graphic>
          </wp:inline>
        </w:drawing>
      </w:r>
    </w:p>
    <w:p>
      <w:pPr>
        <w:pStyle w:val="2"/>
      </w:pPr>
    </w:p>
    <w:p>
      <w:pPr>
        <w:pStyle w:val="2"/>
        <w:rPr>
          <w:rFonts w:hint="eastAsia"/>
        </w:rPr>
      </w:pPr>
      <w:r>
        <w:drawing>
          <wp:inline distT="0" distB="0" distL="114300" distR="114300">
            <wp:extent cx="4586605" cy="6071235"/>
            <wp:effectExtent l="0" t="0" r="4445" b="5715"/>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19"/>
                    <a:stretch>
                      <a:fillRect/>
                    </a:stretch>
                  </pic:blipFill>
                  <pic:spPr>
                    <a:xfrm>
                      <a:off x="0" y="0"/>
                      <a:ext cx="4586605" cy="6071235"/>
                    </a:xfrm>
                    <a:prstGeom prst="rect">
                      <a:avLst/>
                    </a:prstGeom>
                    <a:noFill/>
                    <a:ln>
                      <a:noFill/>
                    </a:ln>
                  </pic:spPr>
                </pic:pic>
              </a:graphicData>
            </a:graphic>
          </wp:inline>
        </w:drawing>
      </w:r>
    </w:p>
    <w:p>
      <w:pPr>
        <w:pStyle w:val="2"/>
        <w:rPr>
          <w:rFonts w:hint="eastAsia"/>
        </w:r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一、单位基本情况</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本单位为北京市密云区农业服务中心所属2级预算单位。本单位负责开展水生动物病害监测与防治,负责渔业水域环境监测, 负责渔业技术推广项目的申报、实施与技术服务，负责开展技术培训等其他事项。</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2023年我单位财政供养人数11人,其中在职人员10人,退休人员1人。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299.04</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113.97</w:t>
      </w:r>
      <w:r>
        <w:rPr>
          <w:rFonts w:hint="eastAsia" w:ascii="仿宋_GB2312" w:eastAsia="仿宋_GB2312"/>
          <w:sz w:val="28"/>
          <w:szCs w:val="28"/>
        </w:rPr>
        <w:t>万元，增长</w:t>
      </w:r>
      <w:r>
        <w:rPr>
          <w:rFonts w:hint="eastAsia" w:ascii="仿宋_GB2312" w:eastAsia="仿宋_GB2312"/>
          <w:sz w:val="28"/>
          <w:szCs w:val="28"/>
          <w:lang w:val="en-US" w:eastAsia="zh-CN"/>
        </w:rPr>
        <w:t>61.58</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299.04</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113.97</w:t>
      </w:r>
      <w:r>
        <w:rPr>
          <w:rFonts w:hint="eastAsia" w:ascii="仿宋_GB2312" w:eastAsia="仿宋_GB2312"/>
          <w:sz w:val="28"/>
          <w:szCs w:val="28"/>
        </w:rPr>
        <w:t>万元，增长</w:t>
      </w:r>
      <w:r>
        <w:rPr>
          <w:rFonts w:hint="eastAsia" w:ascii="仿宋_GB2312" w:eastAsia="仿宋_GB2312"/>
          <w:sz w:val="28"/>
          <w:szCs w:val="28"/>
          <w:lang w:val="en-US" w:eastAsia="zh-CN"/>
        </w:rPr>
        <w:t>61.58</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299.04</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299.04</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pStyle w:val="3"/>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bidi w:val="0"/>
        <w:jc w:val="center"/>
        <w:rPr>
          <w:rFonts w:hint="eastAsia"/>
          <w:lang w:val="en-US" w:eastAsia="zh-CN"/>
        </w:rPr>
      </w:pPr>
      <w:r>
        <w:rPr>
          <w:rFonts w:hint="eastAsia"/>
          <w:lang w:val="en-US" w:eastAsia="zh-CN"/>
        </w:rPr>
        <w:drawing>
          <wp:inline distT="0" distB="0" distL="114300" distR="114300">
            <wp:extent cx="4408805" cy="2477770"/>
            <wp:effectExtent l="4445" t="5080" r="6350" b="12700"/>
            <wp:docPr id="2" name="图表 2"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299.04</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113.97</w:t>
      </w:r>
      <w:r>
        <w:rPr>
          <w:rFonts w:hint="eastAsia" w:ascii="仿宋_GB2312" w:eastAsia="仿宋_GB2312"/>
          <w:sz w:val="28"/>
          <w:szCs w:val="28"/>
        </w:rPr>
        <w:t>万元，增长</w:t>
      </w:r>
      <w:r>
        <w:rPr>
          <w:rFonts w:hint="eastAsia" w:ascii="仿宋_GB2312" w:eastAsia="仿宋_GB2312"/>
          <w:sz w:val="28"/>
          <w:szCs w:val="28"/>
          <w:lang w:val="en-US" w:eastAsia="zh-CN"/>
        </w:rPr>
        <w:t>61.58</w:t>
      </w:r>
      <w:r>
        <w:rPr>
          <w:rFonts w:hint="eastAsia" w:ascii="仿宋_GB2312" w:eastAsia="仿宋_GB2312"/>
          <w:sz w:val="28"/>
          <w:szCs w:val="28"/>
        </w:rPr>
        <w:t>%，其中：基本支出</w:t>
      </w:r>
      <w:r>
        <w:rPr>
          <w:rFonts w:ascii="仿宋_GB2312" w:eastAsia="仿宋_GB2312"/>
          <w:sz w:val="28"/>
          <w:szCs w:val="28"/>
        </w:rPr>
        <w:t>276.04</w:t>
      </w:r>
      <w:r>
        <w:rPr>
          <w:rFonts w:hint="eastAsia" w:ascii="仿宋_GB2312" w:eastAsia="仿宋_GB2312"/>
          <w:sz w:val="28"/>
          <w:szCs w:val="28"/>
        </w:rPr>
        <w:t>万元，占支出合计的</w:t>
      </w:r>
      <w:r>
        <w:rPr>
          <w:rFonts w:ascii="仿宋_GB2312" w:eastAsia="仿宋_GB2312"/>
          <w:sz w:val="28"/>
          <w:szCs w:val="28"/>
        </w:rPr>
        <w:t>92.3</w:t>
      </w:r>
      <w:r>
        <w:rPr>
          <w:rFonts w:hint="eastAsia" w:ascii="仿宋_GB2312" w:eastAsia="仿宋_GB2312"/>
          <w:sz w:val="28"/>
          <w:szCs w:val="28"/>
        </w:rPr>
        <w:t>%；项目支出</w:t>
      </w:r>
      <w:r>
        <w:rPr>
          <w:rFonts w:ascii="仿宋_GB2312" w:eastAsia="仿宋_GB2312"/>
          <w:sz w:val="28"/>
          <w:szCs w:val="28"/>
        </w:rPr>
        <w:t>23</w:t>
      </w:r>
      <w:r>
        <w:rPr>
          <w:rFonts w:hint="eastAsia" w:ascii="仿宋_GB2312" w:eastAsia="仿宋_GB2312"/>
          <w:sz w:val="28"/>
          <w:szCs w:val="28"/>
        </w:rPr>
        <w:t>万元，占支出合计的</w:t>
      </w:r>
      <w:r>
        <w:rPr>
          <w:rFonts w:ascii="仿宋_GB2312" w:eastAsia="仿宋_GB2312"/>
          <w:sz w:val="28"/>
          <w:szCs w:val="28"/>
        </w:rPr>
        <w:t>7.69</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pStyle w:val="3"/>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299.04</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113.97</w:t>
      </w:r>
      <w:r>
        <w:rPr>
          <w:rFonts w:hint="eastAsia" w:ascii="仿宋_GB2312" w:eastAsia="仿宋_GB2312"/>
          <w:sz w:val="28"/>
          <w:szCs w:val="28"/>
        </w:rPr>
        <w:t>万元，增长</w:t>
      </w:r>
      <w:r>
        <w:rPr>
          <w:rFonts w:hint="eastAsia" w:ascii="仿宋_GB2312" w:eastAsia="仿宋_GB2312"/>
          <w:sz w:val="28"/>
          <w:szCs w:val="28"/>
          <w:lang w:val="en-US" w:eastAsia="zh-CN"/>
        </w:rPr>
        <w:t>61.58</w:t>
      </w:r>
      <w:r>
        <w:rPr>
          <w:rFonts w:hint="eastAsia" w:ascii="仿宋_GB2312" w:eastAsia="仿宋_GB2312"/>
          <w:sz w:val="28"/>
          <w:szCs w:val="28"/>
        </w:rPr>
        <w:t>%。主要原因：</w:t>
      </w:r>
      <w:r>
        <w:rPr>
          <w:rFonts w:hint="eastAsia" w:ascii="仿宋_GB2312" w:hAnsi="仿宋" w:eastAsia="仿宋_GB2312"/>
          <w:sz w:val="32"/>
          <w:szCs w:val="32"/>
          <w:highlight w:val="none"/>
          <w:u w:val="none"/>
          <w:lang w:val="en-US" w:eastAsia="zh-CN"/>
        </w:rPr>
        <w:t>本年增加在职人员3人，人员经费增加。</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299.04</w:t>
      </w:r>
      <w:r>
        <w:rPr>
          <w:rFonts w:hint="eastAsia" w:ascii="仿宋_GB2312" w:eastAsia="仿宋_GB2312"/>
          <w:sz w:val="28"/>
          <w:szCs w:val="28"/>
        </w:rPr>
        <w:t>万元，主要用于以下方面（按大类）：社会保障和就业支出</w:t>
      </w:r>
      <w:r>
        <w:rPr>
          <w:rFonts w:hint="eastAsia" w:ascii="仿宋_GB2312" w:eastAsia="仿宋_GB2312"/>
          <w:sz w:val="28"/>
          <w:szCs w:val="28"/>
          <w:lang w:val="en-US" w:eastAsia="zh-CN"/>
        </w:rPr>
        <w:t>33.07</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11.06</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lang w:val="en-US" w:eastAsia="zh-CN"/>
        </w:rPr>
        <w:t>卫生健康支出20.11万元，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6.72%；节能环保支出23万元，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7.69%；农林水支出222.86万元，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74.53%</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1、“社会保障和就业支出”（类）202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33.07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年度年初预算增加增加</w:t>
      </w:r>
      <w:r>
        <w:rPr>
          <w:rFonts w:hint="eastAsia" w:ascii="仿宋_GB2312" w:eastAsia="仿宋_GB2312"/>
          <w:sz w:val="28"/>
          <w:szCs w:val="28"/>
          <w:lang w:val="en-US" w:eastAsia="zh-CN"/>
        </w:rPr>
        <w:t>9.07</w:t>
      </w:r>
      <w:r>
        <w:rPr>
          <w:rFonts w:hint="eastAsia" w:ascii="仿宋_GB2312" w:eastAsia="仿宋_GB2312"/>
          <w:sz w:val="28"/>
          <w:szCs w:val="28"/>
        </w:rPr>
        <w:t>万元，增长</w:t>
      </w:r>
      <w:r>
        <w:rPr>
          <w:rFonts w:hint="eastAsia" w:ascii="仿宋_GB2312" w:eastAsia="仿宋_GB2312"/>
          <w:sz w:val="28"/>
          <w:szCs w:val="28"/>
          <w:lang w:val="en-US" w:eastAsia="zh-CN"/>
        </w:rPr>
        <w:t>37.79</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“行政事业单位养老支出”（款，下同）202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33.07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9.07</w:t>
      </w:r>
      <w:r>
        <w:rPr>
          <w:rFonts w:hint="eastAsia" w:ascii="仿宋_GB2312" w:eastAsia="仿宋_GB2312"/>
          <w:sz w:val="28"/>
          <w:szCs w:val="28"/>
        </w:rPr>
        <w:t>万元，增长</w:t>
      </w:r>
      <w:r>
        <w:rPr>
          <w:rFonts w:hint="eastAsia" w:ascii="仿宋_GB2312" w:eastAsia="仿宋_GB2312"/>
          <w:sz w:val="28"/>
          <w:szCs w:val="28"/>
          <w:lang w:val="en-US" w:eastAsia="zh-CN"/>
        </w:rPr>
        <w:t>37.79</w:t>
      </w:r>
      <w:r>
        <w:rPr>
          <w:rFonts w:hint="eastAsia" w:ascii="仿宋_GB2312" w:eastAsia="仿宋_GB2312"/>
          <w:sz w:val="28"/>
          <w:szCs w:val="28"/>
        </w:rPr>
        <w:t>%。主要原因：</w:t>
      </w:r>
      <w:r>
        <w:rPr>
          <w:rFonts w:hint="eastAsia" w:ascii="仿宋_GB2312" w:eastAsia="仿宋_GB2312"/>
          <w:sz w:val="28"/>
          <w:szCs w:val="28"/>
          <w:lang w:val="en-US" w:eastAsia="zh-CN"/>
        </w:rPr>
        <w:t>我单位增加在职人员3人，保险增加</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卫生健康支出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20.11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6.29</w:t>
      </w:r>
      <w:r>
        <w:rPr>
          <w:rFonts w:hint="eastAsia" w:ascii="仿宋_GB2312" w:eastAsia="仿宋_GB2312"/>
          <w:sz w:val="28"/>
          <w:szCs w:val="28"/>
        </w:rPr>
        <w:t>万元，增长</w:t>
      </w:r>
      <w:r>
        <w:rPr>
          <w:rFonts w:hint="eastAsia" w:ascii="仿宋_GB2312" w:eastAsia="仿宋_GB2312"/>
          <w:sz w:val="28"/>
          <w:szCs w:val="28"/>
          <w:lang w:val="en-US" w:eastAsia="zh-CN"/>
        </w:rPr>
        <w:t>45.51</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“行政事业单位医疗”（款）202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20.11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6.29</w:t>
      </w:r>
      <w:r>
        <w:rPr>
          <w:rFonts w:hint="eastAsia" w:ascii="仿宋_GB2312" w:eastAsia="仿宋_GB2312"/>
          <w:sz w:val="28"/>
          <w:szCs w:val="28"/>
        </w:rPr>
        <w:t>万元，增长</w:t>
      </w:r>
      <w:r>
        <w:rPr>
          <w:rFonts w:hint="eastAsia" w:ascii="仿宋_GB2312" w:eastAsia="仿宋_GB2312"/>
          <w:sz w:val="28"/>
          <w:szCs w:val="28"/>
          <w:lang w:val="en-US" w:eastAsia="zh-CN"/>
        </w:rPr>
        <w:t>45.51</w:t>
      </w:r>
      <w:r>
        <w:rPr>
          <w:rFonts w:hint="eastAsia" w:ascii="仿宋_GB2312" w:eastAsia="仿宋_GB2312"/>
          <w:sz w:val="28"/>
          <w:szCs w:val="28"/>
        </w:rPr>
        <w:t>%。主要原因：</w:t>
      </w:r>
      <w:r>
        <w:rPr>
          <w:rFonts w:hint="eastAsia" w:ascii="仿宋_GB2312" w:eastAsia="仿宋_GB2312"/>
          <w:sz w:val="28"/>
          <w:szCs w:val="28"/>
          <w:lang w:val="en-US" w:eastAsia="zh-CN"/>
        </w:rPr>
        <w:t>我单位增加在职人员3人，保险增加</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节能环保支出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23</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23</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污染防治</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23</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23</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val="en-US" w:eastAsia="zh-CN"/>
        </w:rPr>
        <w:t>该项目未列入2023年预算</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val="en-US" w:eastAsia="zh-CN"/>
        </w:rPr>
        <w:t>农林水支出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222.86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93.8</w:t>
      </w:r>
      <w:r>
        <w:rPr>
          <w:rFonts w:hint="eastAsia" w:ascii="仿宋_GB2312" w:eastAsia="仿宋_GB2312"/>
          <w:sz w:val="28"/>
          <w:szCs w:val="28"/>
        </w:rPr>
        <w:t>万元，增长</w:t>
      </w:r>
      <w:r>
        <w:rPr>
          <w:rFonts w:hint="eastAsia" w:ascii="仿宋_GB2312" w:eastAsia="仿宋_GB2312"/>
          <w:sz w:val="28"/>
          <w:szCs w:val="28"/>
          <w:lang w:val="en-US" w:eastAsia="zh-CN"/>
        </w:rPr>
        <w:t>72.68</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农业农村</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222.86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93.8</w:t>
      </w:r>
      <w:r>
        <w:rPr>
          <w:rFonts w:hint="eastAsia" w:ascii="仿宋_GB2312" w:eastAsia="仿宋_GB2312"/>
          <w:sz w:val="28"/>
          <w:szCs w:val="28"/>
        </w:rPr>
        <w:t>万元，增长</w:t>
      </w:r>
      <w:r>
        <w:rPr>
          <w:rFonts w:hint="eastAsia" w:ascii="仿宋_GB2312" w:eastAsia="仿宋_GB2312"/>
          <w:sz w:val="28"/>
          <w:szCs w:val="28"/>
          <w:lang w:val="en-US" w:eastAsia="zh-CN"/>
        </w:rPr>
        <w:t>72.68</w:t>
      </w:r>
      <w:r>
        <w:rPr>
          <w:rFonts w:hint="eastAsia" w:ascii="仿宋_GB2312" w:eastAsia="仿宋_GB2312"/>
          <w:sz w:val="28"/>
          <w:szCs w:val="28"/>
        </w:rPr>
        <w:t>%。主要原因：</w:t>
      </w:r>
      <w:r>
        <w:rPr>
          <w:rFonts w:hint="eastAsia" w:ascii="仿宋_GB2312" w:eastAsia="仿宋_GB2312"/>
          <w:sz w:val="28"/>
          <w:szCs w:val="28"/>
          <w:lang w:val="en-US" w:eastAsia="zh-CN"/>
        </w:rPr>
        <w:t>我单位增加在职人员3人，人员经费</w:t>
      </w:r>
      <w:r>
        <w:rPr>
          <w:rFonts w:hint="eastAsia" w:ascii="仿宋_GB2312" w:eastAsia="仿宋_GB2312"/>
          <w:sz w:val="28"/>
          <w:szCs w:val="28"/>
        </w:rPr>
        <w:t>。</w:t>
      </w:r>
    </w:p>
    <w:p>
      <w:pPr>
        <w:pStyle w:val="2"/>
      </w:pP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本年度无此项支出</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spacing w:line="580" w:lineRule="exact"/>
        <w:ind w:firstLine="548" w:firstLineChars="196"/>
        <w:rPr>
          <w:rFonts w:hint="eastAsia" w:ascii="仿宋_GB2312" w:eastAsia="仿宋_GB2312"/>
          <w:sz w:val="28"/>
          <w:szCs w:val="28"/>
          <w:lang w:val="en-US" w:eastAsia="zh-CN"/>
        </w:rPr>
      </w:pPr>
      <w:r>
        <w:rPr>
          <w:rFonts w:hint="eastAsia" w:ascii="仿宋_GB2312" w:eastAsia="仿宋_GB2312"/>
          <w:sz w:val="28"/>
          <w:szCs w:val="28"/>
          <w:lang w:val="en-US" w:eastAsia="zh-CN"/>
        </w:rPr>
        <w:t>本年度无此项支出</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276.04</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0.45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2.52</w:t>
      </w:r>
      <w:r>
        <w:rPr>
          <w:rFonts w:hint="eastAsia" w:ascii="仿宋_GB2312" w:eastAsia="仿宋_GB2312"/>
          <w:sz w:val="28"/>
          <w:szCs w:val="28"/>
        </w:rPr>
        <w:t>万元减少</w:t>
      </w:r>
      <w:r>
        <w:rPr>
          <w:rFonts w:ascii="仿宋_GB2312" w:eastAsia="仿宋_GB2312"/>
          <w:sz w:val="28"/>
          <w:szCs w:val="28"/>
        </w:rPr>
        <w:t>2.06</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0.45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2.52</w:t>
      </w:r>
      <w:r>
        <w:rPr>
          <w:rFonts w:hint="eastAsia" w:ascii="仿宋_GB2312" w:eastAsia="仿宋_GB2312"/>
          <w:sz w:val="28"/>
          <w:szCs w:val="28"/>
        </w:rPr>
        <w:t>万元减少</w:t>
      </w:r>
      <w:r>
        <w:rPr>
          <w:rFonts w:hint="eastAsia" w:ascii="仿宋_GB2312" w:eastAsia="仿宋_GB2312"/>
          <w:sz w:val="28"/>
          <w:szCs w:val="28"/>
          <w:lang w:val="en-US" w:eastAsia="zh-CN"/>
        </w:rPr>
        <w:t>2.06</w:t>
      </w:r>
      <w:r>
        <w:rPr>
          <w:rFonts w:hint="eastAsia" w:ascii="仿宋_GB2312" w:eastAsia="仿宋_GB2312"/>
          <w:sz w:val="28"/>
          <w:szCs w:val="28"/>
        </w:rPr>
        <w:t>万元，主要原因：</w:t>
      </w:r>
      <w:r>
        <w:rPr>
          <w:rFonts w:hint="eastAsia" w:ascii="仿宋_GB2312" w:eastAsia="仿宋_GB2312"/>
          <w:sz w:val="28"/>
          <w:szCs w:val="28"/>
          <w:lang w:val="en-US" w:eastAsia="zh-CN"/>
        </w:rPr>
        <w:t>我单位公务用车使用减少</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ascii="仿宋_GB2312" w:eastAsia="仿宋_GB2312"/>
          <w:sz w:val="28"/>
          <w:szCs w:val="28"/>
          <w:highlight w:val="none"/>
        </w:rPr>
        <w:t>0</w:t>
      </w:r>
      <w:r>
        <w:rPr>
          <w:rFonts w:hint="eastAsia" w:ascii="仿宋_GB2312" w:eastAsia="仿宋_GB2312"/>
          <w:sz w:val="28"/>
          <w:szCs w:val="28"/>
        </w:rPr>
        <w:t>万元，公务用车维修</w:t>
      </w:r>
      <w:r>
        <w:rPr>
          <w:rFonts w:ascii="仿宋_GB2312" w:eastAsia="仿宋_GB2312"/>
          <w:sz w:val="28"/>
          <w:szCs w:val="28"/>
          <w:highlight w:val="none"/>
        </w:rPr>
        <w:t>0</w:t>
      </w:r>
      <w:r>
        <w:rPr>
          <w:rFonts w:hint="eastAsia" w:ascii="仿宋_GB2312" w:eastAsia="仿宋_GB2312"/>
          <w:sz w:val="28"/>
          <w:szCs w:val="28"/>
          <w:highlight w:val="none"/>
          <w:lang w:val="en-US" w:eastAsia="zh-CN"/>
        </w:rPr>
        <w:t>.29</w:t>
      </w:r>
      <w:r>
        <w:rPr>
          <w:rFonts w:hint="eastAsia" w:ascii="仿宋_GB2312" w:eastAsia="仿宋_GB2312"/>
          <w:sz w:val="28"/>
          <w:szCs w:val="28"/>
        </w:rPr>
        <w:t>万元，公务用车保险</w:t>
      </w:r>
      <w:r>
        <w:rPr>
          <w:rFonts w:hint="eastAsia" w:ascii="仿宋_GB2312" w:eastAsia="仿宋_GB2312"/>
          <w:sz w:val="28"/>
          <w:szCs w:val="28"/>
          <w:highlight w:val="none"/>
          <w:lang w:val="en-US" w:eastAsia="zh-CN"/>
        </w:rPr>
        <w:t>0.15</w:t>
      </w:r>
      <w:r>
        <w:rPr>
          <w:rFonts w:hint="eastAsia" w:ascii="仿宋_GB2312" w:eastAsia="仿宋_GB2312"/>
          <w:sz w:val="28"/>
          <w:szCs w:val="28"/>
        </w:rPr>
        <w:t>万元，公务用车其他支出</w:t>
      </w:r>
      <w:r>
        <w:rPr>
          <w:rFonts w:ascii="仿宋_GB2312" w:eastAsia="仿宋_GB2312"/>
          <w:sz w:val="28"/>
          <w:szCs w:val="28"/>
          <w:highlight w:val="none"/>
        </w:rPr>
        <w:t>0</w:t>
      </w:r>
      <w:r>
        <w:rPr>
          <w:rFonts w:hint="eastAsia" w:ascii="仿宋_GB2312" w:eastAsia="仿宋_GB2312"/>
          <w:sz w:val="28"/>
          <w:szCs w:val="28"/>
          <w:highlight w:val="none"/>
          <w:lang w:val="en-US" w:eastAsia="zh-CN"/>
        </w:rPr>
        <w:t>.01</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1</w:t>
      </w:r>
      <w:r>
        <w:rPr>
          <w:rFonts w:hint="eastAsia" w:ascii="仿宋_GB2312" w:eastAsia="仿宋_GB2312"/>
          <w:sz w:val="28"/>
          <w:szCs w:val="28"/>
        </w:rPr>
        <w:t>辆，车均运行维护费</w:t>
      </w:r>
      <w:r>
        <w:rPr>
          <w:rFonts w:hint="eastAsia" w:ascii="仿宋_GB2312" w:eastAsia="仿宋_GB2312"/>
          <w:sz w:val="28"/>
          <w:szCs w:val="28"/>
          <w:lang w:val="en-US" w:eastAsia="zh-CN"/>
        </w:rPr>
        <w:t>0.45</w:t>
      </w:r>
      <w:r>
        <w:rPr>
          <w:rFonts w:hint="eastAsia" w:ascii="仿宋_GB2312" w:eastAsia="仿宋_GB2312"/>
          <w:sz w:val="28"/>
          <w:szCs w:val="28"/>
        </w:rPr>
        <w:t>万元。</w:t>
      </w:r>
      <w:bookmarkStart w:id="0" w:name="_GoBack"/>
      <w:bookmarkEnd w:id="0"/>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7.87</w:t>
      </w:r>
      <w:r>
        <w:rPr>
          <w:rFonts w:hint="eastAsia" w:ascii="仿宋_GB2312" w:eastAsia="仿宋_GB2312"/>
          <w:sz w:val="28"/>
          <w:szCs w:val="28"/>
        </w:rPr>
        <w:t>万元，比上年增加</w:t>
      </w:r>
      <w:r>
        <w:rPr>
          <w:rFonts w:hint="eastAsia" w:ascii="仿宋_GB2312" w:eastAsia="仿宋_GB2312"/>
          <w:sz w:val="28"/>
          <w:szCs w:val="28"/>
          <w:lang w:val="en-US" w:eastAsia="zh-CN"/>
        </w:rPr>
        <w:t>1.27</w:t>
      </w:r>
      <w:r>
        <w:rPr>
          <w:rFonts w:hint="eastAsia" w:ascii="仿宋_GB2312" w:eastAsia="仿宋_GB2312"/>
          <w:sz w:val="28"/>
          <w:szCs w:val="28"/>
        </w:rPr>
        <w:t>万元，增加原因：</w:t>
      </w:r>
      <w:r>
        <w:rPr>
          <w:rFonts w:hint="eastAsia" w:ascii="仿宋_GB2312" w:eastAsia="仿宋_GB2312"/>
          <w:sz w:val="28"/>
          <w:szCs w:val="28"/>
          <w:lang w:val="en-US" w:eastAsia="zh-CN"/>
        </w:rPr>
        <w:t>本年在职人员增加3人，公用经费支出增加</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0</w:t>
      </w:r>
      <w:r>
        <w:rPr>
          <w:rFonts w:hint="eastAsia" w:ascii="仿宋_GB2312" w:eastAsia="仿宋_GB2312"/>
          <w:sz w:val="28"/>
          <w:szCs w:val="28"/>
        </w:rPr>
        <w:t>万元，其中：政府采购货物支出</w:t>
      </w:r>
      <w:r>
        <w:rPr>
          <w:rFonts w:ascii="仿宋_GB2312" w:eastAsia="仿宋_GB2312"/>
          <w:sz w:val="28"/>
          <w:szCs w:val="28"/>
        </w:rPr>
        <w:t>0</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0</w:t>
      </w:r>
      <w:r>
        <w:rPr>
          <w:rFonts w:hint="eastAsia" w:ascii="仿宋_GB2312" w:eastAsia="仿宋_GB2312"/>
          <w:sz w:val="28"/>
          <w:szCs w:val="28"/>
        </w:rPr>
        <w:t>万元。授予中小企业合同金额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rPr>
        <w:t>%，其中：授予小微企业合同金额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12月31日，我单位</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1</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11.21</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numPr>
          <w:ilvl w:val="0"/>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ind w:left="0" w:leftChars="0" w:firstLine="0" w:firstLineChars="0"/>
        <w:rPr>
          <w:rFonts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ind w:firstLine="560" w:firstLineChars="200"/>
        <w:rPr>
          <w:rFonts w:hint="eastAsia" w:ascii="黑体" w:eastAsia="黑体"/>
          <w:sz w:val="28"/>
          <w:szCs w:val="28"/>
          <w:highlight w:val="yellow"/>
        </w:rPr>
      </w:pPr>
    </w:p>
    <w:p>
      <w:pPr>
        <w:ind w:firstLine="420" w:firstLineChars="150"/>
        <w:rPr>
          <w:rFonts w:hint="default" w:ascii="仿宋_GB2312" w:eastAsia="仿宋_GB2312"/>
          <w:sz w:val="28"/>
          <w:szCs w:val="28"/>
          <w:lang w:val="en-US" w:eastAsia="zh-CN"/>
        </w:rPr>
      </w:pPr>
      <w:r>
        <w:rPr>
          <w:rFonts w:hint="eastAsia" w:ascii="仿宋_GB2312" w:eastAsia="仿宋_GB2312"/>
          <w:sz w:val="28"/>
          <w:szCs w:val="28"/>
          <w:lang w:val="en-US" w:eastAsia="zh-CN"/>
        </w:rPr>
        <w:t>本单位不涉及绩效评价</w:t>
      </w:r>
    </w:p>
    <w:p>
      <w:pPr>
        <w:rPr>
          <w:rFonts w:hint="eastAsia"/>
        </w:rPr>
      </w:pPr>
    </w:p>
    <w:p>
      <w:pPr>
        <w:pStyle w:val="3"/>
        <w:rPr>
          <w:rFonts w:hint="eastAsia"/>
        </w:rPr>
      </w:pPr>
    </w:p>
    <w:p>
      <w:pPr>
        <w:rPr>
          <w:rFonts w:hint="eastAsia"/>
        </w:rPr>
      </w:pPr>
    </w:p>
    <w:p>
      <w:pPr>
        <w:pStyle w:val="2"/>
        <w:ind w:left="0" w:leftChars="0" w:firstLine="0" w:firstLineChars="0"/>
        <w:rPr>
          <w:rFonts w:hint="eastAsia"/>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23</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79004AC"/>
    <w:rsid w:val="0EAB6FF0"/>
    <w:rsid w:val="0F8E2C57"/>
    <w:rsid w:val="0FF879F9"/>
    <w:rsid w:val="1059665E"/>
    <w:rsid w:val="10AC13BA"/>
    <w:rsid w:val="181301A7"/>
    <w:rsid w:val="1AEC0734"/>
    <w:rsid w:val="1DEF20B0"/>
    <w:rsid w:val="214243FA"/>
    <w:rsid w:val="257A14F5"/>
    <w:rsid w:val="27196C26"/>
    <w:rsid w:val="29EF086F"/>
    <w:rsid w:val="2D9E5712"/>
    <w:rsid w:val="2EFFE297"/>
    <w:rsid w:val="301437CA"/>
    <w:rsid w:val="325C51DA"/>
    <w:rsid w:val="433E495C"/>
    <w:rsid w:val="436910BB"/>
    <w:rsid w:val="4AC27CB3"/>
    <w:rsid w:val="4BF72BEF"/>
    <w:rsid w:val="509A481D"/>
    <w:rsid w:val="51DB3C59"/>
    <w:rsid w:val="55762E42"/>
    <w:rsid w:val="57A7B272"/>
    <w:rsid w:val="57E853DA"/>
    <w:rsid w:val="58470068"/>
    <w:rsid w:val="5A1720F9"/>
    <w:rsid w:val="5B9C37C2"/>
    <w:rsid w:val="5BA7C654"/>
    <w:rsid w:val="5D8163D1"/>
    <w:rsid w:val="63667195"/>
    <w:rsid w:val="64C0607C"/>
    <w:rsid w:val="676F09E1"/>
    <w:rsid w:val="6E1DD6B5"/>
    <w:rsid w:val="77FFF19E"/>
    <w:rsid w:val="7A7F1C49"/>
    <w:rsid w:val="7B330394"/>
    <w:rsid w:val="7B5B7AE6"/>
    <w:rsid w:val="7BA7071E"/>
    <w:rsid w:val="7BDF6DA8"/>
    <w:rsid w:val="7C7EDC1A"/>
    <w:rsid w:val="7CCED98D"/>
    <w:rsid w:val="7D08410F"/>
    <w:rsid w:val="7DB96DED"/>
    <w:rsid w:val="7DD3AD81"/>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 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chart" Target="charts/chart2.xml"/><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2024\&#20915;&#31639;&#33609;&#26696;\2023-402008-&#21271;&#20140;&#24066;&#23494;&#20113;&#21306;&#27700;&#20135;&#25216;&#26415;&#25512;&#24191;&#31449;&#20915;&#31639;&#33609;&#26696;&#34920;(2)\2023-402008-&#21271;&#20140;&#24066;&#23494;&#20113;&#21306;&#27700;&#20135;&#25216;&#26415;&#25512;&#24191;&#31449;&#20915;&#31639;&#33609;&#26696;&#25253;&#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bg1">
                  <a:lumMod val="50000"/>
                </a:schemeClr>
              </a:solidFill>
              <a:latin typeface="+mn-lt"/>
              <a:ea typeface="+mn-ea"/>
              <a:cs typeface="+mn-cs"/>
            </a:defRPr>
          </a:pPr>
        </a:p>
      </c:txPr>
    </c:title>
    <c:autoTitleDeleted val="0"/>
    <c:plotArea>
      <c:layout/>
      <c:pieChart>
        <c:varyColors val="1"/>
        <c:ser>
          <c:idx val="0"/>
          <c:order val="0"/>
          <c:tx>
            <c:strRef>
              <c:f>Sheet1!$B$1</c:f>
              <c:strCache>
                <c:ptCount val="1"/>
                <c:pt idx="0">
                  <c:v>收入决算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附属单位收入</c:v>
                </c:pt>
                <c:pt idx="5">
                  <c:v>其他收入</c:v>
                </c:pt>
              </c:strCache>
            </c:strRef>
          </c:cat>
          <c:val>
            <c:numRef>
              <c:f>Sheet1!$B$2:$B$7</c:f>
              <c:numCache>
                <c:formatCode>General</c:formatCode>
                <c:ptCount val="6"/>
                <c:pt idx="0">
                  <c:v>100</c:v>
                </c:pt>
                <c:pt idx="1">
                  <c:v>0</c:v>
                </c:pt>
                <c:pt idx="2">
                  <c:v>0</c:v>
                </c:pt>
                <c:pt idx="3">
                  <c:v>0</c:v>
                </c:pt>
                <c:pt idx="4">
                  <c:v>0</c:v>
                </c:pt>
                <c:pt idx="5">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5"/>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'[2023-402008-北京市密云区水产技术推广站决算草案报表.xls]Sheet1'!$A$1:$A$2</c:f>
              <c:strCache>
                <c:ptCount val="2"/>
                <c:pt idx="0">
                  <c:v>基本支出</c:v>
                </c:pt>
                <c:pt idx="1">
                  <c:v>项目支出</c:v>
                </c:pt>
              </c:strCache>
            </c:strRef>
          </c:cat>
          <c:val>
            <c:numRef>
              <c:f>'[2023-402008-北京市密云区水产技术推广站决算草案报表.xls]Sheet1'!$B$1:$B$2</c:f>
              <c:numCache>
                <c:formatCode>0.00%</c:formatCode>
                <c:ptCount val="2"/>
                <c:pt idx="0">
                  <c:v>0.9231</c:v>
                </c:pt>
                <c:pt idx="1">
                  <c:v>0.0769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21</TotalTime>
  <ScaleCrop>false</ScaleCrop>
  <LinksUpToDate>false</LinksUpToDate>
  <CharactersWithSpaces>6114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Administrator</cp:lastModifiedBy>
  <cp:lastPrinted>2020-08-08T03:39:00Z</cp:lastPrinted>
  <dcterms:modified xsi:type="dcterms:W3CDTF">2024-07-03T07:55:39Z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C53E0049DD7D4F56A956C4A3BA3D12CC_13</vt:lpwstr>
  </property>
</Properties>
</file>