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32"/>
          <w:szCs w:val="32"/>
        </w:rPr>
      </w:pPr>
    </w:p>
    <w:p>
      <w:pPr>
        <w:jc w:val="center"/>
        <w:rPr>
          <w:rFonts w:hint="eastAsia" w:ascii="黑体" w:eastAsia="黑体"/>
          <w:sz w:val="72"/>
          <w:szCs w:val="72"/>
        </w:rPr>
      </w:pPr>
    </w:p>
    <w:p>
      <w:pPr>
        <w:jc w:val="center"/>
        <w:rPr>
          <w:rFonts w:ascii="黑体" w:eastAsia="黑体"/>
          <w:sz w:val="72"/>
          <w:szCs w:val="72"/>
        </w:rPr>
      </w:pPr>
    </w:p>
    <w:p>
      <w:pPr>
        <w:jc w:val="center"/>
        <w:rPr>
          <w:rFonts w:hint="eastAsia" w:ascii="黑体" w:eastAsia="黑体"/>
          <w:sz w:val="72"/>
          <w:szCs w:val="72"/>
        </w:rPr>
      </w:pPr>
    </w:p>
    <w:p>
      <w:pPr>
        <w:jc w:val="center"/>
        <w:rPr>
          <w:rFonts w:hint="eastAsia" w:ascii="黑体" w:eastAsia="黑体"/>
          <w:sz w:val="72"/>
          <w:szCs w:val="72"/>
        </w:rPr>
      </w:pPr>
    </w:p>
    <w:p>
      <w:pPr>
        <w:jc w:val="center"/>
        <w:rPr>
          <w:rFonts w:hint="eastAsia" w:ascii="黑体" w:eastAsia="黑体"/>
          <w:sz w:val="72"/>
          <w:szCs w:val="72"/>
          <w:lang w:eastAsia="zh-CN"/>
        </w:rPr>
      </w:pPr>
      <w:r>
        <w:rPr>
          <w:rFonts w:hint="eastAsia" w:ascii="黑体" w:eastAsia="黑体"/>
          <w:sz w:val="72"/>
          <w:szCs w:val="72"/>
          <w:lang w:eastAsia="zh-CN"/>
        </w:rPr>
        <w:t>北京市密云区统计局</w:t>
      </w:r>
    </w:p>
    <w:p>
      <w:pPr>
        <w:jc w:val="center"/>
        <w:rPr>
          <w:rFonts w:ascii="黑体" w:eastAsia="黑体"/>
          <w:sz w:val="52"/>
          <w:szCs w:val="52"/>
        </w:rPr>
      </w:pPr>
      <w:r>
        <w:rPr>
          <w:rFonts w:hint="eastAsia" w:ascii="黑体" w:eastAsia="黑体"/>
          <w:sz w:val="72"/>
          <w:szCs w:val="72"/>
        </w:rPr>
        <w:t>202</w:t>
      </w:r>
      <w:r>
        <w:rPr>
          <w:rFonts w:hint="eastAsia" w:ascii="黑体" w:eastAsia="黑体"/>
          <w:sz w:val="72"/>
          <w:szCs w:val="72"/>
          <w:lang w:val="en-US" w:eastAsia="zh-CN"/>
        </w:rPr>
        <w:t>3</w:t>
      </w:r>
      <w:r>
        <w:rPr>
          <w:rFonts w:hint="eastAsia" w:ascii="黑体" w:eastAsia="黑体"/>
          <w:sz w:val="72"/>
          <w:szCs w:val="72"/>
        </w:rPr>
        <w:t>年度部门决算</w:t>
      </w: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hint="eastAsia" w:ascii="黑体" w:eastAsia="黑体"/>
          <w:sz w:val="32"/>
          <w:szCs w:val="32"/>
        </w:rPr>
      </w:pPr>
    </w:p>
    <w:p>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pPr>
        <w:spacing w:line="500" w:lineRule="exact"/>
        <w:ind w:firstLine="645"/>
        <w:jc w:val="center"/>
        <w:rPr>
          <w:rFonts w:hint="eastAsia" w:ascii="宋体" w:hAnsi="宋体" w:cs="宋体"/>
          <w:b/>
          <w:bCs/>
          <w:kern w:val="0"/>
          <w:sz w:val="36"/>
          <w:szCs w:val="36"/>
        </w:rPr>
      </w:pP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hint="eastAsia" w:ascii="宋体" w:hAnsi="宋体" w:cs="宋体"/>
          <w:bCs/>
          <w:spacing w:val="40"/>
          <w:kern w:val="0"/>
          <w:sz w:val="32"/>
          <w:szCs w:val="32"/>
          <w:lang w:val="en-US" w:eastAsia="zh-CN"/>
        </w:rPr>
        <w:t>3</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十二、政府采购情况表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十三、政府购买服务决算公开情况表</w:t>
      </w: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年度部门决算说明</w:t>
      </w:r>
    </w:p>
    <w:p>
      <w:pPr>
        <w:tabs>
          <w:tab w:val="center" w:pos="6979"/>
        </w:tabs>
        <w:spacing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line="500" w:lineRule="exact"/>
        <w:ind w:firstLine="1600" w:firstLineChars="400"/>
        <w:jc w:val="left"/>
        <w:rPr>
          <w:rFonts w:hint="eastAsia" w:ascii="宋体" w:hAnsi="宋体" w:cs="宋体"/>
          <w:b/>
          <w:bCs/>
          <w:spacing w:val="40"/>
          <w:kern w:val="0"/>
          <w:sz w:val="32"/>
          <w:szCs w:val="32"/>
        </w:rPr>
      </w:pPr>
      <w:r>
        <w:rPr>
          <w:rFonts w:hint="eastAsia" w:ascii="宋体" w:hAnsi="宋体" w:cs="宋体"/>
          <w:spacing w:val="40"/>
          <w:kern w:val="0"/>
          <w:sz w:val="32"/>
          <w:szCs w:val="32"/>
        </w:rPr>
        <w:t>第四部分 202</w:t>
      </w:r>
      <w:r>
        <w:rPr>
          <w:rFonts w:hint="eastAsia" w:ascii="宋体" w:hAnsi="宋体" w:cs="宋体"/>
          <w:spacing w:val="40"/>
          <w:kern w:val="0"/>
          <w:sz w:val="32"/>
          <w:szCs w:val="32"/>
          <w:lang w:val="en-US" w:eastAsia="zh-CN"/>
        </w:rPr>
        <w:t>3</w:t>
      </w:r>
      <w:r>
        <w:rPr>
          <w:rFonts w:hint="eastAsia" w:ascii="宋体" w:hAnsi="宋体" w:cs="宋体"/>
          <w:spacing w:val="40"/>
          <w:kern w:val="0"/>
          <w:sz w:val="32"/>
          <w:szCs w:val="32"/>
        </w:rPr>
        <w:t>年度部门绩效评价情况</w:t>
      </w: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44"/>
          <w:szCs w:val="44"/>
        </w:rPr>
      </w:pPr>
      <w:r>
        <w:rPr>
          <w:rFonts w:hint="eastAsia" w:ascii="宋体" w:hAnsi="宋体" w:cs="宋体"/>
          <w:b/>
          <w:bCs/>
          <w:spacing w:val="40"/>
          <w:kern w:val="0"/>
          <w:sz w:val="44"/>
          <w:szCs w:val="44"/>
        </w:rPr>
        <w:t>第一部分 202</w:t>
      </w:r>
      <w:r>
        <w:rPr>
          <w:rFonts w:hint="default" w:ascii="宋体" w:hAnsi="宋体" w:cs="宋体"/>
          <w:b/>
          <w:bCs/>
          <w:spacing w:val="40"/>
          <w:kern w:val="0"/>
          <w:sz w:val="44"/>
          <w:szCs w:val="44"/>
          <w:lang w:val="en"/>
        </w:rPr>
        <w:t>3</w:t>
      </w:r>
      <w:r>
        <w:rPr>
          <w:rFonts w:hint="eastAsia" w:ascii="宋体" w:hAnsi="宋体" w:cs="宋体"/>
          <w:b/>
          <w:bCs/>
          <w:spacing w:val="40"/>
          <w:kern w:val="0"/>
          <w:sz w:val="44"/>
          <w:szCs w:val="44"/>
        </w:rPr>
        <w:t>年度部门决算报表</w:t>
      </w: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tbl>
      <w:tblPr>
        <w:tblStyle w:val="16"/>
        <w:tblW w:w="1011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24"/>
        <w:gridCol w:w="724"/>
        <w:gridCol w:w="724"/>
        <w:gridCol w:w="740"/>
        <w:gridCol w:w="1118"/>
        <w:gridCol w:w="1118"/>
        <w:gridCol w:w="679"/>
        <w:gridCol w:w="679"/>
        <w:gridCol w:w="679"/>
        <w:gridCol w:w="695"/>
        <w:gridCol w:w="1122"/>
        <w:gridCol w:w="11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8" w:hRule="atLeast"/>
          <w:jc w:val="center"/>
        </w:trPr>
        <w:tc>
          <w:tcPr>
            <w:tcW w:w="10114"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72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2"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9002" w:type="dxa"/>
            <w:gridSpan w:val="11"/>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单位名称：北京市密云区统计局（本级）</w:t>
            </w:r>
          </w:p>
        </w:tc>
        <w:tc>
          <w:tcPr>
            <w:tcW w:w="1112"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5148"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收入</w:t>
            </w:r>
          </w:p>
        </w:tc>
        <w:tc>
          <w:tcPr>
            <w:tcW w:w="4966"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项目</w:t>
            </w:r>
          </w:p>
        </w:tc>
        <w:tc>
          <w:tcPr>
            <w:tcW w:w="111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年初预算数</w:t>
            </w:r>
          </w:p>
        </w:tc>
        <w:tc>
          <w:tcPr>
            <w:tcW w:w="111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决算数</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项目（按功能分类）</w:t>
            </w:r>
          </w:p>
        </w:tc>
        <w:tc>
          <w:tcPr>
            <w:tcW w:w="112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年初预算数</w:t>
            </w:r>
          </w:p>
        </w:tc>
        <w:tc>
          <w:tcPr>
            <w:tcW w:w="11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一、一般公共预算财政拨款收入</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1,724.772013</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2,024.698083</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一、一般公共服务支出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1,313.459015</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1,675.764733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二、政府性基金预算财政拨款收入</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0.000000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0.000000</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二、外交支出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三、国有资本经营预算财政拨款收入</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0.000000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0.000000</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三、国防支出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四、上级补助收入</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0.000000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0.000000</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四、公共安全支出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五、事业收入</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0.000000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0.000000</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五、教育支出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六、经营收入</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0.000000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0.000000</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六、科学技术支出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七、附属单位上缴收入</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0.000000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0.000000</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七、文化旅游体育与传媒支出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八、其他收入</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0.000000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0.000000</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八、社会保障和就业支出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268.974336</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225.772609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auto"/>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九、卫生健康支出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142.338662</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126.560741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auto"/>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十、节能环保支出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auto"/>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十一、城乡社区支出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auto"/>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十二、农林水支出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auto"/>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十三、交通运输支出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auto"/>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十四、资源勘探工业信息等支出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auto"/>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十五、商业服务业等支出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auto"/>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十六、金融支出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auto"/>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十七、援助其他地区支出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auto"/>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十八、自然资源海洋气象等支出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auto"/>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十九、住房保障支出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二十、粮油物资储备支出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二十一、国有资本经营预算支出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二十二、灾害防治及应急管理支出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二十三、其他支出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二十四、债务还本支出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二十五、债务付息支出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二十六、抗疫特别国债安排的支出</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1,724.772013</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2,024.698083</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1,724.772013</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2,053.098083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年初结转和结余</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28.400000</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结余分配</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年末结转和结余</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9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1,724.772013</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2,053.098083</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1,724.772013</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2,053.098083</w:t>
            </w:r>
          </w:p>
        </w:tc>
      </w:tr>
    </w:tbl>
    <w:tbl>
      <w:tblPr>
        <w:tblStyle w:val="16"/>
        <w:tblpPr w:leftFromText="180" w:rightFromText="180" w:vertAnchor="text" w:horzAnchor="page" w:tblpXSpec="center" w:tblpY="753"/>
        <w:tblOverlap w:val="never"/>
        <w:tblW w:w="1243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13"/>
        <w:gridCol w:w="613"/>
        <w:gridCol w:w="613"/>
        <w:gridCol w:w="2912"/>
        <w:gridCol w:w="1241"/>
        <w:gridCol w:w="1241"/>
        <w:gridCol w:w="1116"/>
        <w:gridCol w:w="838"/>
        <w:gridCol w:w="838"/>
        <w:gridCol w:w="1477"/>
        <w:gridCol w:w="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8" w:hRule="atLeast"/>
          <w:jc w:val="center"/>
        </w:trPr>
        <w:tc>
          <w:tcPr>
            <w:tcW w:w="12437"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61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1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4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4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35"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11502" w:type="dxa"/>
            <w:gridSpan w:val="10"/>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单位名称：北京市密云区统计局（本级）</w:t>
            </w:r>
          </w:p>
        </w:tc>
        <w:tc>
          <w:tcPr>
            <w:tcW w:w="935"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75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本年收入合计</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财政拨款收入</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上级补助收入</w:t>
            </w: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事业收入</w:t>
            </w: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经营收入</w:t>
            </w:r>
          </w:p>
        </w:tc>
        <w:tc>
          <w:tcPr>
            <w:tcW w:w="1477"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附属单位上缴收入</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29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124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111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83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83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147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29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24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2,024.698083</w:t>
            </w:r>
          </w:p>
        </w:tc>
        <w:tc>
          <w:tcPr>
            <w:tcW w:w="124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2,024.698083</w:t>
            </w:r>
          </w:p>
        </w:tc>
        <w:tc>
          <w:tcPr>
            <w:tcW w:w="111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一般公共服务支出</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1,667.364733</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1,667.364733</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20105</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统计信息事务</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1,667.364733</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1,667.364733</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2010501</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1,311.046879</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1,311.046879</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2010507</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专项普查活动</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328.133481</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328.133481</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2010508</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统计抽样调查</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10.364373</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10.364373</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2010599</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其他统计信息事务支出</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17.820000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17.820000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社会保障和就业支出</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225.772609</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225.772609</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20805</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行政事业单位养老支出</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225.772609</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225.772609</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行政单位离退休</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28.962000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28.962000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131.207993</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131.207993</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65.602616</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65.602616</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卫生健康支出</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126.560741</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126.560741</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21011</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行政事业单位医疗</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126.560741</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126.560741</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行政单位医疗</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126.560741</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126.560741</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211</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节能环保支出</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5.000000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5.000000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21103</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污染防治</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5.000000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5.000000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2110301</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大气</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tabs>
          <w:tab w:val="center" w:pos="6979"/>
        </w:tabs>
        <w:spacing w:before="156" w:beforeLines="50" w:after="156" w:afterLines="50"/>
        <w:jc w:val="both"/>
        <w:rPr>
          <w:rFonts w:hint="eastAsia" w:ascii="宋体" w:hAnsi="宋体" w:cs="宋体"/>
          <w:b/>
          <w:bCs/>
          <w:spacing w:val="40"/>
          <w:kern w:val="0"/>
          <w:sz w:val="32"/>
          <w:szCs w:val="32"/>
        </w:rPr>
      </w:pPr>
    </w:p>
    <w:p>
      <w:pPr>
        <w:pStyle w:val="2"/>
        <w:rPr>
          <w:rFonts w:hint="eastAsia"/>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both"/>
        <w:rPr>
          <w:rFonts w:hint="eastAsia" w:ascii="宋体" w:hAnsi="宋体" w:cs="宋体"/>
          <w:b/>
          <w:bCs/>
          <w:spacing w:val="40"/>
          <w:kern w:val="0"/>
          <w:sz w:val="32"/>
          <w:szCs w:val="32"/>
        </w:rPr>
      </w:pPr>
    </w:p>
    <w:tbl>
      <w:tblPr>
        <w:tblStyle w:val="16"/>
        <w:tblpPr w:leftFromText="180" w:rightFromText="180" w:vertAnchor="text" w:horzAnchor="page" w:tblpXSpec="center" w:tblpY="621"/>
        <w:tblOverlap w:val="never"/>
        <w:tblW w:w="1188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13"/>
        <w:gridCol w:w="613"/>
        <w:gridCol w:w="613"/>
        <w:gridCol w:w="2912"/>
        <w:gridCol w:w="1241"/>
        <w:gridCol w:w="1241"/>
        <w:gridCol w:w="1039"/>
        <w:gridCol w:w="1116"/>
        <w:gridCol w:w="838"/>
        <w:gridCol w:w="1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8" w:hRule="atLeast"/>
          <w:jc w:val="center"/>
        </w:trPr>
        <w:tc>
          <w:tcPr>
            <w:tcW w:w="11883"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61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1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4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4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3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57"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10226"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单位名称：北京市密云区统计局（本级）</w:t>
            </w:r>
          </w:p>
        </w:tc>
        <w:tc>
          <w:tcPr>
            <w:tcW w:w="1657"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75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本年支出合计</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1039"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上缴上级支出</w:t>
            </w: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经营支出</w:t>
            </w:r>
          </w:p>
        </w:tc>
        <w:tc>
          <w:tcPr>
            <w:tcW w:w="1657"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29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124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103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111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83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165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29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24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2,053.098083</w:t>
            </w:r>
          </w:p>
        </w:tc>
        <w:tc>
          <w:tcPr>
            <w:tcW w:w="124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1,663.380229</w:t>
            </w:r>
          </w:p>
        </w:tc>
        <w:tc>
          <w:tcPr>
            <w:tcW w:w="103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389.717854</w:t>
            </w:r>
          </w:p>
        </w:tc>
        <w:tc>
          <w:tcPr>
            <w:tcW w:w="111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65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一般公共服务支出</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1,675.764733</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1,311.046879</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364.717854</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20105</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统计信息事务</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1,675.764733</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1,311.046879</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364.717854</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2010501</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1,311.046879</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1,311.046879</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2010502</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一般行政管理事务</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8.400000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8.400000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2010507</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专项普查活动</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328.133481</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328.133481</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2010508</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统计抽样调查</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10.364373</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10.364373</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2010599</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其他统计信息事务支出</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17.820000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17.820000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社会保障和就业支出</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225.772609</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225.772609</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20805</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行政事业单位养老支出</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225.772609</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225.772609</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行政单位离退休</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28.962000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28.962000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131.207993</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131.207993</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65.602616</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65.602616</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卫生健康支出</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126.560741</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126.560741</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21011</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行政事业单位医疗</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126.560741</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126.560741</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行政单位医疗</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126.560741</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126.560741</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211</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节能环保支出</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5.000000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5.000000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21103</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污染防治</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5.000000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5.000000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2110301</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大气</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农林水支出</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20.000000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20.000000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21399</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其他农林水支出</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20.000000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20.000000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2139999</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其他农林水支出</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tbl>
      <w:tblPr>
        <w:tblStyle w:val="16"/>
        <w:tblW w:w="1377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34"/>
        <w:gridCol w:w="634"/>
        <w:gridCol w:w="634"/>
        <w:gridCol w:w="650"/>
        <w:gridCol w:w="1112"/>
        <w:gridCol w:w="1112"/>
        <w:gridCol w:w="679"/>
        <w:gridCol w:w="679"/>
        <w:gridCol w:w="679"/>
        <w:gridCol w:w="695"/>
        <w:gridCol w:w="1112"/>
        <w:gridCol w:w="1112"/>
        <w:gridCol w:w="1119"/>
        <w:gridCol w:w="900"/>
        <w:gridCol w:w="1009"/>
        <w:gridCol w:w="1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8" w:hRule="atLeast"/>
          <w:jc w:val="center"/>
        </w:trPr>
        <w:tc>
          <w:tcPr>
            <w:tcW w:w="13770" w:type="dxa"/>
            <w:gridSpan w:val="1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63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1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12760" w:type="dxa"/>
            <w:gridSpan w:val="15"/>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单位名称：北京市密云区统计局（本级）</w:t>
            </w:r>
          </w:p>
        </w:tc>
        <w:tc>
          <w:tcPr>
            <w:tcW w:w="101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776"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w:t>
            </w:r>
          </w:p>
        </w:tc>
        <w:tc>
          <w:tcPr>
            <w:tcW w:w="8994" w:type="dxa"/>
            <w:gridSpan w:val="10"/>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222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2732" w:type="dxa"/>
            <w:gridSpan w:val="4"/>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项目（按功能分类）</w:t>
            </w:r>
          </w:p>
        </w:tc>
        <w:tc>
          <w:tcPr>
            <w:tcW w:w="222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一般公共预算财政拨款</w:t>
            </w:r>
          </w:p>
        </w:tc>
        <w:tc>
          <w:tcPr>
            <w:tcW w:w="201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政府性基金预算财政拨款</w:t>
            </w:r>
          </w:p>
        </w:tc>
        <w:tc>
          <w:tcPr>
            <w:tcW w:w="201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国有资本经营预算财政拨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1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1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111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90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100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01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1,724.772013</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2,024.698083</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1,313.459015</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1,675.764733</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三、国有资本经营预算财政拨款</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268.974336</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225.772609</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九、卫生健康支出</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142.338662</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126.560741</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十、节能环保支出</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十一、城乡社区支出</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十二、农林水支出</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十三、交通运输支出</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十四、资源勘探工业信息等支出</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十五、商业服务业等支出</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十六、金融支出</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十七、援助其他地区支出</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十八、自然资源海洋气象等支出</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十九、住房保障支出</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二十、粮油物资储备支出</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二十一、国有资本经营预算支出</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二十二、灾害防治及应急管理支出</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二十三、其他支出</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二十四、债务还本支出</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二十五、债务付息支出</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二十六、抗疫特别国债安排的支出</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1,724.772013</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2,024.698083</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1,724.772013</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2,053.098083</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年初财政拨款结转和结余</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28.400000</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年末财政拨款结转和结余</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28.400000</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三、国有资本经营预算财政拨款</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1,724.772013</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2,053.098083</w:t>
            </w:r>
          </w:p>
        </w:tc>
        <w:tc>
          <w:tcPr>
            <w:tcW w:w="2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1,724.772013</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2,053.098083</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tabs>
          <w:tab w:val="center" w:pos="6979"/>
        </w:tabs>
        <w:spacing w:before="156" w:beforeLines="50" w:after="156" w:afterLines="50"/>
        <w:jc w:val="both"/>
        <w:rPr>
          <w:rFonts w:hint="eastAsia" w:ascii="宋体" w:hAnsi="宋体" w:cs="宋体"/>
          <w:b/>
          <w:bCs/>
          <w:spacing w:val="40"/>
          <w:kern w:val="0"/>
          <w:sz w:val="15"/>
          <w:szCs w:val="15"/>
        </w:rPr>
      </w:pPr>
    </w:p>
    <w:tbl>
      <w:tblPr>
        <w:tblStyle w:val="16"/>
        <w:tblW w:w="1442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13"/>
        <w:gridCol w:w="613"/>
        <w:gridCol w:w="613"/>
        <w:gridCol w:w="2912"/>
        <w:gridCol w:w="1296"/>
        <w:gridCol w:w="1241"/>
        <w:gridCol w:w="1241"/>
        <w:gridCol w:w="1241"/>
        <w:gridCol w:w="1039"/>
        <w:gridCol w:w="838"/>
        <w:gridCol w:w="1116"/>
        <w:gridCol w:w="16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8" w:hRule="atLeast"/>
          <w:jc w:val="center"/>
        </w:trPr>
        <w:tc>
          <w:tcPr>
            <w:tcW w:w="14421"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61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1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9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4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4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4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3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8"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1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10809"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单位名称：北京市密云区统计局（本级）</w:t>
            </w:r>
          </w:p>
        </w:tc>
        <w:tc>
          <w:tcPr>
            <w:tcW w:w="83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58"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75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年初结转和结余</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w:t>
            </w:r>
          </w:p>
        </w:tc>
        <w:tc>
          <w:tcPr>
            <w:tcW w:w="352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w:t>
            </w:r>
          </w:p>
        </w:tc>
        <w:tc>
          <w:tcPr>
            <w:tcW w:w="3612"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年末结转结余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29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24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103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c>
          <w:tcPr>
            <w:tcW w:w="83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11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基本支出结转</w:t>
            </w:r>
          </w:p>
        </w:tc>
        <w:tc>
          <w:tcPr>
            <w:tcW w:w="165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129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124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124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103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83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c>
          <w:tcPr>
            <w:tcW w:w="111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w:t>
            </w:r>
          </w:p>
        </w:tc>
        <w:tc>
          <w:tcPr>
            <w:tcW w:w="165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29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29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28.400000</w:t>
            </w:r>
          </w:p>
        </w:tc>
        <w:tc>
          <w:tcPr>
            <w:tcW w:w="124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2,024.698083</w:t>
            </w:r>
          </w:p>
        </w:tc>
        <w:tc>
          <w:tcPr>
            <w:tcW w:w="124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2,053.098083</w:t>
            </w:r>
          </w:p>
        </w:tc>
        <w:tc>
          <w:tcPr>
            <w:tcW w:w="124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1,663.380229</w:t>
            </w:r>
          </w:p>
        </w:tc>
        <w:tc>
          <w:tcPr>
            <w:tcW w:w="103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389.717854</w:t>
            </w:r>
          </w:p>
        </w:tc>
        <w:tc>
          <w:tcPr>
            <w:tcW w:w="83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一般公共服务支出</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8.400000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1,667.364733</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1,675.764733</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1,311.046879</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364.717854</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20105</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统计信息事务</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8.400000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1,667.364733</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1,675.764733</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1,311.046879</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364.717854</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2010501</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1,311.046879</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1,311.046879</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1,311.046879</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2010502</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一般行政管理事务</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8.400000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8.400000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2010507</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专项普查活动</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328.133481</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328.133481</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328.133481</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2010508</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统计抽样调查</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10.364373</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10.364373</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10.364373</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2010599</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其他统计信息事务支出</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17.820000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17.820000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17.820000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社会保障和就业支出</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225.772609</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225.772609</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225.772609</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20805</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行政事业单位养老支出</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225.772609</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225.772609</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225.772609</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行政单位离退休</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28.962000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28.962000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28.962000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131.207993</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131.207993</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131.207993</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65.602616</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65.602616</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65.602616</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卫生健康支出</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126.560741</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126.560741</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126.560741</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21011</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行政事业单位医疗</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126.560741</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126.560741</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126.560741</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行政单位医疗</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126.560741</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126.560741</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126.560741</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211</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节能环保支出</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5.000000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5.000000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21103</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污染防治</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5.000000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5.000000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2110301</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大气</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农林水支出</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20.000000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20.000000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21399</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其他农林水支出</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20.000000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20.000000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2139999</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其他农林水支出</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tabs>
          <w:tab w:val="center" w:pos="6979"/>
        </w:tabs>
        <w:spacing w:before="156" w:beforeLines="50" w:after="156" w:afterLines="50"/>
        <w:jc w:val="both"/>
        <w:rPr>
          <w:rFonts w:hint="eastAsia" w:ascii="宋体" w:hAnsi="宋体" w:cs="宋体"/>
          <w:b/>
          <w:bCs/>
          <w:spacing w:val="40"/>
          <w:kern w:val="0"/>
          <w:sz w:val="32"/>
          <w:szCs w:val="32"/>
          <w:lang w:val="en-US" w:eastAsia="zh-CN"/>
        </w:rPr>
      </w:pPr>
      <w:r>
        <w:rPr>
          <w:rFonts w:hint="eastAsia" w:ascii="宋体" w:hAnsi="宋体" w:cs="宋体"/>
          <w:b/>
          <w:bCs/>
          <w:spacing w:val="40"/>
          <w:kern w:val="0"/>
          <w:sz w:val="32"/>
          <w:szCs w:val="32"/>
          <w:lang w:val="en-US" w:eastAsia="zh-CN"/>
        </w:rPr>
        <w:t xml:space="preserve"> </w:t>
      </w:r>
    </w:p>
    <w:tbl>
      <w:tblPr>
        <w:tblStyle w:val="16"/>
        <w:tblW w:w="1064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13"/>
        <w:gridCol w:w="613"/>
        <w:gridCol w:w="613"/>
        <w:gridCol w:w="2912"/>
        <w:gridCol w:w="2372"/>
        <w:gridCol w:w="1241"/>
        <w:gridCol w:w="1241"/>
        <w:gridCol w:w="10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8" w:hRule="atLeast"/>
          <w:jc w:val="center"/>
        </w:trPr>
        <w:tc>
          <w:tcPr>
            <w:tcW w:w="10644"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61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1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37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4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4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39"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9605"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单位名称：北京市密云区统计局（本级）</w:t>
            </w:r>
          </w:p>
        </w:tc>
        <w:tc>
          <w:tcPr>
            <w:tcW w:w="1039"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75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237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单位名称</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1039"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29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237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237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103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29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237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2,053.098083</w:t>
            </w:r>
          </w:p>
        </w:tc>
        <w:tc>
          <w:tcPr>
            <w:tcW w:w="124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1,663.380229</w:t>
            </w:r>
          </w:p>
        </w:tc>
        <w:tc>
          <w:tcPr>
            <w:tcW w:w="103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389.717854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201</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一般公共服务支出</w:t>
            </w:r>
          </w:p>
        </w:tc>
        <w:tc>
          <w:tcPr>
            <w:tcW w:w="2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1,675.764733</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1,311.046879</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364.717854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20105</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统计信息事务</w:t>
            </w:r>
          </w:p>
        </w:tc>
        <w:tc>
          <w:tcPr>
            <w:tcW w:w="2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1,675.764733</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1,311.046879</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364.717854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2010501</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行政运行</w:t>
            </w:r>
          </w:p>
        </w:tc>
        <w:tc>
          <w:tcPr>
            <w:tcW w:w="23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北京市密云区统计局（本级）</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1,311.046879</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1,311.046879</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2010502</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一般行政管理事务</w:t>
            </w:r>
          </w:p>
        </w:tc>
        <w:tc>
          <w:tcPr>
            <w:tcW w:w="23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北京市密云区统计局（本级）</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8.400000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2010507</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专项普查活动</w:t>
            </w:r>
          </w:p>
        </w:tc>
        <w:tc>
          <w:tcPr>
            <w:tcW w:w="23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北京市密云区统计局（本级）</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328.133481</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328.133481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2010508</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统计抽样调查</w:t>
            </w:r>
          </w:p>
        </w:tc>
        <w:tc>
          <w:tcPr>
            <w:tcW w:w="23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北京市密云区统计局（本级）</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10.364373</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10.364373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2010599</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其他统计信息事务支出</w:t>
            </w:r>
          </w:p>
        </w:tc>
        <w:tc>
          <w:tcPr>
            <w:tcW w:w="23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北京市密云区统计局（本级）</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17.820000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17.820000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208</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社会保障和就业支出</w:t>
            </w:r>
          </w:p>
        </w:tc>
        <w:tc>
          <w:tcPr>
            <w:tcW w:w="2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225.772609</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225.772609</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20805</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行政事业单位养老支出</w:t>
            </w:r>
          </w:p>
        </w:tc>
        <w:tc>
          <w:tcPr>
            <w:tcW w:w="2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225.772609</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225.772609</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2080501</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行政单位离退休</w:t>
            </w:r>
          </w:p>
        </w:tc>
        <w:tc>
          <w:tcPr>
            <w:tcW w:w="23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北京市密云区统计局（本级）</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28.962000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28.962000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2080505</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机关事业单位基本养老保险缴费支出</w:t>
            </w:r>
          </w:p>
        </w:tc>
        <w:tc>
          <w:tcPr>
            <w:tcW w:w="23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北京市密云区统计局（本级）</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131.207993</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131.207993</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2080506</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机关事业单位职业年金缴费支出</w:t>
            </w:r>
          </w:p>
        </w:tc>
        <w:tc>
          <w:tcPr>
            <w:tcW w:w="23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北京市密云区统计局（本级）</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65.602616</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65.602616</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210</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卫生健康支出</w:t>
            </w:r>
          </w:p>
        </w:tc>
        <w:tc>
          <w:tcPr>
            <w:tcW w:w="2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126.560741</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126.560741</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21011</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行政事业单位医疗</w:t>
            </w:r>
          </w:p>
        </w:tc>
        <w:tc>
          <w:tcPr>
            <w:tcW w:w="2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126.560741</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126.560741</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2101101</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行政单位医疗</w:t>
            </w:r>
          </w:p>
        </w:tc>
        <w:tc>
          <w:tcPr>
            <w:tcW w:w="23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北京市密云区统计局（本级）</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126.560741</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126.560741</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211</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节能环保支出</w:t>
            </w:r>
          </w:p>
        </w:tc>
        <w:tc>
          <w:tcPr>
            <w:tcW w:w="2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5.000000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21103</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污染防治</w:t>
            </w:r>
          </w:p>
        </w:tc>
        <w:tc>
          <w:tcPr>
            <w:tcW w:w="2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5.000000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2110301</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大气</w:t>
            </w:r>
          </w:p>
        </w:tc>
        <w:tc>
          <w:tcPr>
            <w:tcW w:w="23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北京市密云区统计局（本级）</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5.000000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213</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农林水支出</w:t>
            </w:r>
          </w:p>
        </w:tc>
        <w:tc>
          <w:tcPr>
            <w:tcW w:w="2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20.000000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21399</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其他农林水支出</w:t>
            </w:r>
          </w:p>
        </w:tc>
        <w:tc>
          <w:tcPr>
            <w:tcW w:w="2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20.000000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2139999</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其他农林水支出</w:t>
            </w:r>
          </w:p>
        </w:tc>
        <w:tc>
          <w:tcPr>
            <w:tcW w:w="23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北京市密云区统计局（本级）</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20.000000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20.000000</w:t>
            </w:r>
          </w:p>
        </w:tc>
      </w:tr>
    </w:tbl>
    <w:p>
      <w:pPr>
        <w:pStyle w:val="2"/>
        <w:ind w:left="0" w:leftChars="0" w:firstLine="0" w:firstLineChars="0"/>
        <w:rPr>
          <w:rFonts w:hint="eastAsia"/>
          <w:lang w:val="en-US" w:eastAsia="zh-CN"/>
        </w:rPr>
      </w:pPr>
    </w:p>
    <w:tbl>
      <w:tblPr>
        <w:tblStyle w:val="16"/>
        <w:tblW w:w="134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66"/>
        <w:gridCol w:w="766"/>
        <w:gridCol w:w="766"/>
        <w:gridCol w:w="794"/>
        <w:gridCol w:w="1641"/>
        <w:gridCol w:w="545"/>
        <w:gridCol w:w="545"/>
        <w:gridCol w:w="545"/>
        <w:gridCol w:w="557"/>
        <w:gridCol w:w="1375"/>
        <w:gridCol w:w="923"/>
        <w:gridCol w:w="923"/>
        <w:gridCol w:w="923"/>
        <w:gridCol w:w="1043"/>
        <w:gridCol w:w="13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8" w:hRule="atLeast"/>
          <w:jc w:val="center"/>
        </w:trPr>
        <w:tc>
          <w:tcPr>
            <w:tcW w:w="13440" w:type="dxa"/>
            <w:gridSpan w:val="1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76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4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2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2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2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4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28"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12112" w:type="dxa"/>
            <w:gridSpan w:val="14"/>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单位名称：北京市密云区统计局（本级）</w:t>
            </w:r>
          </w:p>
        </w:tc>
        <w:tc>
          <w:tcPr>
            <w:tcW w:w="1328"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64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37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32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1,498.154511</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136.223718</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资本性支出</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基本工资</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230.966900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办公费</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4.289912</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房屋建筑物购建</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津贴补贴</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801.681460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印刷费</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办公设备购置</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奖金</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18.615600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咨询费</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专用设备购置</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伙食补助费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手续费</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基础设施建设</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绩效工资</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水费</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0.967500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大型修缮</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131.207993</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电费</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7.134618</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信息网络及软件购置更新</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职业年金缴费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65.602616</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邮电费</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2.652223</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物资储备</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职工基本医疗保险缴费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126.560741</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取暖费</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20.968219</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土地补偿</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公务员医疗补助缴费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物业管理费</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5.265542</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安置补助</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其他社会保障缴费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1.977501</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差旅费</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0.216300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地上附着物和青苗补偿</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121.541700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因公出国（境）费用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拆迁补偿</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维修（护）费</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2.574962</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公务用车购置</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其他工资福利支出</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租赁费</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其他交通工具购置</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对个人和家庭的补助</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29.002000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会议费</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文物和陈列品购置</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离休费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培训费</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0.218500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无形资产购置</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退休费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26.220000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公务接待费</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其他资本性支出</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退职（役）费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0.144000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专用材料费</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对企业补助</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抚恤金</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被装购置费</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资本金注入</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生活补助</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2.598000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专用燃料费</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政府投资基金股权投资</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救济费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劳务费</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费用补贴</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医疗费补助</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委托业务费</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利息补贴</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助学金</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工会经费</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12.141892</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其他对企业补助</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奖励金</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福利费</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22.680000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其他支出</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个人农业生产补贴</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公务用车运行维护费</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6.671950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国家赔偿费用支出</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代缴社会保险费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其他交通费用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46.215000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对民间非营利组织和群众性自治组织补贴</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其他对个人和家庭的补助</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0.040000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税金及附加费用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经常性赠与</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其他商品和服务支出</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2.427100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资本性赠与</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债务利息及费用支出</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其他支出</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国内债务付息</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国外债务付息</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国内债务发行费用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国外债务发行费用</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人员经费合计</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1,527.156511</w:t>
            </w:r>
          </w:p>
        </w:tc>
        <w:tc>
          <w:tcPr>
            <w:tcW w:w="7379" w:type="dxa"/>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公用经费合计</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136.223718</w:t>
            </w:r>
          </w:p>
        </w:tc>
      </w:tr>
    </w:tbl>
    <w:p>
      <w:pPr>
        <w:tabs>
          <w:tab w:val="center" w:pos="6979"/>
        </w:tabs>
        <w:spacing w:before="156" w:beforeLines="50" w:after="156" w:afterLines="50"/>
        <w:jc w:val="both"/>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tbl>
      <w:tblPr>
        <w:tblStyle w:val="16"/>
        <w:tblW w:w="1085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13"/>
        <w:gridCol w:w="613"/>
        <w:gridCol w:w="613"/>
        <w:gridCol w:w="754"/>
        <w:gridCol w:w="1296"/>
        <w:gridCol w:w="838"/>
        <w:gridCol w:w="838"/>
        <w:gridCol w:w="838"/>
        <w:gridCol w:w="838"/>
        <w:gridCol w:w="838"/>
        <w:gridCol w:w="1116"/>
        <w:gridCol w:w="16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8" w:hRule="atLeast"/>
          <w:jc w:val="center"/>
        </w:trPr>
        <w:tc>
          <w:tcPr>
            <w:tcW w:w="10853"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61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9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8"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1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7241"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单位名称：北京市密云区统计局（本级）</w:t>
            </w:r>
          </w:p>
        </w:tc>
        <w:tc>
          <w:tcPr>
            <w:tcW w:w="83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58"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259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年初结转和结余</w:t>
            </w: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w:t>
            </w:r>
          </w:p>
        </w:tc>
        <w:tc>
          <w:tcPr>
            <w:tcW w:w="2514"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w:t>
            </w:r>
          </w:p>
        </w:tc>
        <w:tc>
          <w:tcPr>
            <w:tcW w:w="3612"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年末结转结余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75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83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83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c>
          <w:tcPr>
            <w:tcW w:w="83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11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基本支出结转</w:t>
            </w:r>
          </w:p>
        </w:tc>
        <w:tc>
          <w:tcPr>
            <w:tcW w:w="165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839"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129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83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83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83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83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83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c>
          <w:tcPr>
            <w:tcW w:w="111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w:t>
            </w:r>
          </w:p>
        </w:tc>
        <w:tc>
          <w:tcPr>
            <w:tcW w:w="165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6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75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29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83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65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bl>
    <w:tbl>
      <w:tblPr>
        <w:tblStyle w:val="16"/>
        <w:tblpPr w:leftFromText="180" w:rightFromText="180" w:vertAnchor="text" w:horzAnchor="page" w:tblpXSpec="center" w:tblpY="771"/>
        <w:tblOverlap w:val="never"/>
        <w:tblW w:w="1360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66"/>
        <w:gridCol w:w="766"/>
        <w:gridCol w:w="766"/>
        <w:gridCol w:w="794"/>
        <w:gridCol w:w="1420"/>
        <w:gridCol w:w="545"/>
        <w:gridCol w:w="545"/>
        <w:gridCol w:w="545"/>
        <w:gridCol w:w="557"/>
        <w:gridCol w:w="1420"/>
        <w:gridCol w:w="944"/>
        <w:gridCol w:w="944"/>
        <w:gridCol w:w="944"/>
        <w:gridCol w:w="980"/>
        <w:gridCol w:w="16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8" w:hRule="atLeast"/>
          <w:jc w:val="center"/>
        </w:trPr>
        <w:tc>
          <w:tcPr>
            <w:tcW w:w="13605" w:type="dxa"/>
            <w:gridSpan w:val="1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政府性基金预算财政拨款基本支出决算表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76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2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2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8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69"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11936" w:type="dxa"/>
            <w:gridSpan w:val="14"/>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单位名称：北京市密云区统计局（本级）</w:t>
            </w:r>
          </w:p>
        </w:tc>
        <w:tc>
          <w:tcPr>
            <w:tcW w:w="1669"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42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42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66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资本性支出</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基本工资</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办公费</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房屋建筑物购建</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津贴补贴</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印刷费</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办公设备购置</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奖金</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咨询费</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专用设备购置</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伙食补助费</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手续费</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基础设施建设</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绩效工资</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水费</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大型修缮</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电费</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信息网络及软件购置更新</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职业年金缴费</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邮电费</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物资储备</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职工基本医疗保险缴费</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取暖费</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土地补偿</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公务员医疗补助缴费</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物业管理费</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安置补助</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其他社会保障缴费</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差旅费</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地上附着物和青苗补偿</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因公出国（境）费用</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拆迁补偿</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维修（护）费</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公务用车购置</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其他工资福利支出</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租赁费</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其他交通工具购置</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对个人和家庭的补助</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会议费</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文物和陈列品购置</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离休费</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培训费</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无形资产购置</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退休费</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公务接待费</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其他资本性支出</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退职（役）费</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专用材料费</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对企业补助</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抚恤金</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被装购置费</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资本金注入</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生活补助</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专用燃料费</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政府投资基金股权投资</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救济费</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劳务费</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费用补贴</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医疗费补助</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委托业务费</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利息补贴</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助学金</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工会经费</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其他对企业补助</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奖励金</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福利费</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其他支出</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个人农业生产补贴</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公务用车运行维护费</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国家赔偿费用支出</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代缴社会保险费</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其他交通费用</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对民间非营利组织和群众性自治组织补贴</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其他对个人和家庭的补助</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税金及附加费用</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经常性赠与</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其他商品和服务支出</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资本性赠与</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债务利息及费用支出</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其他支出</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国内债务付息</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国外债务付息</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国内债务发行费用</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1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国外债务发行费用</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09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人员经费合计</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7424" w:type="dxa"/>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公用经费合计</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tabs>
          <w:tab w:val="center" w:pos="6979"/>
        </w:tabs>
        <w:spacing w:before="156" w:beforeLines="50" w:after="156" w:afterLines="50"/>
        <w:jc w:val="both"/>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tbl>
      <w:tblPr>
        <w:tblStyle w:val="16"/>
        <w:tblW w:w="970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51"/>
        <w:gridCol w:w="351"/>
        <w:gridCol w:w="351"/>
        <w:gridCol w:w="3551"/>
        <w:gridCol w:w="1701"/>
        <w:gridCol w:w="1701"/>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8" w:hRule="atLeast"/>
          <w:jc w:val="center"/>
        </w:trPr>
        <w:tc>
          <w:tcPr>
            <w:tcW w:w="9707"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3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5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1"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8006" w:type="dxa"/>
            <w:gridSpan w:val="6"/>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单位名称：北京市密云区统计局（本级）</w:t>
            </w: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460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5103"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2023年度决算数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053"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1053"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3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3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bl>
    <w:p>
      <w:pPr>
        <w:tabs>
          <w:tab w:val="center" w:pos="6979"/>
        </w:tabs>
        <w:spacing w:before="156" w:beforeLines="50" w:after="156" w:afterLines="50"/>
        <w:jc w:val="both"/>
        <w:rPr>
          <w:rFonts w:hint="eastAsia" w:ascii="宋体" w:hAnsi="宋体" w:cs="宋体"/>
          <w:b/>
          <w:bCs/>
          <w:spacing w:val="40"/>
          <w:kern w:val="0"/>
          <w:sz w:val="32"/>
          <w:szCs w:val="32"/>
        </w:rPr>
      </w:pPr>
    </w:p>
    <w:tbl>
      <w:tblPr>
        <w:tblStyle w:val="16"/>
        <w:tblW w:w="1219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88"/>
        <w:gridCol w:w="489"/>
        <w:gridCol w:w="2200"/>
        <w:gridCol w:w="1658"/>
        <w:gridCol w:w="935"/>
        <w:gridCol w:w="1296"/>
        <w:gridCol w:w="842"/>
        <w:gridCol w:w="1116"/>
        <w:gridCol w:w="1116"/>
        <w:gridCol w:w="1116"/>
        <w:gridCol w:w="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8" w:hRule="atLeast"/>
          <w:jc w:val="center"/>
        </w:trPr>
        <w:tc>
          <w:tcPr>
            <w:tcW w:w="12191"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48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0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9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35"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11256" w:type="dxa"/>
            <w:gridSpan w:val="10"/>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单位名称：北京市密云区统计局（本级）</w:t>
            </w:r>
          </w:p>
        </w:tc>
        <w:tc>
          <w:tcPr>
            <w:tcW w:w="935"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977" w:type="dxa"/>
            <w:gridSpan w:val="2"/>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“三公”经费财政拨款合计</w:t>
            </w:r>
          </w:p>
        </w:tc>
        <w:tc>
          <w:tcPr>
            <w:tcW w:w="1658"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因公出国（境）费用</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公务接待费</w:t>
            </w:r>
          </w:p>
        </w:tc>
        <w:tc>
          <w:tcPr>
            <w:tcW w:w="6421"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公务用车购置及运行维护费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977"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65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公务用车购置费</w:t>
            </w:r>
          </w:p>
        </w:tc>
        <w:tc>
          <w:tcPr>
            <w:tcW w:w="5125"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977"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65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小计</w:t>
            </w:r>
          </w:p>
        </w:tc>
        <w:tc>
          <w:tcPr>
            <w:tcW w:w="111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公务用车加油</w:t>
            </w:r>
          </w:p>
        </w:tc>
        <w:tc>
          <w:tcPr>
            <w:tcW w:w="111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公务用车维修</w:t>
            </w:r>
          </w:p>
        </w:tc>
        <w:tc>
          <w:tcPr>
            <w:tcW w:w="111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公务用车保险</w:t>
            </w:r>
          </w:p>
        </w:tc>
        <w:tc>
          <w:tcPr>
            <w:tcW w:w="93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977"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2023年预算</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15.922000</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15.922000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977"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2023年决算</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6.671950</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6.671950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2.110792</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1.530633</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0.430525</w:t>
            </w:r>
          </w:p>
        </w:tc>
      </w:tr>
    </w:tbl>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tbl>
      <w:tblPr>
        <w:tblStyle w:val="16"/>
        <w:tblW w:w="538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11"/>
        <w:gridCol w:w="911"/>
        <w:gridCol w:w="911"/>
        <w:gridCol w:w="913"/>
        <w:gridCol w:w="1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8" w:hRule="atLeast"/>
          <w:jc w:val="center"/>
        </w:trPr>
        <w:tc>
          <w:tcPr>
            <w:tcW w:w="5381"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政府采购情况表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91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1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1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1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35"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3646" w:type="dxa"/>
            <w:gridSpan w:val="4"/>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单位名称：北京市密云区统计局（本级）</w:t>
            </w:r>
          </w:p>
        </w:tc>
        <w:tc>
          <w:tcPr>
            <w:tcW w:w="1735"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jc w:val="center"/>
        </w:trPr>
        <w:tc>
          <w:tcPr>
            <w:tcW w:w="3646"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73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jc w:val="center"/>
        </w:trPr>
        <w:tc>
          <w:tcPr>
            <w:tcW w:w="3646"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政府采购支出信息</w:t>
            </w:r>
          </w:p>
        </w:tc>
        <w:tc>
          <w:tcPr>
            <w:tcW w:w="1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112.377475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jc w:val="center"/>
        </w:trPr>
        <w:tc>
          <w:tcPr>
            <w:tcW w:w="3646"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（一）政府采购支出合计</w:t>
            </w:r>
          </w:p>
        </w:tc>
        <w:tc>
          <w:tcPr>
            <w:tcW w:w="1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112.377475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jc w:val="center"/>
        </w:trPr>
        <w:tc>
          <w:tcPr>
            <w:tcW w:w="3646"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1．政府采购货物支出</w:t>
            </w:r>
          </w:p>
        </w:tc>
        <w:tc>
          <w:tcPr>
            <w:tcW w:w="1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34.880600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jc w:val="center"/>
        </w:trPr>
        <w:tc>
          <w:tcPr>
            <w:tcW w:w="3646"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2．政府采购工程支出</w:t>
            </w:r>
          </w:p>
        </w:tc>
        <w:tc>
          <w:tcPr>
            <w:tcW w:w="1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jc w:val="center"/>
        </w:trPr>
        <w:tc>
          <w:tcPr>
            <w:tcW w:w="3646"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3．政府采购服务支出</w:t>
            </w:r>
          </w:p>
        </w:tc>
        <w:tc>
          <w:tcPr>
            <w:tcW w:w="1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77.496875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jc w:val="center"/>
        </w:trPr>
        <w:tc>
          <w:tcPr>
            <w:tcW w:w="3646"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（二）政府采购授予中小企业合同金额</w:t>
            </w:r>
          </w:p>
        </w:tc>
        <w:tc>
          <w:tcPr>
            <w:tcW w:w="1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71.926242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jc w:val="center"/>
        </w:trPr>
        <w:tc>
          <w:tcPr>
            <w:tcW w:w="3646"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其中：授予小微企业合同金额</w:t>
            </w:r>
          </w:p>
        </w:tc>
        <w:tc>
          <w:tcPr>
            <w:tcW w:w="1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50.809000</w:t>
            </w:r>
          </w:p>
        </w:tc>
      </w:tr>
    </w:tbl>
    <w:p>
      <w:pPr>
        <w:tabs>
          <w:tab w:val="center" w:pos="6979"/>
        </w:tabs>
        <w:spacing w:before="156" w:beforeLines="50" w:after="156" w:afterLines="50"/>
        <w:jc w:val="both"/>
        <w:rPr>
          <w:rFonts w:hint="eastAsia" w:ascii="宋体" w:hAnsi="宋体" w:cs="宋体"/>
          <w:b/>
          <w:bCs/>
          <w:spacing w:val="40"/>
          <w:kern w:val="0"/>
          <w:sz w:val="32"/>
          <w:szCs w:val="32"/>
        </w:rPr>
      </w:pPr>
    </w:p>
    <w:p>
      <w:pPr>
        <w:tabs>
          <w:tab w:val="center" w:pos="6979"/>
        </w:tabs>
        <w:spacing w:before="156" w:beforeLines="50" w:after="156" w:afterLines="50"/>
        <w:jc w:val="both"/>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tbl>
      <w:tblPr>
        <w:tblStyle w:val="16"/>
        <w:tblW w:w="698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496"/>
        <w:gridCol w:w="1077"/>
        <w:gridCol w:w="1115"/>
        <w:gridCol w:w="12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8" w:hRule="atLeast"/>
          <w:jc w:val="center"/>
        </w:trPr>
        <w:tc>
          <w:tcPr>
            <w:tcW w:w="6986"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政府购买服务决算公开情况表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349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98"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jc w:val="center"/>
        </w:trPr>
        <w:tc>
          <w:tcPr>
            <w:tcW w:w="5688"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单位名称：北京市密云区统计局（本级）</w:t>
            </w:r>
          </w:p>
        </w:tc>
        <w:tc>
          <w:tcPr>
            <w:tcW w:w="1298"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49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一级目录</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二级目录</w:t>
            </w:r>
          </w:p>
        </w:tc>
        <w:tc>
          <w:tcPr>
            <w:tcW w:w="129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5688"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17.820000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496"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公共服务</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49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公共安全服务</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49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教育公共服务</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49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就业公共服务</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49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社会保障服务</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49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卫生健康公共服务</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49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生态保护和环境治理服务</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49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科技公共服务</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49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文化公共服务</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49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体育公共服务</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49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社会治理服务</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49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城乡维护服务</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49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农业、林业和水利公共服务</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49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交通运输公共服务</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49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灾害防治及应急管理服务</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49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公共信息与宣传服务</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49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行业管理服务</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49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技术性公共服务</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49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其他公共服务</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496"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政府履职辅助性服务</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   计</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49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法律服务</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49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课题研究和社会调查服务</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49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会计审计服务</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49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会议服务</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49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监督检查辅助服务</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49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工程服务</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49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评审、评估和评价服务</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49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咨询服务</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49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机关工作人员培训服务</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49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信息化服务</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49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后勤服务</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jc w:val="center"/>
        </w:trPr>
        <w:tc>
          <w:tcPr>
            <w:tcW w:w="349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其他辅助性服务</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tabs>
          <w:tab w:val="center" w:pos="6979"/>
        </w:tabs>
        <w:spacing w:before="156" w:beforeLines="50" w:after="156" w:afterLines="50"/>
        <w:jc w:val="both"/>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年度部门决算说明</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val="0"/>
          <w:bCs/>
          <w:sz w:val="28"/>
          <w:szCs w:val="28"/>
        </w:rPr>
        <w:t>一、部门/单位基本情况</w:t>
      </w:r>
      <w:r>
        <w:rPr>
          <w:rFonts w:hint="eastAsia" w:ascii="仿宋_GB2312" w:eastAsia="仿宋_GB2312"/>
          <w:sz w:val="28"/>
          <w:szCs w:val="28"/>
        </w:rPr>
        <w:t>（比照</w:t>
      </w:r>
      <w:r>
        <w:rPr>
          <w:rFonts w:ascii="仿宋_GB2312" w:eastAsia="仿宋_GB2312"/>
          <w:sz w:val="28"/>
          <w:szCs w:val="28"/>
        </w:rPr>
        <w:t>预算公开</w:t>
      </w:r>
      <w:r>
        <w:rPr>
          <w:rFonts w:hint="eastAsia" w:ascii="仿宋_GB2312" w:eastAsia="仿宋_GB2312"/>
          <w:sz w:val="28"/>
          <w:szCs w:val="28"/>
        </w:rPr>
        <w:t>的内容</w:t>
      </w:r>
      <w:r>
        <w:rPr>
          <w:rFonts w:ascii="仿宋_GB2312" w:eastAsia="仿宋_GB2312"/>
          <w:sz w:val="28"/>
          <w:szCs w:val="28"/>
        </w:rPr>
        <w:t>格式）</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（一）机构</w:t>
      </w:r>
      <w:r>
        <w:rPr>
          <w:rFonts w:ascii="仿宋_GB2312" w:eastAsia="仿宋_GB2312"/>
          <w:sz w:val="28"/>
          <w:szCs w:val="28"/>
        </w:rPr>
        <w:t>设置、</w:t>
      </w:r>
      <w:r>
        <w:rPr>
          <w:rFonts w:hint="eastAsia" w:ascii="仿宋_GB2312" w:eastAsia="仿宋_GB2312"/>
          <w:sz w:val="28"/>
          <w:szCs w:val="28"/>
        </w:rPr>
        <w:t>职责（需公开</w:t>
      </w:r>
      <w:r>
        <w:rPr>
          <w:rFonts w:ascii="仿宋_GB2312" w:eastAsia="仿宋_GB2312"/>
          <w:sz w:val="28"/>
          <w:szCs w:val="28"/>
        </w:rPr>
        <w:t>内设机构数量</w:t>
      </w:r>
      <w:r>
        <w:rPr>
          <w:rFonts w:hint="eastAsia" w:ascii="仿宋_GB2312" w:eastAsia="仿宋_GB2312"/>
          <w:sz w:val="28"/>
          <w:szCs w:val="28"/>
        </w:rPr>
        <w:t>和</w:t>
      </w:r>
      <w:r>
        <w:rPr>
          <w:rFonts w:ascii="仿宋_GB2312" w:eastAsia="仿宋_GB2312"/>
          <w:sz w:val="28"/>
          <w:szCs w:val="28"/>
        </w:rPr>
        <w:t>下属单位</w:t>
      </w:r>
      <w:r>
        <w:rPr>
          <w:rFonts w:hint="eastAsia" w:ascii="仿宋_GB2312" w:eastAsia="仿宋_GB2312"/>
          <w:sz w:val="28"/>
          <w:szCs w:val="28"/>
        </w:rPr>
        <w:t>数量</w:t>
      </w:r>
      <w:r>
        <w:rPr>
          <w:rFonts w:ascii="仿宋_GB2312" w:eastAsia="仿宋_GB2312"/>
          <w:sz w:val="28"/>
          <w:szCs w:val="28"/>
        </w:rPr>
        <w:t>及名称）</w:t>
      </w:r>
    </w:p>
    <w:p>
      <w:pPr>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部门职责：统计局是区政府主管本区统计和国民经济核算的职能部门。</w:t>
      </w:r>
    </w:p>
    <w:p>
      <w:pPr>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一是贯彻执行《中华人民共和国统计法》和《北京市统计管理条例》，监督检查统计法律、法规的执行情况，并向区人大常委会、区政府和有关部门报告。</w:t>
      </w:r>
    </w:p>
    <w:p>
      <w:pPr>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二是组织协调各乡、镇和各部门的统计和国民经济核算工作;贯彻执行国民经济核算体系、各类统计标准和全国统一的基本统计制度; 制定本区统计调查制度、统计改革方案和实施办法。</w:t>
      </w:r>
    </w:p>
    <w:p>
      <w:pPr>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三是组织完成重大区情区力的普查工作；统一组织协调本区各部门的社会经济统计调查，完成各项普查及专项调查任务。</w:t>
      </w:r>
    </w:p>
    <w:p>
      <w:pPr>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四是负责整理、汇总全区基本统计资料，对国民经济和社会发展情况进行统计分析、统计预测和统计监督，及时向区委、区政府提供统计信息和咨询建议。</w:t>
      </w:r>
    </w:p>
    <w:p>
      <w:pPr>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五是统一评估、核定、管理、公布全区的基本统计资料，向社会发布全区国民经济和社会发展情况的统计信息。</w:t>
      </w:r>
    </w:p>
    <w:p>
      <w:pPr>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六是负责审批涉外和民间社会调查机构的资格认定、调查项目。</w:t>
      </w:r>
    </w:p>
    <w:p>
      <w:pPr>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七是建立、健全和管理全区统计信息自动化系统和统计数据库体系。</w:t>
      </w:r>
    </w:p>
    <w:p>
      <w:pPr>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八是负责指导本行政区域内统计教育和培训工作。</w:t>
      </w:r>
    </w:p>
    <w:p>
      <w:pPr>
        <w:snapToGrid w:val="0"/>
        <w:spacing w:line="52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九是</w:t>
      </w:r>
      <w:r>
        <w:rPr>
          <w:rFonts w:hint="eastAsia" w:ascii="仿宋_GB2312" w:eastAsia="仿宋_GB2312"/>
          <w:sz w:val="28"/>
          <w:szCs w:val="28"/>
          <w:lang w:eastAsia="zh-CN"/>
        </w:rPr>
        <w:t>管理和领导密云区统计局统计执法检查队、调查中心和普查中心。</w:t>
      </w:r>
    </w:p>
    <w:p>
      <w:pPr>
        <w:snapToGrid w:val="0"/>
        <w:spacing w:line="52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t>十是</w:t>
      </w:r>
      <w:r>
        <w:rPr>
          <w:rFonts w:hint="eastAsia" w:ascii="仿宋_GB2312" w:eastAsia="仿宋_GB2312"/>
          <w:sz w:val="28"/>
          <w:szCs w:val="28"/>
        </w:rPr>
        <w:t>承办区政府交办的其他事项。</w:t>
      </w:r>
    </w:p>
    <w:p>
      <w:pPr>
        <w:keepNext w:val="0"/>
        <w:keepLines w:val="0"/>
        <w:pageBreakBefore w:val="0"/>
        <w:numPr>
          <w:ilvl w:val="0"/>
          <w:numId w:val="0"/>
        </w:numPr>
        <w:tabs>
          <w:tab w:val="center" w:pos="6979"/>
        </w:tabs>
        <w:kinsoku/>
        <w:wordWrap/>
        <w:overflowPunct/>
        <w:topLinePunct w:val="0"/>
        <w:autoSpaceDE/>
        <w:autoSpaceDN/>
        <w:bidi w:val="0"/>
        <w:adjustRightInd/>
        <w:snapToGrid/>
        <w:spacing w:line="580" w:lineRule="exact"/>
        <w:ind w:firstLine="560" w:firstLineChars="200"/>
        <w:textAlignment w:val="auto"/>
        <w:outlineLvl w:val="9"/>
        <w:rPr>
          <w:rFonts w:ascii="仿宋_GB2312" w:eastAsia="仿宋_GB2312"/>
          <w:sz w:val="28"/>
          <w:szCs w:val="28"/>
          <w:highlight w:val="none"/>
        </w:rPr>
      </w:pPr>
      <w:r>
        <w:rPr>
          <w:rFonts w:ascii="仿宋_GB2312" w:eastAsia="仿宋_GB2312"/>
          <w:b/>
          <w:bCs/>
          <w:sz w:val="28"/>
          <w:szCs w:val="28"/>
          <w:highlight w:val="none"/>
        </w:rPr>
        <w:t>内设机构数量</w:t>
      </w:r>
      <w:r>
        <w:rPr>
          <w:rFonts w:hint="eastAsia" w:ascii="仿宋_GB2312" w:eastAsia="仿宋_GB2312"/>
          <w:b/>
          <w:bCs/>
          <w:sz w:val="28"/>
          <w:szCs w:val="28"/>
          <w:highlight w:val="none"/>
        </w:rPr>
        <w:t>和</w:t>
      </w:r>
      <w:r>
        <w:rPr>
          <w:rFonts w:ascii="仿宋_GB2312" w:eastAsia="仿宋_GB2312"/>
          <w:b/>
          <w:bCs/>
          <w:sz w:val="28"/>
          <w:szCs w:val="28"/>
          <w:highlight w:val="none"/>
        </w:rPr>
        <w:t>下属单位</w:t>
      </w:r>
      <w:r>
        <w:rPr>
          <w:rFonts w:hint="eastAsia" w:ascii="仿宋_GB2312" w:eastAsia="仿宋_GB2312"/>
          <w:b/>
          <w:bCs/>
          <w:sz w:val="28"/>
          <w:szCs w:val="28"/>
          <w:highlight w:val="none"/>
        </w:rPr>
        <w:t>数量</w:t>
      </w:r>
      <w:r>
        <w:rPr>
          <w:rFonts w:ascii="仿宋_GB2312" w:eastAsia="仿宋_GB2312"/>
          <w:b/>
          <w:bCs/>
          <w:sz w:val="28"/>
          <w:szCs w:val="28"/>
          <w:highlight w:val="none"/>
        </w:rPr>
        <w:t>及名称</w:t>
      </w:r>
      <w:r>
        <w:rPr>
          <w:rFonts w:hint="eastAsia" w:ascii="仿宋_GB2312" w:eastAsia="仿宋_GB2312"/>
          <w:b/>
          <w:bCs/>
          <w:sz w:val="28"/>
          <w:szCs w:val="28"/>
          <w:highlight w:val="none"/>
          <w:lang w:eastAsia="zh-CN"/>
        </w:rPr>
        <w:t>：我单位共有科室</w:t>
      </w:r>
      <w:r>
        <w:rPr>
          <w:rFonts w:hint="eastAsia" w:ascii="仿宋_GB2312" w:eastAsia="仿宋_GB2312"/>
          <w:b/>
          <w:bCs/>
          <w:sz w:val="28"/>
          <w:szCs w:val="28"/>
          <w:highlight w:val="none"/>
          <w:lang w:val="en-US" w:eastAsia="zh-CN"/>
        </w:rPr>
        <w:t>10个，公益一类事业单位3个</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atLeast"/>
        <w:ind w:left="0" w:right="0" w:firstLine="560" w:firstLineChars="200"/>
        <w:jc w:val="left"/>
        <w:textAlignment w:val="auto"/>
        <w:outlineLvl w:val="9"/>
        <w:rPr>
          <w:rFonts w:hint="eastAsia" w:ascii="仿宋_GB2312" w:hAnsi="Times New Roman" w:eastAsia="仿宋_GB2312" w:cs="Droid Sans"/>
          <w:b w:val="0"/>
          <w:kern w:val="2"/>
          <w:sz w:val="28"/>
          <w:szCs w:val="28"/>
          <w:lang w:val="en-US" w:eastAsia="zh-CN" w:bidi="ar-SA"/>
        </w:rPr>
      </w:pPr>
      <w:r>
        <w:rPr>
          <w:rFonts w:hint="eastAsia" w:ascii="仿宋_GB2312" w:hAnsi="Times New Roman" w:eastAsia="仿宋_GB2312" w:cs="Droid Sans"/>
          <w:b w:val="0"/>
          <w:kern w:val="2"/>
          <w:sz w:val="28"/>
          <w:szCs w:val="28"/>
          <w:lang w:val="en-US" w:eastAsia="zh-CN" w:bidi="ar-SA"/>
        </w:rPr>
        <w:t>1、</w:t>
      </w:r>
      <w:r>
        <w:rPr>
          <w:rFonts w:hint="eastAsia" w:ascii="仿宋_GB2312" w:hAnsi="Times New Roman" w:eastAsia="仿宋_GB2312" w:cs="Droid Sans"/>
          <w:b w:val="0"/>
          <w:kern w:val="2"/>
          <w:sz w:val="28"/>
          <w:szCs w:val="28"/>
          <w:lang w:val="en-US" w:eastAsia="zh-CN" w:bidi="ar-SA"/>
        </w:rPr>
        <w:fldChar w:fldCharType="begin"/>
      </w:r>
      <w:r>
        <w:rPr>
          <w:rFonts w:hint="eastAsia" w:ascii="仿宋_GB2312" w:hAnsi="Times New Roman" w:eastAsia="仿宋_GB2312" w:cs="Droid Sans"/>
          <w:b w:val="0"/>
          <w:kern w:val="2"/>
          <w:sz w:val="28"/>
          <w:szCs w:val="28"/>
          <w:lang w:val="en-US" w:eastAsia="zh-CN" w:bidi="ar-SA"/>
        </w:rPr>
        <w:instrText xml:space="preserve"> HYPERLINK "http://www.beijing.gov.cn/zfxxgk/myq11S039/nsjg13j/2019-02/12/content_myq3161.shtml" \o "密云区统计局统计执法检查队" \t "http://www.beijing.gov.cn/zfxxgk/myq11S039/jgsz12j/_blank" </w:instrText>
      </w:r>
      <w:r>
        <w:rPr>
          <w:rFonts w:hint="eastAsia" w:ascii="仿宋_GB2312" w:hAnsi="Times New Roman" w:eastAsia="仿宋_GB2312" w:cs="Droid Sans"/>
          <w:b w:val="0"/>
          <w:kern w:val="2"/>
          <w:sz w:val="28"/>
          <w:szCs w:val="28"/>
          <w:lang w:val="en-US" w:eastAsia="zh-CN" w:bidi="ar-SA"/>
        </w:rPr>
        <w:fldChar w:fldCharType="separate"/>
      </w:r>
      <w:r>
        <w:rPr>
          <w:rFonts w:hint="eastAsia" w:ascii="仿宋_GB2312" w:hAnsi="Times New Roman" w:eastAsia="仿宋_GB2312" w:cs="Droid Sans"/>
          <w:b w:val="0"/>
          <w:kern w:val="2"/>
          <w:sz w:val="28"/>
          <w:szCs w:val="28"/>
          <w:lang w:val="en-US" w:eastAsia="zh-CN" w:bidi="ar-SA"/>
        </w:rPr>
        <w:t>密云区统计局统计执法检查队</w:t>
      </w:r>
      <w:r>
        <w:rPr>
          <w:rFonts w:hint="eastAsia" w:ascii="仿宋_GB2312" w:hAnsi="Times New Roman" w:eastAsia="仿宋_GB2312" w:cs="Droid Sans"/>
          <w:b w:val="0"/>
          <w:kern w:val="2"/>
          <w:sz w:val="28"/>
          <w:szCs w:val="28"/>
          <w:lang w:val="en-US" w:eastAsia="zh-CN" w:bidi="ar-SA"/>
        </w:rPr>
        <w:fldChar w:fldCharType="end"/>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atLeast"/>
        <w:ind w:left="0" w:right="0" w:firstLine="560" w:firstLineChars="200"/>
        <w:jc w:val="left"/>
        <w:textAlignment w:val="auto"/>
        <w:outlineLvl w:val="9"/>
        <w:rPr>
          <w:rFonts w:hint="eastAsia" w:ascii="仿宋_GB2312" w:hAnsi="Times New Roman" w:eastAsia="仿宋_GB2312" w:cs="Droid Sans"/>
          <w:b w:val="0"/>
          <w:kern w:val="2"/>
          <w:sz w:val="28"/>
          <w:szCs w:val="28"/>
          <w:lang w:val="en-US" w:eastAsia="zh-CN" w:bidi="ar-SA"/>
        </w:rPr>
      </w:pPr>
      <w:r>
        <w:rPr>
          <w:rFonts w:hint="eastAsia" w:ascii="仿宋_GB2312" w:hAnsi="Times New Roman" w:eastAsia="仿宋_GB2312" w:cs="Droid Sans"/>
          <w:b w:val="0"/>
          <w:kern w:val="2"/>
          <w:sz w:val="28"/>
          <w:szCs w:val="28"/>
          <w:lang w:val="en-US" w:eastAsia="zh-CN" w:bidi="ar-SA"/>
        </w:rPr>
        <w:t>2、</w:t>
      </w:r>
      <w:r>
        <w:rPr>
          <w:rFonts w:hint="eastAsia" w:ascii="仿宋_GB2312" w:hAnsi="Times New Roman" w:eastAsia="仿宋_GB2312" w:cs="Droid Sans"/>
          <w:b w:val="0"/>
          <w:kern w:val="2"/>
          <w:sz w:val="28"/>
          <w:szCs w:val="28"/>
          <w:lang w:val="en-US" w:eastAsia="zh-CN" w:bidi="ar-SA"/>
        </w:rPr>
        <w:fldChar w:fldCharType="begin"/>
      </w:r>
      <w:r>
        <w:rPr>
          <w:rFonts w:hint="eastAsia" w:ascii="仿宋_GB2312" w:hAnsi="Times New Roman" w:eastAsia="仿宋_GB2312" w:cs="Droid Sans"/>
          <w:b w:val="0"/>
          <w:kern w:val="2"/>
          <w:sz w:val="28"/>
          <w:szCs w:val="28"/>
          <w:lang w:val="en-US" w:eastAsia="zh-CN" w:bidi="ar-SA"/>
        </w:rPr>
        <w:instrText xml:space="preserve"> HYPERLINK "http://www.beijing.gov.cn/zfxxgk/myq11S039/nsjg13j/2019-02/12/content_myq326706.shtml" \o "密云区统计局法规科" \t "http://www.beijing.gov.cn/zfxxgk/myq11S039/jgsz12j/_blank" </w:instrText>
      </w:r>
      <w:r>
        <w:rPr>
          <w:rFonts w:hint="eastAsia" w:ascii="仿宋_GB2312" w:hAnsi="Times New Roman" w:eastAsia="仿宋_GB2312" w:cs="Droid Sans"/>
          <w:b w:val="0"/>
          <w:kern w:val="2"/>
          <w:sz w:val="28"/>
          <w:szCs w:val="28"/>
          <w:lang w:val="en-US" w:eastAsia="zh-CN" w:bidi="ar-SA"/>
        </w:rPr>
        <w:fldChar w:fldCharType="separate"/>
      </w:r>
      <w:r>
        <w:rPr>
          <w:rFonts w:hint="eastAsia" w:ascii="仿宋_GB2312" w:hAnsi="Times New Roman" w:eastAsia="仿宋_GB2312" w:cs="Droid Sans"/>
          <w:b w:val="0"/>
          <w:kern w:val="2"/>
          <w:sz w:val="28"/>
          <w:szCs w:val="28"/>
          <w:lang w:val="en-US" w:eastAsia="zh-CN" w:bidi="ar-SA"/>
        </w:rPr>
        <w:t>密云区统计局法规科</w:t>
      </w:r>
      <w:r>
        <w:rPr>
          <w:rFonts w:hint="eastAsia" w:ascii="仿宋_GB2312" w:hAnsi="Times New Roman" w:eastAsia="仿宋_GB2312" w:cs="Droid Sans"/>
          <w:b w:val="0"/>
          <w:kern w:val="2"/>
          <w:sz w:val="28"/>
          <w:szCs w:val="28"/>
          <w:lang w:val="en-US" w:eastAsia="zh-CN" w:bidi="ar-SA"/>
        </w:rPr>
        <w:fldChar w:fldCharType="end"/>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atLeast"/>
        <w:ind w:left="0" w:right="0" w:firstLine="560" w:firstLineChars="200"/>
        <w:jc w:val="left"/>
        <w:textAlignment w:val="auto"/>
        <w:outlineLvl w:val="9"/>
        <w:rPr>
          <w:rFonts w:hint="eastAsia" w:ascii="仿宋_GB2312" w:hAnsi="Times New Roman" w:eastAsia="仿宋_GB2312" w:cs="Droid Sans"/>
          <w:b w:val="0"/>
          <w:kern w:val="2"/>
          <w:sz w:val="28"/>
          <w:szCs w:val="28"/>
          <w:lang w:val="en-US" w:eastAsia="zh-CN" w:bidi="ar-SA"/>
        </w:rPr>
      </w:pPr>
      <w:r>
        <w:rPr>
          <w:rFonts w:hint="eastAsia" w:ascii="仿宋_GB2312" w:hAnsi="Times New Roman" w:eastAsia="仿宋_GB2312" w:cs="Droid Sans"/>
          <w:b w:val="0"/>
          <w:kern w:val="2"/>
          <w:sz w:val="28"/>
          <w:szCs w:val="28"/>
          <w:lang w:val="en-US" w:eastAsia="zh-CN" w:bidi="ar-SA"/>
        </w:rPr>
        <w:t>3、</w:t>
      </w:r>
      <w:r>
        <w:rPr>
          <w:rFonts w:hint="eastAsia" w:ascii="仿宋_GB2312" w:hAnsi="Times New Roman" w:eastAsia="仿宋_GB2312" w:cs="Droid Sans"/>
          <w:b w:val="0"/>
          <w:kern w:val="2"/>
          <w:sz w:val="28"/>
          <w:szCs w:val="28"/>
          <w:lang w:val="en-US" w:eastAsia="zh-CN" w:bidi="ar-SA"/>
        </w:rPr>
        <w:fldChar w:fldCharType="begin"/>
      </w:r>
      <w:r>
        <w:rPr>
          <w:rFonts w:hint="eastAsia" w:ascii="仿宋_GB2312" w:hAnsi="Times New Roman" w:eastAsia="仿宋_GB2312" w:cs="Droid Sans"/>
          <w:b w:val="0"/>
          <w:kern w:val="2"/>
          <w:sz w:val="28"/>
          <w:szCs w:val="28"/>
          <w:lang w:val="en-US" w:eastAsia="zh-CN" w:bidi="ar-SA"/>
        </w:rPr>
        <w:instrText xml:space="preserve"> HYPERLINK "http://www.beijing.gov.cn/zfxxgk/myq11S039/nsjg13j/2019-02/12/content_myq362089.shtml" \o "密云区统计局普查中心" \t "http://www.beijing.gov.cn/zfxxgk/myq11S039/jgsz12j/_blank" </w:instrText>
      </w:r>
      <w:r>
        <w:rPr>
          <w:rFonts w:hint="eastAsia" w:ascii="仿宋_GB2312" w:hAnsi="Times New Roman" w:eastAsia="仿宋_GB2312" w:cs="Droid Sans"/>
          <w:b w:val="0"/>
          <w:kern w:val="2"/>
          <w:sz w:val="28"/>
          <w:szCs w:val="28"/>
          <w:lang w:val="en-US" w:eastAsia="zh-CN" w:bidi="ar-SA"/>
        </w:rPr>
        <w:fldChar w:fldCharType="separate"/>
      </w:r>
      <w:r>
        <w:rPr>
          <w:rFonts w:hint="eastAsia" w:ascii="仿宋_GB2312" w:hAnsi="Times New Roman" w:eastAsia="仿宋_GB2312" w:cs="Droid Sans"/>
          <w:b w:val="0"/>
          <w:kern w:val="2"/>
          <w:sz w:val="28"/>
          <w:szCs w:val="28"/>
          <w:lang w:val="en-US" w:eastAsia="zh-CN" w:bidi="ar-SA"/>
        </w:rPr>
        <w:t>密云区统计局普查中心</w:t>
      </w:r>
      <w:r>
        <w:rPr>
          <w:rFonts w:hint="eastAsia" w:ascii="仿宋_GB2312" w:hAnsi="Times New Roman" w:eastAsia="仿宋_GB2312" w:cs="Droid Sans"/>
          <w:b w:val="0"/>
          <w:kern w:val="2"/>
          <w:sz w:val="28"/>
          <w:szCs w:val="28"/>
          <w:lang w:val="en-US" w:eastAsia="zh-CN" w:bidi="ar-SA"/>
        </w:rPr>
        <w:fldChar w:fldCharType="end"/>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atLeast"/>
        <w:ind w:left="0" w:right="0" w:firstLine="560" w:firstLineChars="200"/>
        <w:jc w:val="left"/>
        <w:textAlignment w:val="auto"/>
        <w:outlineLvl w:val="9"/>
        <w:rPr>
          <w:rFonts w:hint="eastAsia" w:ascii="仿宋_GB2312" w:hAnsi="Times New Roman" w:eastAsia="仿宋_GB2312" w:cs="Droid Sans"/>
          <w:b w:val="0"/>
          <w:kern w:val="2"/>
          <w:sz w:val="28"/>
          <w:szCs w:val="28"/>
          <w:lang w:val="en-US" w:eastAsia="zh-CN" w:bidi="ar-SA"/>
        </w:rPr>
      </w:pPr>
      <w:r>
        <w:rPr>
          <w:rFonts w:hint="eastAsia" w:ascii="仿宋_GB2312" w:hAnsi="Times New Roman" w:eastAsia="仿宋_GB2312" w:cs="Droid Sans"/>
          <w:b w:val="0"/>
          <w:kern w:val="2"/>
          <w:sz w:val="28"/>
          <w:szCs w:val="28"/>
          <w:lang w:val="en-US" w:eastAsia="zh-CN" w:bidi="ar-SA"/>
        </w:rPr>
        <w:t>4、</w:t>
      </w:r>
      <w:r>
        <w:rPr>
          <w:rFonts w:hint="eastAsia" w:ascii="仿宋_GB2312" w:hAnsi="Times New Roman" w:eastAsia="仿宋_GB2312" w:cs="Droid Sans"/>
          <w:b w:val="0"/>
          <w:kern w:val="2"/>
          <w:sz w:val="28"/>
          <w:szCs w:val="28"/>
          <w:lang w:val="en-US" w:eastAsia="zh-CN" w:bidi="ar-SA"/>
        </w:rPr>
        <w:fldChar w:fldCharType="begin"/>
      </w:r>
      <w:r>
        <w:rPr>
          <w:rFonts w:hint="eastAsia" w:ascii="仿宋_GB2312" w:hAnsi="Times New Roman" w:eastAsia="仿宋_GB2312" w:cs="Droid Sans"/>
          <w:b w:val="0"/>
          <w:kern w:val="2"/>
          <w:sz w:val="28"/>
          <w:szCs w:val="28"/>
          <w:lang w:val="en-US" w:eastAsia="zh-CN" w:bidi="ar-SA"/>
        </w:rPr>
        <w:instrText xml:space="preserve"> HYPERLINK "http://www.beijing.gov.cn/zfxxgk/myq11S039/nsjg13j/2019-02/12/content_myq3068.shtml" \o "密云区统计局财务科" \t "http://www.beijing.gov.cn/zfxxgk/myq11S039/jgsz12j/_blank" </w:instrText>
      </w:r>
      <w:r>
        <w:rPr>
          <w:rFonts w:hint="eastAsia" w:ascii="仿宋_GB2312" w:hAnsi="Times New Roman" w:eastAsia="仿宋_GB2312" w:cs="Droid Sans"/>
          <w:b w:val="0"/>
          <w:kern w:val="2"/>
          <w:sz w:val="28"/>
          <w:szCs w:val="28"/>
          <w:lang w:val="en-US" w:eastAsia="zh-CN" w:bidi="ar-SA"/>
        </w:rPr>
        <w:fldChar w:fldCharType="separate"/>
      </w:r>
      <w:r>
        <w:rPr>
          <w:rFonts w:hint="eastAsia" w:ascii="仿宋_GB2312" w:hAnsi="Times New Roman" w:eastAsia="仿宋_GB2312" w:cs="Droid Sans"/>
          <w:b w:val="0"/>
          <w:kern w:val="2"/>
          <w:sz w:val="28"/>
          <w:szCs w:val="28"/>
          <w:lang w:val="en-US" w:eastAsia="zh-CN" w:bidi="ar-SA"/>
        </w:rPr>
        <w:t>密云区统计局财务科</w:t>
      </w:r>
      <w:r>
        <w:rPr>
          <w:rFonts w:hint="eastAsia" w:ascii="仿宋_GB2312" w:hAnsi="Times New Roman" w:eastAsia="仿宋_GB2312" w:cs="Droid Sans"/>
          <w:b w:val="0"/>
          <w:kern w:val="2"/>
          <w:sz w:val="28"/>
          <w:szCs w:val="28"/>
          <w:lang w:val="en-US" w:eastAsia="zh-CN" w:bidi="ar-SA"/>
        </w:rPr>
        <w:fldChar w:fldCharType="end"/>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atLeast"/>
        <w:ind w:left="0" w:right="0" w:firstLine="560" w:firstLineChars="200"/>
        <w:jc w:val="left"/>
        <w:textAlignment w:val="auto"/>
        <w:outlineLvl w:val="9"/>
        <w:rPr>
          <w:rFonts w:hint="eastAsia" w:ascii="仿宋_GB2312" w:hAnsi="Times New Roman" w:eastAsia="仿宋_GB2312" w:cs="Droid Sans"/>
          <w:b w:val="0"/>
          <w:kern w:val="2"/>
          <w:sz w:val="28"/>
          <w:szCs w:val="28"/>
          <w:lang w:val="en-US" w:eastAsia="zh-CN" w:bidi="ar-SA"/>
        </w:rPr>
      </w:pPr>
      <w:r>
        <w:rPr>
          <w:rFonts w:hint="eastAsia" w:ascii="仿宋_GB2312" w:hAnsi="Times New Roman" w:eastAsia="仿宋_GB2312" w:cs="Droid Sans"/>
          <w:b w:val="0"/>
          <w:kern w:val="2"/>
          <w:sz w:val="28"/>
          <w:szCs w:val="28"/>
          <w:lang w:val="en-US" w:eastAsia="zh-CN" w:bidi="ar-SA"/>
        </w:rPr>
        <w:t>5、</w:t>
      </w:r>
      <w:r>
        <w:rPr>
          <w:rFonts w:hint="eastAsia" w:ascii="仿宋_GB2312" w:hAnsi="Times New Roman" w:eastAsia="仿宋_GB2312" w:cs="Droid Sans"/>
          <w:b w:val="0"/>
          <w:kern w:val="2"/>
          <w:sz w:val="28"/>
          <w:szCs w:val="28"/>
          <w:lang w:val="en-US" w:eastAsia="zh-CN" w:bidi="ar-SA"/>
        </w:rPr>
        <w:fldChar w:fldCharType="begin"/>
      </w:r>
      <w:r>
        <w:rPr>
          <w:rFonts w:hint="eastAsia" w:ascii="仿宋_GB2312" w:hAnsi="Times New Roman" w:eastAsia="仿宋_GB2312" w:cs="Droid Sans"/>
          <w:b w:val="0"/>
          <w:kern w:val="2"/>
          <w:sz w:val="28"/>
          <w:szCs w:val="28"/>
          <w:lang w:val="en-US" w:eastAsia="zh-CN" w:bidi="ar-SA"/>
        </w:rPr>
        <w:instrText xml:space="preserve"> HYPERLINK "http://www.beijing.gov.cn/zfxxgk/myq11S039/nsjg13j/2019-02/12/content_myq160777.shtml" \o "北京市密云区经济社会调查队专项调查科" \t "http://www.beijing.gov.cn/zfxxgk/myq11S039/jgsz12j/_blank" </w:instrText>
      </w:r>
      <w:r>
        <w:rPr>
          <w:rFonts w:hint="eastAsia" w:ascii="仿宋_GB2312" w:hAnsi="Times New Roman" w:eastAsia="仿宋_GB2312" w:cs="Droid Sans"/>
          <w:b w:val="0"/>
          <w:kern w:val="2"/>
          <w:sz w:val="28"/>
          <w:szCs w:val="28"/>
          <w:lang w:val="en-US" w:eastAsia="zh-CN" w:bidi="ar-SA"/>
        </w:rPr>
        <w:fldChar w:fldCharType="separate"/>
      </w:r>
      <w:r>
        <w:rPr>
          <w:rFonts w:hint="eastAsia" w:ascii="仿宋_GB2312" w:hAnsi="Times New Roman" w:eastAsia="仿宋_GB2312" w:cs="Droid Sans"/>
          <w:b w:val="0"/>
          <w:kern w:val="2"/>
          <w:sz w:val="28"/>
          <w:szCs w:val="28"/>
          <w:lang w:val="en-US" w:eastAsia="zh-CN" w:bidi="ar-SA"/>
        </w:rPr>
        <w:t>北京市密云区经济社会调查队专项调查科</w:t>
      </w:r>
      <w:r>
        <w:rPr>
          <w:rFonts w:hint="eastAsia" w:ascii="仿宋_GB2312" w:hAnsi="Times New Roman" w:eastAsia="仿宋_GB2312" w:cs="Droid Sans"/>
          <w:b w:val="0"/>
          <w:kern w:val="2"/>
          <w:sz w:val="28"/>
          <w:szCs w:val="28"/>
          <w:lang w:val="en-US" w:eastAsia="zh-CN" w:bidi="ar-SA"/>
        </w:rPr>
        <w:fldChar w:fldCharType="end"/>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atLeast"/>
        <w:ind w:left="0" w:right="0" w:firstLine="560" w:firstLineChars="200"/>
        <w:jc w:val="left"/>
        <w:textAlignment w:val="auto"/>
        <w:outlineLvl w:val="9"/>
        <w:rPr>
          <w:rFonts w:hint="eastAsia" w:ascii="仿宋_GB2312" w:hAnsi="Times New Roman" w:eastAsia="仿宋_GB2312" w:cs="Droid Sans"/>
          <w:b w:val="0"/>
          <w:kern w:val="2"/>
          <w:sz w:val="28"/>
          <w:szCs w:val="28"/>
          <w:lang w:val="en-US" w:eastAsia="zh-CN" w:bidi="ar-SA"/>
        </w:rPr>
      </w:pPr>
      <w:r>
        <w:rPr>
          <w:rFonts w:hint="eastAsia" w:ascii="仿宋_GB2312" w:hAnsi="Times New Roman" w:eastAsia="仿宋_GB2312" w:cs="Droid Sans"/>
          <w:b w:val="0"/>
          <w:kern w:val="2"/>
          <w:sz w:val="28"/>
          <w:szCs w:val="28"/>
          <w:lang w:val="en-US" w:eastAsia="zh-CN" w:bidi="ar-SA"/>
        </w:rPr>
        <w:t>6、</w:t>
      </w:r>
      <w:r>
        <w:rPr>
          <w:rFonts w:hint="eastAsia" w:ascii="仿宋_GB2312" w:hAnsi="Times New Roman" w:eastAsia="仿宋_GB2312" w:cs="Droid Sans"/>
          <w:b w:val="0"/>
          <w:kern w:val="2"/>
          <w:sz w:val="28"/>
          <w:szCs w:val="28"/>
          <w:lang w:val="en-US" w:eastAsia="zh-CN" w:bidi="ar-SA"/>
        </w:rPr>
        <w:fldChar w:fldCharType="begin"/>
      </w:r>
      <w:r>
        <w:rPr>
          <w:rFonts w:hint="eastAsia" w:ascii="仿宋_GB2312" w:hAnsi="Times New Roman" w:eastAsia="仿宋_GB2312" w:cs="Droid Sans"/>
          <w:b w:val="0"/>
          <w:kern w:val="2"/>
          <w:sz w:val="28"/>
          <w:szCs w:val="28"/>
          <w:lang w:val="en-US" w:eastAsia="zh-CN" w:bidi="ar-SA"/>
        </w:rPr>
        <w:instrText xml:space="preserve"> HYPERLINK "http://www.beijing.gov.cn/zfxxgk/myq11S039/nsjg13j/2019-02/12/content_myq3064.shtml" \o "密云区统计局办公室" \t "http://www.beijing.gov.cn/zfxxgk/myq11S039/jgsz12j/_blank" </w:instrText>
      </w:r>
      <w:r>
        <w:rPr>
          <w:rFonts w:hint="eastAsia" w:ascii="仿宋_GB2312" w:hAnsi="Times New Roman" w:eastAsia="仿宋_GB2312" w:cs="Droid Sans"/>
          <w:b w:val="0"/>
          <w:kern w:val="2"/>
          <w:sz w:val="28"/>
          <w:szCs w:val="28"/>
          <w:lang w:val="en-US" w:eastAsia="zh-CN" w:bidi="ar-SA"/>
        </w:rPr>
        <w:fldChar w:fldCharType="separate"/>
      </w:r>
      <w:r>
        <w:rPr>
          <w:rFonts w:hint="eastAsia" w:ascii="仿宋_GB2312" w:hAnsi="Times New Roman" w:eastAsia="仿宋_GB2312" w:cs="Droid Sans"/>
          <w:b w:val="0"/>
          <w:kern w:val="2"/>
          <w:sz w:val="28"/>
          <w:szCs w:val="28"/>
          <w:lang w:val="en-US" w:eastAsia="zh-CN" w:bidi="ar-SA"/>
        </w:rPr>
        <w:t>密云区统计局办公室</w:t>
      </w:r>
      <w:r>
        <w:rPr>
          <w:rFonts w:hint="eastAsia" w:ascii="仿宋_GB2312" w:hAnsi="Times New Roman" w:eastAsia="仿宋_GB2312" w:cs="Droid Sans"/>
          <w:b w:val="0"/>
          <w:kern w:val="2"/>
          <w:sz w:val="28"/>
          <w:szCs w:val="28"/>
          <w:lang w:val="en-US" w:eastAsia="zh-CN" w:bidi="ar-SA"/>
        </w:rPr>
        <w:fldChar w:fldCharType="end"/>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atLeast"/>
        <w:ind w:left="0" w:right="0" w:firstLine="560" w:firstLineChars="200"/>
        <w:jc w:val="left"/>
        <w:textAlignment w:val="auto"/>
        <w:outlineLvl w:val="9"/>
        <w:rPr>
          <w:rFonts w:hint="eastAsia" w:ascii="仿宋_GB2312" w:hAnsi="Times New Roman" w:eastAsia="仿宋_GB2312" w:cs="Droid Sans"/>
          <w:b w:val="0"/>
          <w:kern w:val="2"/>
          <w:sz w:val="28"/>
          <w:szCs w:val="28"/>
          <w:lang w:val="en-US" w:eastAsia="zh-CN" w:bidi="ar-SA"/>
        </w:rPr>
      </w:pPr>
      <w:r>
        <w:rPr>
          <w:rFonts w:hint="eastAsia" w:ascii="仿宋_GB2312" w:hAnsi="Times New Roman" w:eastAsia="仿宋_GB2312" w:cs="Droid Sans"/>
          <w:b w:val="0"/>
          <w:kern w:val="2"/>
          <w:sz w:val="28"/>
          <w:szCs w:val="28"/>
          <w:lang w:val="en-US" w:eastAsia="zh-CN" w:bidi="ar-SA"/>
        </w:rPr>
        <w:t>7、</w:t>
      </w:r>
      <w:r>
        <w:rPr>
          <w:rFonts w:hint="eastAsia" w:ascii="仿宋_GB2312" w:hAnsi="Times New Roman" w:eastAsia="仿宋_GB2312" w:cs="Droid Sans"/>
          <w:b w:val="0"/>
          <w:kern w:val="2"/>
          <w:sz w:val="28"/>
          <w:szCs w:val="28"/>
          <w:lang w:val="en-US" w:eastAsia="zh-CN" w:bidi="ar-SA"/>
        </w:rPr>
        <w:fldChar w:fldCharType="begin"/>
      </w:r>
      <w:r>
        <w:rPr>
          <w:rFonts w:hint="eastAsia" w:ascii="仿宋_GB2312" w:hAnsi="Times New Roman" w:eastAsia="仿宋_GB2312" w:cs="Droid Sans"/>
          <w:b w:val="0"/>
          <w:kern w:val="2"/>
          <w:sz w:val="28"/>
          <w:szCs w:val="28"/>
          <w:lang w:val="en-US" w:eastAsia="zh-CN" w:bidi="ar-SA"/>
        </w:rPr>
        <w:instrText xml:space="preserve"> HYPERLINK "http://www.beijing.gov.cn/zfxxgk/myq11S039/nsjg13j/2019-02/12/content_myq3086.shtml" \o "密云区统计局人事教育科" \t "http://www.beijing.gov.cn/zfxxgk/myq11S039/jgsz12j/_blank" </w:instrText>
      </w:r>
      <w:r>
        <w:rPr>
          <w:rFonts w:hint="eastAsia" w:ascii="仿宋_GB2312" w:hAnsi="Times New Roman" w:eastAsia="仿宋_GB2312" w:cs="Droid Sans"/>
          <w:b w:val="0"/>
          <w:kern w:val="2"/>
          <w:sz w:val="28"/>
          <w:szCs w:val="28"/>
          <w:lang w:val="en-US" w:eastAsia="zh-CN" w:bidi="ar-SA"/>
        </w:rPr>
        <w:fldChar w:fldCharType="separate"/>
      </w:r>
      <w:r>
        <w:rPr>
          <w:rFonts w:hint="eastAsia" w:ascii="仿宋_GB2312" w:hAnsi="Times New Roman" w:eastAsia="仿宋_GB2312" w:cs="Droid Sans"/>
          <w:b w:val="0"/>
          <w:kern w:val="2"/>
          <w:sz w:val="28"/>
          <w:szCs w:val="28"/>
          <w:lang w:val="en-US" w:eastAsia="zh-CN" w:bidi="ar-SA"/>
        </w:rPr>
        <w:t>密云区统计局人事教育科</w:t>
      </w:r>
      <w:r>
        <w:rPr>
          <w:rFonts w:hint="eastAsia" w:ascii="仿宋_GB2312" w:hAnsi="Times New Roman" w:eastAsia="仿宋_GB2312" w:cs="Droid Sans"/>
          <w:b w:val="0"/>
          <w:kern w:val="2"/>
          <w:sz w:val="28"/>
          <w:szCs w:val="28"/>
          <w:lang w:val="en-US" w:eastAsia="zh-CN" w:bidi="ar-SA"/>
        </w:rPr>
        <w:fldChar w:fldCharType="end"/>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atLeast"/>
        <w:ind w:left="0" w:right="0" w:firstLine="560" w:firstLineChars="200"/>
        <w:jc w:val="left"/>
        <w:textAlignment w:val="auto"/>
        <w:outlineLvl w:val="9"/>
        <w:rPr>
          <w:rFonts w:hint="eastAsia" w:ascii="仿宋_GB2312" w:hAnsi="Times New Roman" w:eastAsia="仿宋_GB2312" w:cs="Droid Sans"/>
          <w:b w:val="0"/>
          <w:kern w:val="2"/>
          <w:sz w:val="28"/>
          <w:szCs w:val="28"/>
          <w:lang w:val="en-US" w:eastAsia="zh-CN" w:bidi="ar-SA"/>
        </w:rPr>
      </w:pPr>
      <w:r>
        <w:rPr>
          <w:rFonts w:hint="eastAsia" w:ascii="仿宋_GB2312" w:hAnsi="Times New Roman" w:eastAsia="仿宋_GB2312" w:cs="Droid Sans"/>
          <w:b w:val="0"/>
          <w:kern w:val="2"/>
          <w:sz w:val="28"/>
          <w:szCs w:val="28"/>
          <w:lang w:val="en-US" w:eastAsia="zh-CN" w:bidi="ar-SA"/>
        </w:rPr>
        <w:t>8、密云区统计局调查中心</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atLeast"/>
        <w:ind w:left="0" w:right="0" w:firstLine="560" w:firstLineChars="200"/>
        <w:jc w:val="left"/>
        <w:textAlignment w:val="auto"/>
        <w:outlineLvl w:val="9"/>
        <w:rPr>
          <w:rFonts w:hint="eastAsia" w:ascii="仿宋_GB2312" w:hAnsi="Times New Roman" w:eastAsia="仿宋_GB2312" w:cs="Droid Sans"/>
          <w:b w:val="0"/>
          <w:kern w:val="2"/>
          <w:sz w:val="28"/>
          <w:szCs w:val="28"/>
          <w:lang w:val="en-US" w:eastAsia="zh-CN" w:bidi="ar-SA"/>
        </w:rPr>
      </w:pPr>
      <w:r>
        <w:rPr>
          <w:rFonts w:hint="eastAsia" w:ascii="仿宋_GB2312" w:hAnsi="Times New Roman" w:eastAsia="仿宋_GB2312" w:cs="Droid Sans"/>
          <w:b w:val="0"/>
          <w:kern w:val="2"/>
          <w:sz w:val="28"/>
          <w:szCs w:val="28"/>
          <w:lang w:val="en-US" w:eastAsia="zh-CN" w:bidi="ar-SA"/>
        </w:rPr>
        <w:t>9、</w:t>
      </w:r>
      <w:r>
        <w:rPr>
          <w:rFonts w:hint="eastAsia" w:ascii="仿宋_GB2312" w:hAnsi="Times New Roman" w:eastAsia="仿宋_GB2312" w:cs="Droid Sans"/>
          <w:b w:val="0"/>
          <w:kern w:val="2"/>
          <w:sz w:val="28"/>
          <w:szCs w:val="28"/>
          <w:lang w:val="en-US" w:eastAsia="zh-CN" w:bidi="ar-SA"/>
        </w:rPr>
        <w:fldChar w:fldCharType="begin"/>
      </w:r>
      <w:r>
        <w:rPr>
          <w:rFonts w:hint="eastAsia" w:ascii="仿宋_GB2312" w:hAnsi="Times New Roman" w:eastAsia="仿宋_GB2312" w:cs="Droid Sans"/>
          <w:b w:val="0"/>
          <w:kern w:val="2"/>
          <w:sz w:val="28"/>
          <w:szCs w:val="28"/>
          <w:lang w:val="en-US" w:eastAsia="zh-CN" w:bidi="ar-SA"/>
        </w:rPr>
        <w:instrText xml:space="preserve"> HYPERLINK "http://www.beijing.gov.cn/zfxxgk/myq11S039/nsjg13j/2019-02/12/content_myq3065.shtml" \o "密云区统计局综合调研科" \t "http://www.beijing.gov.cn/zfxxgk/myq11S039/jgsz12j/_blank" </w:instrText>
      </w:r>
      <w:r>
        <w:rPr>
          <w:rFonts w:hint="eastAsia" w:ascii="仿宋_GB2312" w:hAnsi="Times New Roman" w:eastAsia="仿宋_GB2312" w:cs="Droid Sans"/>
          <w:b w:val="0"/>
          <w:kern w:val="2"/>
          <w:sz w:val="28"/>
          <w:szCs w:val="28"/>
          <w:lang w:val="en-US" w:eastAsia="zh-CN" w:bidi="ar-SA"/>
        </w:rPr>
        <w:fldChar w:fldCharType="separate"/>
      </w:r>
      <w:r>
        <w:rPr>
          <w:rFonts w:hint="eastAsia" w:ascii="仿宋_GB2312" w:hAnsi="Times New Roman" w:eastAsia="仿宋_GB2312" w:cs="Droid Sans"/>
          <w:b w:val="0"/>
          <w:kern w:val="2"/>
          <w:sz w:val="28"/>
          <w:szCs w:val="28"/>
          <w:lang w:val="en-US" w:eastAsia="zh-CN" w:bidi="ar-SA"/>
        </w:rPr>
        <w:t>密云区统计局综合调研科</w:t>
      </w:r>
      <w:r>
        <w:rPr>
          <w:rFonts w:hint="eastAsia" w:ascii="仿宋_GB2312" w:hAnsi="Times New Roman" w:eastAsia="仿宋_GB2312" w:cs="Droid Sans"/>
          <w:b w:val="0"/>
          <w:kern w:val="2"/>
          <w:sz w:val="28"/>
          <w:szCs w:val="28"/>
          <w:lang w:val="en-US" w:eastAsia="zh-CN" w:bidi="ar-SA"/>
        </w:rPr>
        <w:fldChar w:fldCharType="end"/>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atLeast"/>
        <w:ind w:left="0" w:right="0" w:firstLine="560" w:firstLineChars="200"/>
        <w:jc w:val="left"/>
        <w:textAlignment w:val="auto"/>
        <w:outlineLvl w:val="9"/>
        <w:rPr>
          <w:rFonts w:hint="eastAsia" w:ascii="仿宋_GB2312" w:hAnsi="Times New Roman" w:eastAsia="仿宋_GB2312" w:cs="Droid Sans"/>
          <w:b w:val="0"/>
          <w:kern w:val="2"/>
          <w:sz w:val="28"/>
          <w:szCs w:val="28"/>
          <w:lang w:val="en-US" w:eastAsia="zh-CN" w:bidi="ar-SA"/>
        </w:rPr>
      </w:pPr>
      <w:r>
        <w:rPr>
          <w:rFonts w:hint="eastAsia" w:ascii="仿宋_GB2312" w:hAnsi="Times New Roman" w:eastAsia="仿宋_GB2312" w:cs="Droid Sans"/>
          <w:b w:val="0"/>
          <w:kern w:val="2"/>
          <w:sz w:val="28"/>
          <w:szCs w:val="28"/>
          <w:lang w:val="en-US" w:eastAsia="zh-CN" w:bidi="ar-SA"/>
        </w:rPr>
        <w:t>10、</w:t>
      </w:r>
      <w:r>
        <w:rPr>
          <w:rFonts w:hint="eastAsia" w:ascii="仿宋_GB2312" w:hAnsi="Times New Roman" w:eastAsia="仿宋_GB2312" w:cs="Droid Sans"/>
          <w:b w:val="0"/>
          <w:kern w:val="2"/>
          <w:sz w:val="28"/>
          <w:szCs w:val="28"/>
          <w:lang w:val="en-US" w:eastAsia="zh-CN" w:bidi="ar-SA"/>
        </w:rPr>
        <w:fldChar w:fldCharType="begin"/>
      </w:r>
      <w:r>
        <w:rPr>
          <w:rFonts w:hint="eastAsia" w:ascii="仿宋_GB2312" w:hAnsi="Times New Roman" w:eastAsia="仿宋_GB2312" w:cs="Droid Sans"/>
          <w:b w:val="0"/>
          <w:kern w:val="2"/>
          <w:sz w:val="28"/>
          <w:szCs w:val="28"/>
          <w:lang w:val="en-US" w:eastAsia="zh-CN" w:bidi="ar-SA"/>
        </w:rPr>
        <w:instrText xml:space="preserve"> HYPERLINK "http://www.beijing.gov.cn/zfxxgk/myq11S039/nsjg13j/2019-02/12/content_myq3080.shtml" \o "密云区统计局人口社会科" \t "http://www.beijing.gov.cn/zfxxgk/myq11S039/jgsz12j/_blank" </w:instrText>
      </w:r>
      <w:r>
        <w:rPr>
          <w:rFonts w:hint="eastAsia" w:ascii="仿宋_GB2312" w:hAnsi="Times New Roman" w:eastAsia="仿宋_GB2312" w:cs="Droid Sans"/>
          <w:b w:val="0"/>
          <w:kern w:val="2"/>
          <w:sz w:val="28"/>
          <w:szCs w:val="28"/>
          <w:lang w:val="en-US" w:eastAsia="zh-CN" w:bidi="ar-SA"/>
        </w:rPr>
        <w:fldChar w:fldCharType="separate"/>
      </w:r>
      <w:r>
        <w:rPr>
          <w:rFonts w:hint="eastAsia" w:ascii="仿宋_GB2312" w:hAnsi="Times New Roman" w:eastAsia="仿宋_GB2312" w:cs="Droid Sans"/>
          <w:b w:val="0"/>
          <w:kern w:val="2"/>
          <w:sz w:val="28"/>
          <w:szCs w:val="28"/>
          <w:lang w:val="en-US" w:eastAsia="zh-CN" w:bidi="ar-SA"/>
        </w:rPr>
        <w:t>密云区统计局人口社会科</w:t>
      </w:r>
      <w:r>
        <w:rPr>
          <w:rFonts w:hint="eastAsia" w:ascii="仿宋_GB2312" w:hAnsi="Times New Roman" w:eastAsia="仿宋_GB2312" w:cs="Droid Sans"/>
          <w:b w:val="0"/>
          <w:kern w:val="2"/>
          <w:sz w:val="28"/>
          <w:szCs w:val="28"/>
          <w:lang w:val="en-US" w:eastAsia="zh-CN" w:bidi="ar-SA"/>
        </w:rPr>
        <w:fldChar w:fldCharType="end"/>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atLeast"/>
        <w:ind w:left="0" w:right="0" w:firstLine="560" w:firstLineChars="200"/>
        <w:jc w:val="left"/>
        <w:textAlignment w:val="auto"/>
        <w:outlineLvl w:val="9"/>
        <w:rPr>
          <w:rFonts w:hint="eastAsia" w:ascii="仿宋_GB2312" w:hAnsi="Times New Roman" w:eastAsia="仿宋_GB2312" w:cs="Droid Sans"/>
          <w:b w:val="0"/>
          <w:kern w:val="2"/>
          <w:sz w:val="28"/>
          <w:szCs w:val="28"/>
          <w:lang w:val="en-US" w:eastAsia="zh-CN" w:bidi="ar-SA"/>
        </w:rPr>
      </w:pPr>
      <w:r>
        <w:rPr>
          <w:rFonts w:hint="eastAsia" w:ascii="仿宋_GB2312" w:hAnsi="Times New Roman" w:eastAsia="仿宋_GB2312" w:cs="Droid Sans"/>
          <w:b w:val="0"/>
          <w:kern w:val="2"/>
          <w:sz w:val="28"/>
          <w:szCs w:val="28"/>
          <w:lang w:val="en-US" w:eastAsia="zh-CN" w:bidi="ar-SA"/>
        </w:rPr>
        <w:t>11、</w:t>
      </w:r>
      <w:r>
        <w:rPr>
          <w:rFonts w:hint="eastAsia" w:ascii="仿宋_GB2312" w:hAnsi="Times New Roman" w:eastAsia="仿宋_GB2312" w:cs="Droid Sans"/>
          <w:b w:val="0"/>
          <w:kern w:val="2"/>
          <w:sz w:val="28"/>
          <w:szCs w:val="28"/>
          <w:lang w:val="en-US" w:eastAsia="zh-CN" w:bidi="ar-SA"/>
        </w:rPr>
        <w:fldChar w:fldCharType="begin"/>
      </w:r>
      <w:r>
        <w:rPr>
          <w:rFonts w:hint="eastAsia" w:ascii="仿宋_GB2312" w:hAnsi="Times New Roman" w:eastAsia="仿宋_GB2312" w:cs="Droid Sans"/>
          <w:b w:val="0"/>
          <w:kern w:val="2"/>
          <w:sz w:val="28"/>
          <w:szCs w:val="28"/>
          <w:lang w:val="en-US" w:eastAsia="zh-CN" w:bidi="ar-SA"/>
        </w:rPr>
        <w:instrText xml:space="preserve"> HYPERLINK "http://www.beijing.gov.cn/zfxxgk/myq11S039/nsjg13j/2019-02/12/content_myq3070.shtml" \o "密云区统计局计算机信息科" \t "http://www.beijing.gov.cn/zfxxgk/myq11S039/jgsz12j/_blank" </w:instrText>
      </w:r>
      <w:r>
        <w:rPr>
          <w:rFonts w:hint="eastAsia" w:ascii="仿宋_GB2312" w:hAnsi="Times New Roman" w:eastAsia="仿宋_GB2312" w:cs="Droid Sans"/>
          <w:b w:val="0"/>
          <w:kern w:val="2"/>
          <w:sz w:val="28"/>
          <w:szCs w:val="28"/>
          <w:lang w:val="en-US" w:eastAsia="zh-CN" w:bidi="ar-SA"/>
        </w:rPr>
        <w:fldChar w:fldCharType="separate"/>
      </w:r>
      <w:r>
        <w:rPr>
          <w:rFonts w:hint="eastAsia" w:ascii="仿宋_GB2312" w:hAnsi="Times New Roman" w:eastAsia="仿宋_GB2312" w:cs="Droid Sans"/>
          <w:b w:val="0"/>
          <w:kern w:val="2"/>
          <w:sz w:val="28"/>
          <w:szCs w:val="28"/>
          <w:lang w:val="en-US" w:eastAsia="zh-CN" w:bidi="ar-SA"/>
        </w:rPr>
        <w:t>密云区统计局计算机信息科</w:t>
      </w:r>
      <w:r>
        <w:rPr>
          <w:rFonts w:hint="eastAsia" w:ascii="仿宋_GB2312" w:hAnsi="Times New Roman" w:eastAsia="仿宋_GB2312" w:cs="Droid Sans"/>
          <w:b w:val="0"/>
          <w:kern w:val="2"/>
          <w:sz w:val="28"/>
          <w:szCs w:val="28"/>
          <w:lang w:val="en-US" w:eastAsia="zh-CN" w:bidi="ar-SA"/>
        </w:rPr>
        <w:fldChar w:fldCharType="end"/>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atLeast"/>
        <w:ind w:left="0" w:right="0" w:firstLine="560" w:firstLineChars="200"/>
        <w:jc w:val="left"/>
        <w:textAlignment w:val="auto"/>
        <w:outlineLvl w:val="9"/>
        <w:rPr>
          <w:rFonts w:hint="eastAsia" w:ascii="仿宋_GB2312" w:hAnsi="Times New Roman" w:eastAsia="仿宋_GB2312" w:cs="Droid Sans"/>
          <w:b w:val="0"/>
          <w:kern w:val="2"/>
          <w:sz w:val="28"/>
          <w:szCs w:val="28"/>
          <w:lang w:val="en-US" w:eastAsia="zh-CN" w:bidi="ar-SA"/>
        </w:rPr>
      </w:pPr>
      <w:r>
        <w:rPr>
          <w:rFonts w:hint="eastAsia" w:ascii="仿宋_GB2312" w:hAnsi="Times New Roman" w:eastAsia="仿宋_GB2312" w:cs="Droid Sans"/>
          <w:b w:val="0"/>
          <w:kern w:val="2"/>
          <w:sz w:val="28"/>
          <w:szCs w:val="28"/>
          <w:lang w:val="en-US" w:eastAsia="zh-CN" w:bidi="ar-SA"/>
        </w:rPr>
        <w:t>12、</w:t>
      </w:r>
      <w:r>
        <w:rPr>
          <w:rFonts w:hint="eastAsia" w:ascii="仿宋_GB2312" w:hAnsi="Times New Roman" w:eastAsia="仿宋_GB2312" w:cs="Droid Sans"/>
          <w:b w:val="0"/>
          <w:kern w:val="2"/>
          <w:sz w:val="28"/>
          <w:szCs w:val="28"/>
          <w:lang w:val="en-US" w:eastAsia="zh-CN" w:bidi="ar-SA"/>
        </w:rPr>
        <w:fldChar w:fldCharType="begin"/>
      </w:r>
      <w:r>
        <w:rPr>
          <w:rFonts w:hint="eastAsia" w:ascii="仿宋_GB2312" w:hAnsi="Times New Roman" w:eastAsia="仿宋_GB2312" w:cs="Droid Sans"/>
          <w:b w:val="0"/>
          <w:kern w:val="2"/>
          <w:sz w:val="28"/>
          <w:szCs w:val="28"/>
          <w:lang w:val="en-US" w:eastAsia="zh-CN" w:bidi="ar-SA"/>
        </w:rPr>
        <w:instrText xml:space="preserve"> HYPERLINK "http://www.beijing.gov.cn/zfxxgk/myq11S039/nsjg13j/2019-02/12/content_myq3076.shtml" \o "密云区统计局工业建筑科" \t "http://www.beijing.gov.cn/zfxxgk/myq11S039/jgsz12j/_blank" </w:instrText>
      </w:r>
      <w:r>
        <w:rPr>
          <w:rFonts w:hint="eastAsia" w:ascii="仿宋_GB2312" w:hAnsi="Times New Roman" w:eastAsia="仿宋_GB2312" w:cs="Droid Sans"/>
          <w:b w:val="0"/>
          <w:kern w:val="2"/>
          <w:sz w:val="28"/>
          <w:szCs w:val="28"/>
          <w:lang w:val="en-US" w:eastAsia="zh-CN" w:bidi="ar-SA"/>
        </w:rPr>
        <w:fldChar w:fldCharType="separate"/>
      </w:r>
      <w:r>
        <w:rPr>
          <w:rFonts w:hint="eastAsia" w:ascii="仿宋_GB2312" w:hAnsi="Times New Roman" w:eastAsia="仿宋_GB2312" w:cs="Droid Sans"/>
          <w:b w:val="0"/>
          <w:kern w:val="2"/>
          <w:sz w:val="28"/>
          <w:szCs w:val="28"/>
          <w:lang w:val="en-US" w:eastAsia="zh-CN" w:bidi="ar-SA"/>
        </w:rPr>
        <w:t>密云区统计局工业建筑科</w:t>
      </w:r>
      <w:r>
        <w:rPr>
          <w:rFonts w:hint="eastAsia" w:ascii="仿宋_GB2312" w:hAnsi="Times New Roman" w:eastAsia="仿宋_GB2312" w:cs="Droid Sans"/>
          <w:b w:val="0"/>
          <w:kern w:val="2"/>
          <w:sz w:val="28"/>
          <w:szCs w:val="28"/>
          <w:lang w:val="en-US" w:eastAsia="zh-CN" w:bidi="ar-SA"/>
        </w:rPr>
        <w:fldChar w:fldCharType="end"/>
      </w:r>
    </w:p>
    <w:p>
      <w:pPr>
        <w:pStyle w:val="2"/>
        <w:keepNext w:val="0"/>
        <w:keepLines w:val="0"/>
        <w:pageBreakBefore w:val="0"/>
        <w:kinsoku/>
        <w:wordWrap/>
        <w:overflowPunct/>
        <w:topLinePunct w:val="0"/>
        <w:autoSpaceDE/>
        <w:autoSpaceDN/>
        <w:bidi w:val="0"/>
        <w:adjustRightInd/>
        <w:snapToGrid/>
        <w:ind w:left="0" w:leftChars="0" w:firstLine="560" w:firstLineChars="200"/>
        <w:textAlignment w:val="auto"/>
        <w:outlineLvl w:val="9"/>
        <w:rPr>
          <w:rFonts w:hint="eastAsia"/>
        </w:rPr>
      </w:pPr>
      <w:r>
        <w:rPr>
          <w:rFonts w:hint="eastAsia" w:ascii="仿宋_GB2312" w:hAnsi="Times New Roman" w:eastAsia="仿宋_GB2312" w:cs="Droid Sans"/>
          <w:b w:val="0"/>
          <w:kern w:val="2"/>
          <w:sz w:val="28"/>
          <w:szCs w:val="28"/>
          <w:lang w:val="en-US" w:eastAsia="zh-CN" w:bidi="ar-SA"/>
        </w:rPr>
        <w:t>13、</w:t>
      </w:r>
      <w:r>
        <w:rPr>
          <w:rFonts w:hint="eastAsia" w:ascii="仿宋_GB2312" w:hAnsi="Times New Roman" w:eastAsia="仿宋_GB2312" w:cs="Droid Sans"/>
          <w:b w:val="0"/>
          <w:kern w:val="2"/>
          <w:sz w:val="28"/>
          <w:szCs w:val="28"/>
          <w:lang w:val="en-US" w:eastAsia="zh-CN" w:bidi="ar-SA"/>
        </w:rPr>
        <w:fldChar w:fldCharType="begin"/>
      </w:r>
      <w:r>
        <w:rPr>
          <w:rFonts w:hint="eastAsia" w:ascii="仿宋_GB2312" w:hAnsi="Times New Roman" w:eastAsia="仿宋_GB2312" w:cs="Droid Sans"/>
          <w:b w:val="0"/>
          <w:kern w:val="2"/>
          <w:sz w:val="28"/>
          <w:szCs w:val="28"/>
          <w:lang w:val="en-US" w:eastAsia="zh-CN" w:bidi="ar-SA"/>
        </w:rPr>
        <w:instrText xml:space="preserve"> HYPERLINK "http://www.beijing.gov.cn/zfxxgk/myq11S039/nsjg13j/2019-02/12/content_myq3084.shtml" \o "密云区统计局能源与资源统计监测科" \t "http://www.beijing.gov.cn/zfxxgk/myq11S039/jgsz12j/_blank" </w:instrText>
      </w:r>
      <w:r>
        <w:rPr>
          <w:rFonts w:hint="eastAsia" w:ascii="仿宋_GB2312" w:hAnsi="Times New Roman" w:eastAsia="仿宋_GB2312" w:cs="Droid Sans"/>
          <w:b w:val="0"/>
          <w:kern w:val="2"/>
          <w:sz w:val="28"/>
          <w:szCs w:val="28"/>
          <w:lang w:val="en-US" w:eastAsia="zh-CN" w:bidi="ar-SA"/>
        </w:rPr>
        <w:fldChar w:fldCharType="separate"/>
      </w:r>
      <w:r>
        <w:rPr>
          <w:rFonts w:hint="eastAsia" w:ascii="仿宋_GB2312" w:hAnsi="Times New Roman" w:eastAsia="仿宋_GB2312" w:cs="Droid Sans"/>
          <w:b w:val="0"/>
          <w:kern w:val="2"/>
          <w:sz w:val="28"/>
          <w:szCs w:val="28"/>
          <w:lang w:val="en-US" w:eastAsia="zh-CN" w:bidi="ar-SA"/>
        </w:rPr>
        <w:t>密云区统计局能源与资源统计监测科</w:t>
      </w:r>
      <w:r>
        <w:rPr>
          <w:rFonts w:hint="eastAsia" w:ascii="仿宋_GB2312" w:hAnsi="Times New Roman" w:eastAsia="仿宋_GB2312" w:cs="Droid Sans"/>
          <w:b w:val="0"/>
          <w:kern w:val="2"/>
          <w:sz w:val="28"/>
          <w:szCs w:val="28"/>
          <w:lang w:val="en-US" w:eastAsia="zh-CN" w:bidi="ar-SA"/>
        </w:rPr>
        <w:fldChar w:fldCharType="end"/>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（二）人员构成情况</w:t>
      </w:r>
    </w:p>
    <w:p>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行政编制</w:t>
      </w:r>
      <w:r>
        <w:rPr>
          <w:rFonts w:hint="eastAsia" w:ascii="仿宋_GB2312" w:eastAsia="仿宋_GB2312"/>
          <w:kern w:val="0"/>
          <w:sz w:val="28"/>
          <w:szCs w:val="28"/>
          <w:lang w:val="en-US" w:eastAsia="zh-CN"/>
        </w:rPr>
        <w:t>57</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54</w:t>
      </w:r>
      <w:r>
        <w:rPr>
          <w:rFonts w:hint="eastAsia" w:ascii="仿宋_GB2312" w:eastAsia="仿宋_GB2312"/>
          <w:kern w:val="0"/>
          <w:sz w:val="28"/>
          <w:szCs w:val="28"/>
        </w:rPr>
        <w:t>人；事业编制</w:t>
      </w:r>
      <w:r>
        <w:rPr>
          <w:rFonts w:hint="eastAsia" w:ascii="仿宋_GB2312" w:eastAsia="仿宋_GB2312"/>
          <w:kern w:val="0"/>
          <w:sz w:val="28"/>
          <w:szCs w:val="28"/>
          <w:lang w:val="en-US" w:eastAsia="zh-CN"/>
        </w:rPr>
        <w:t>0</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0</w:t>
      </w:r>
      <w:r>
        <w:rPr>
          <w:rFonts w:hint="eastAsia" w:ascii="仿宋_GB2312" w:eastAsia="仿宋_GB2312"/>
          <w:kern w:val="0"/>
          <w:sz w:val="28"/>
          <w:szCs w:val="28"/>
        </w:rPr>
        <w:t>人。</w:t>
      </w:r>
    </w:p>
    <w:p>
      <w:pPr>
        <w:tabs>
          <w:tab w:val="center" w:pos="6979"/>
        </w:tabs>
        <w:spacing w:line="580" w:lineRule="exact"/>
        <w:rPr>
          <w:rFonts w:hint="eastAsia" w:ascii="黑体" w:eastAsia="黑体"/>
          <w:b w:val="0"/>
          <w:bCs/>
          <w:sz w:val="28"/>
          <w:szCs w:val="28"/>
        </w:rPr>
      </w:pPr>
      <w:r>
        <w:rPr>
          <w:rFonts w:hint="eastAsia" w:ascii="仿宋_GB2312" w:eastAsia="仿宋_GB2312"/>
          <w:b/>
          <w:sz w:val="32"/>
          <w:szCs w:val="32"/>
        </w:rPr>
        <w:t xml:space="preserve">  </w:t>
      </w:r>
      <w:r>
        <w:rPr>
          <w:rFonts w:hint="eastAsia" w:ascii="仿宋_GB2312" w:eastAsia="仿宋_GB2312"/>
          <w:b w:val="0"/>
          <w:bCs/>
          <w:sz w:val="32"/>
          <w:szCs w:val="32"/>
        </w:rPr>
        <w:t xml:space="preserve"> </w:t>
      </w:r>
      <w:r>
        <w:rPr>
          <w:rFonts w:hint="eastAsia" w:ascii="黑体" w:eastAsia="黑体"/>
          <w:b w:val="0"/>
          <w:bCs/>
          <w:sz w:val="28"/>
          <w:szCs w:val="28"/>
        </w:rPr>
        <w:t>二、收入支出决算总体情况说明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2053.1</w:t>
      </w:r>
      <w:r>
        <w:rPr>
          <w:rFonts w:hint="eastAsia" w:ascii="仿宋_GB2312" w:eastAsia="仿宋_GB2312"/>
          <w:sz w:val="28"/>
          <w:szCs w:val="28"/>
          <w:lang w:val="en-US" w:eastAsia="zh-CN"/>
        </w:rPr>
        <w:t>0</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224.62</w:t>
      </w:r>
      <w:r>
        <w:rPr>
          <w:rFonts w:hint="eastAsia" w:ascii="仿宋_GB2312" w:eastAsia="仿宋_GB2312"/>
          <w:sz w:val="28"/>
          <w:szCs w:val="28"/>
        </w:rPr>
        <w:t>万元，增长</w:t>
      </w:r>
      <w:r>
        <w:rPr>
          <w:rFonts w:hint="eastAsia" w:ascii="仿宋_GB2312" w:eastAsia="仿宋_GB2312"/>
          <w:sz w:val="28"/>
          <w:szCs w:val="28"/>
          <w:lang w:val="en-US" w:eastAsia="zh-CN"/>
        </w:rPr>
        <w:t>12.28</w:t>
      </w:r>
      <w:r>
        <w:rPr>
          <w:rFonts w:hint="eastAsia" w:ascii="仿宋_GB2312" w:eastAsia="仿宋_GB2312"/>
          <w:sz w:val="28"/>
          <w:szCs w:val="28"/>
        </w:rPr>
        <w:t>%。</w:t>
      </w:r>
    </w:p>
    <w:p>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（一</w:t>
      </w:r>
      <w:r>
        <w:rPr>
          <w:rFonts w:ascii="仿宋_GB2312" w:eastAsia="仿宋_GB2312"/>
          <w:sz w:val="28"/>
          <w:szCs w:val="28"/>
          <w:highlight w:val="none"/>
        </w:rPr>
        <w:t>）</w:t>
      </w:r>
      <w:r>
        <w:rPr>
          <w:rFonts w:hint="eastAsia" w:ascii="仿宋_GB2312" w:eastAsia="仿宋_GB2312"/>
          <w:sz w:val="28"/>
          <w:szCs w:val="28"/>
          <w:highlight w:val="none"/>
        </w:rPr>
        <w:t>收入决算</w:t>
      </w:r>
      <w:r>
        <w:rPr>
          <w:rFonts w:ascii="仿宋_GB2312" w:eastAsia="仿宋_GB2312"/>
          <w:sz w:val="28"/>
          <w:szCs w:val="28"/>
          <w:highlight w:val="none"/>
        </w:rPr>
        <w:t>说明</w:t>
      </w:r>
    </w:p>
    <w:p>
      <w:pPr>
        <w:tabs>
          <w:tab w:val="center" w:pos="6979"/>
        </w:tabs>
        <w:spacing w:line="580" w:lineRule="exact"/>
        <w:ind w:firstLine="570"/>
        <w:rPr>
          <w:rFonts w:hint="eastAsia" w:ascii="仿宋_GB2312" w:eastAsia="仿宋_GB2312"/>
          <w:sz w:val="28"/>
          <w:szCs w:val="28"/>
          <w:lang w:eastAsia="zh-CN"/>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年度本年收入合计</w:t>
      </w:r>
      <w:r>
        <w:rPr>
          <w:rFonts w:ascii="仿宋_GB2312" w:eastAsia="仿宋_GB2312"/>
          <w:sz w:val="28"/>
          <w:szCs w:val="28"/>
        </w:rPr>
        <w:t>2024.7</w:t>
      </w:r>
      <w:r>
        <w:rPr>
          <w:rFonts w:hint="eastAsia" w:ascii="仿宋_GB2312" w:eastAsia="仿宋_GB2312"/>
          <w:sz w:val="28"/>
          <w:szCs w:val="28"/>
          <w:lang w:val="en-US" w:eastAsia="zh-CN"/>
        </w:rPr>
        <w:t>0</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296.85</w:t>
      </w:r>
      <w:r>
        <w:rPr>
          <w:rFonts w:hint="eastAsia" w:ascii="仿宋_GB2312" w:eastAsia="仿宋_GB2312"/>
          <w:sz w:val="28"/>
          <w:szCs w:val="28"/>
        </w:rPr>
        <w:t>万元，增长（下降</w:t>
      </w:r>
      <w:r>
        <w:rPr>
          <w:rFonts w:ascii="仿宋_GB2312" w:eastAsia="仿宋_GB2312"/>
          <w:sz w:val="28"/>
          <w:szCs w:val="28"/>
        </w:rPr>
        <w:t>）</w:t>
      </w:r>
      <w:r>
        <w:rPr>
          <w:rFonts w:hint="eastAsia" w:ascii="仿宋_GB2312" w:eastAsia="仿宋_GB2312"/>
          <w:sz w:val="28"/>
          <w:szCs w:val="28"/>
          <w:lang w:val="en-US" w:eastAsia="zh-CN"/>
        </w:rPr>
        <w:t>16.95</w:t>
      </w:r>
      <w:r>
        <w:rPr>
          <w:rFonts w:hint="eastAsia" w:ascii="仿宋_GB2312" w:eastAsia="仿宋_GB2312"/>
          <w:sz w:val="28"/>
          <w:szCs w:val="28"/>
        </w:rPr>
        <w:t>%</w:t>
      </w:r>
      <w:r>
        <w:rPr>
          <w:rFonts w:hint="eastAsia" w:ascii="仿宋_GB2312" w:eastAsia="仿宋_GB2312"/>
          <w:sz w:val="28"/>
          <w:szCs w:val="28"/>
          <w:lang w:eastAsia="zh-CN"/>
        </w:rPr>
        <w:t>。</w:t>
      </w:r>
    </w:p>
    <w:p>
      <w:pPr>
        <w:tabs>
          <w:tab w:val="center" w:pos="6979"/>
        </w:tabs>
        <w:spacing w:line="580" w:lineRule="exact"/>
        <w:ind w:firstLine="560" w:firstLineChars="200"/>
        <w:rPr>
          <w:rFonts w:hint="eastAsia"/>
        </w:rPr>
      </w:pPr>
      <w:r>
        <w:rPr>
          <w:rFonts w:hint="eastAsia" w:ascii="仿宋_GB2312" w:eastAsia="仿宋_GB2312"/>
          <w:sz w:val="28"/>
          <w:szCs w:val="28"/>
        </w:rPr>
        <w:t>1.财政拨款收入</w:t>
      </w:r>
      <w:r>
        <w:rPr>
          <w:rFonts w:ascii="仿宋_GB2312" w:eastAsia="仿宋_GB2312"/>
          <w:sz w:val="28"/>
          <w:szCs w:val="28"/>
        </w:rPr>
        <w:t>2024.7</w:t>
      </w:r>
      <w:r>
        <w:rPr>
          <w:rFonts w:hint="eastAsia" w:ascii="仿宋_GB2312" w:eastAsia="仿宋_GB2312"/>
          <w:sz w:val="28"/>
          <w:szCs w:val="28"/>
          <w:lang w:val="en-US" w:eastAsia="zh-CN"/>
        </w:rPr>
        <w:t>0</w:t>
      </w:r>
      <w:r>
        <w:rPr>
          <w:rFonts w:hint="eastAsia" w:ascii="仿宋_GB2312" w:eastAsia="仿宋_GB2312"/>
          <w:sz w:val="28"/>
          <w:szCs w:val="28"/>
        </w:rPr>
        <w:t>万元，占收入合计的</w:t>
      </w:r>
      <w:r>
        <w:rPr>
          <w:rFonts w:ascii="仿宋_GB2312" w:eastAsia="仿宋_GB2312"/>
          <w:sz w:val="28"/>
          <w:szCs w:val="28"/>
        </w:rPr>
        <w:t>100</w:t>
      </w:r>
      <w:r>
        <w:rPr>
          <w:rFonts w:hint="eastAsia" w:ascii="仿宋_GB2312" w:eastAsia="仿宋_GB2312"/>
          <w:sz w:val="28"/>
          <w:szCs w:val="28"/>
          <w:lang w:val="en-US" w:eastAsia="zh-CN"/>
        </w:rPr>
        <w:t>.00</w:t>
      </w:r>
      <w:r>
        <w:rPr>
          <w:rFonts w:hint="eastAsia" w:ascii="仿宋_GB2312" w:eastAsia="仿宋_GB2312"/>
          <w:sz w:val="28"/>
          <w:szCs w:val="28"/>
        </w:rPr>
        <w:t>%。其中：一般公共预算财政拨款收入</w:t>
      </w:r>
      <w:r>
        <w:rPr>
          <w:rFonts w:ascii="仿宋_GB2312" w:eastAsia="仿宋_GB2312"/>
          <w:sz w:val="28"/>
          <w:szCs w:val="28"/>
        </w:rPr>
        <w:t>2024.7</w:t>
      </w:r>
      <w:r>
        <w:rPr>
          <w:rFonts w:hint="eastAsia" w:ascii="仿宋_GB2312" w:eastAsia="仿宋_GB2312"/>
          <w:sz w:val="28"/>
          <w:szCs w:val="28"/>
          <w:lang w:val="en-US" w:eastAsia="zh-CN"/>
        </w:rPr>
        <w:t>0</w:t>
      </w:r>
      <w:r>
        <w:rPr>
          <w:rFonts w:hint="eastAsia" w:ascii="仿宋_GB2312" w:eastAsia="仿宋_GB2312"/>
          <w:sz w:val="28"/>
          <w:szCs w:val="28"/>
        </w:rPr>
        <w:t>万元，占收入合计的</w:t>
      </w:r>
      <w:r>
        <w:rPr>
          <w:rFonts w:ascii="仿宋_GB2312" w:eastAsia="仿宋_GB2312"/>
          <w:sz w:val="28"/>
          <w:szCs w:val="28"/>
        </w:rPr>
        <w:t>100</w:t>
      </w:r>
      <w:r>
        <w:rPr>
          <w:rFonts w:hint="eastAsia" w:ascii="仿宋_GB2312" w:eastAsia="仿宋_GB2312"/>
          <w:sz w:val="28"/>
          <w:szCs w:val="28"/>
          <w:lang w:val="en-US" w:eastAsia="zh-CN"/>
        </w:rPr>
        <w:t>.00</w:t>
      </w:r>
      <w:r>
        <w:rPr>
          <w:rFonts w:hint="eastAsia" w:ascii="仿宋_GB2312" w:eastAsia="仿宋_GB2312"/>
          <w:sz w:val="28"/>
          <w:szCs w:val="28"/>
        </w:rPr>
        <w:t>%；政府性基金预算财政拨款收入</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%；国有资本经营预算财政拨款收入</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2.上级补助收入</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3.事业收入</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4.经营收入</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5.附属单位上缴收入</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6.其他收入</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w:t>
      </w:r>
    </w:p>
    <w:p>
      <w:pPr>
        <w:spacing w:line="560" w:lineRule="exact"/>
        <w:ind w:firstLine="640"/>
        <w:rPr>
          <w:rFonts w:hint="eastAsia" w:ascii="仿宋_GB2312" w:eastAsia="仿宋_GB2312" w:cs="Droid Sans"/>
          <w:color w:val="000000"/>
          <w:sz w:val="32"/>
          <w:szCs w:val="32"/>
          <w:highlight w:val="none"/>
          <w:lang w:eastAsia="zh-CN"/>
        </w:rPr>
      </w:pPr>
      <w:r>
        <w:rPr>
          <w:rFonts w:hint="eastAsia" w:ascii="仿宋_GB2312" w:eastAsia="仿宋_GB2312" w:cs="Droid Sans"/>
          <w:color w:val="000000"/>
          <w:sz w:val="32"/>
          <w:szCs w:val="32"/>
          <w:highlight w:val="none"/>
          <w:lang w:eastAsia="zh-CN"/>
        </w:rPr>
        <w:t>（此处插入图表，用上述</w:t>
      </w:r>
      <w:r>
        <w:rPr>
          <w:rFonts w:hint="eastAsia" w:ascii="仿宋_GB2312" w:eastAsia="仿宋_GB2312" w:cs="Droid Sans"/>
          <w:color w:val="000000"/>
          <w:sz w:val="32"/>
          <w:szCs w:val="32"/>
          <w:highlight w:val="none"/>
          <w:lang w:val="en-US" w:eastAsia="zh-CN"/>
        </w:rPr>
        <w:t>收入</w:t>
      </w:r>
      <w:r>
        <w:rPr>
          <w:rFonts w:hint="eastAsia" w:ascii="仿宋_GB2312" w:eastAsia="仿宋_GB2312" w:cs="Droid Sans"/>
          <w:color w:val="000000"/>
          <w:sz w:val="32"/>
          <w:szCs w:val="32"/>
          <w:highlight w:val="none"/>
          <w:lang w:eastAsia="zh-CN"/>
        </w:rPr>
        <w:t>金额制作饼状图，示例如下，无金额类型不必制图）</w:t>
      </w:r>
    </w:p>
    <w:p>
      <w:pPr>
        <w:pStyle w:val="4"/>
        <w:ind w:firstLine="0"/>
        <w:jc w:val="center"/>
        <w:rPr>
          <w:rFonts w:hint="default"/>
          <w:lang w:val="en-US"/>
        </w:rPr>
      </w:pPr>
      <w:r>
        <w:rPr>
          <w:rFonts w:hint="eastAsia" w:ascii="仿宋_GB2312" w:eastAsia="仿宋_GB2312"/>
          <w:color w:val="000000"/>
          <w:sz w:val="32"/>
          <w:szCs w:val="32"/>
          <w:highlight w:val="none"/>
          <w:lang w:val="en-US" w:eastAsia="zh-CN"/>
        </w:rPr>
        <w:t>图1：收入决算</w:t>
      </w:r>
    </w:p>
    <w:p>
      <w:pPr>
        <w:bidi w:val="0"/>
        <w:jc w:val="center"/>
        <w:rPr>
          <w:rFonts w:hint="eastAsia"/>
          <w:lang w:val="en-US" w:eastAsia="zh-CN"/>
        </w:rPr>
      </w:pPr>
      <w:r>
        <w:rPr>
          <w:rFonts w:hint="eastAsia"/>
          <w:lang w:val="en-US" w:eastAsia="zh-CN"/>
        </w:rPr>
        <w:drawing>
          <wp:inline distT="0" distB="0" distL="114300" distR="114300">
            <wp:extent cx="4408805" cy="2477770"/>
            <wp:effectExtent l="4445" t="5080" r="6350" b="12700"/>
            <wp:docPr id="2" name="图表 2" title="{{pieChar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年度本年支出合计</w:t>
      </w:r>
      <w:r>
        <w:rPr>
          <w:rFonts w:ascii="仿宋_GB2312" w:eastAsia="仿宋_GB2312"/>
          <w:sz w:val="28"/>
          <w:szCs w:val="28"/>
        </w:rPr>
        <w:t>2053.1</w:t>
      </w:r>
      <w:r>
        <w:rPr>
          <w:rFonts w:hint="eastAsia" w:ascii="仿宋_GB2312" w:eastAsia="仿宋_GB2312"/>
          <w:sz w:val="28"/>
          <w:szCs w:val="28"/>
          <w:lang w:val="en-US" w:eastAsia="zh-CN"/>
        </w:rPr>
        <w:t>0</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224.62</w:t>
      </w:r>
      <w:r>
        <w:rPr>
          <w:rFonts w:hint="eastAsia" w:ascii="仿宋_GB2312" w:eastAsia="仿宋_GB2312"/>
          <w:sz w:val="28"/>
          <w:szCs w:val="28"/>
        </w:rPr>
        <w:t>万元，增长</w:t>
      </w:r>
      <w:r>
        <w:rPr>
          <w:rFonts w:hint="eastAsia" w:ascii="仿宋_GB2312" w:eastAsia="仿宋_GB2312"/>
          <w:sz w:val="28"/>
          <w:szCs w:val="28"/>
          <w:lang w:val="en-US" w:eastAsia="zh-CN"/>
        </w:rPr>
        <w:t>12.28</w:t>
      </w:r>
      <w:r>
        <w:rPr>
          <w:rFonts w:hint="eastAsia" w:ascii="仿宋_GB2312" w:eastAsia="仿宋_GB2312"/>
          <w:sz w:val="28"/>
          <w:szCs w:val="28"/>
        </w:rPr>
        <w:t>%，其中：基本支出</w:t>
      </w:r>
      <w:r>
        <w:rPr>
          <w:rFonts w:ascii="仿宋_GB2312" w:eastAsia="仿宋_GB2312"/>
          <w:sz w:val="28"/>
          <w:szCs w:val="28"/>
        </w:rPr>
        <w:t>1663.38</w:t>
      </w:r>
      <w:r>
        <w:rPr>
          <w:rFonts w:hint="eastAsia" w:ascii="仿宋_GB2312" w:eastAsia="仿宋_GB2312"/>
          <w:sz w:val="28"/>
          <w:szCs w:val="28"/>
        </w:rPr>
        <w:t>万元，占支出合计的</w:t>
      </w:r>
      <w:r>
        <w:rPr>
          <w:rFonts w:ascii="仿宋_GB2312" w:eastAsia="仿宋_GB2312"/>
          <w:sz w:val="28"/>
          <w:szCs w:val="28"/>
        </w:rPr>
        <w:t>81.01</w:t>
      </w:r>
      <w:r>
        <w:rPr>
          <w:rFonts w:hint="eastAsia" w:ascii="仿宋_GB2312" w:eastAsia="仿宋_GB2312"/>
          <w:sz w:val="28"/>
          <w:szCs w:val="28"/>
        </w:rPr>
        <w:t>%；项目支出</w:t>
      </w:r>
      <w:r>
        <w:rPr>
          <w:rFonts w:ascii="仿宋_GB2312" w:eastAsia="仿宋_GB2312"/>
          <w:sz w:val="28"/>
          <w:szCs w:val="28"/>
        </w:rPr>
        <w:t>389.72</w:t>
      </w:r>
      <w:r>
        <w:rPr>
          <w:rFonts w:hint="eastAsia" w:ascii="仿宋_GB2312" w:eastAsia="仿宋_GB2312"/>
          <w:sz w:val="28"/>
          <w:szCs w:val="28"/>
        </w:rPr>
        <w:t>万元，占支出合计的</w:t>
      </w:r>
      <w:r>
        <w:rPr>
          <w:rFonts w:ascii="仿宋_GB2312" w:eastAsia="仿宋_GB2312"/>
          <w:sz w:val="28"/>
          <w:szCs w:val="28"/>
        </w:rPr>
        <w:t>18.98</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w:t>
      </w:r>
    </w:p>
    <w:p>
      <w:pPr>
        <w:pStyle w:val="4"/>
        <w:ind w:firstLine="642"/>
        <w:jc w:val="center"/>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图2：基本支出和项目支出情况</w:t>
      </w:r>
    </w:p>
    <w:p>
      <w:pPr>
        <w:jc w:val="center"/>
        <w:rPr>
          <w:rFonts w:hint="eastAsia" w:ascii="黑体" w:eastAsia="黑体"/>
          <w:b/>
          <w:sz w:val="28"/>
          <w:szCs w:val="28"/>
        </w:rPr>
      </w:pPr>
      <w:r>
        <w:drawing>
          <wp:inline distT="0" distB="0" distL="114300" distR="114300">
            <wp:extent cx="4572000" cy="2743200"/>
            <wp:effectExtent l="4445" t="4445" r="14605" b="14605"/>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三</w:t>
      </w:r>
      <w:r>
        <w:rPr>
          <w:rFonts w:ascii="黑体" w:eastAsia="黑体"/>
          <w:b w:val="0"/>
          <w:bCs/>
          <w:sz w:val="28"/>
          <w:szCs w:val="28"/>
        </w:rPr>
        <w:t>、财政拨款</w:t>
      </w:r>
      <w:r>
        <w:rPr>
          <w:rFonts w:hint="eastAsia" w:ascii="黑体" w:eastAsia="黑体"/>
          <w:b w:val="0"/>
          <w:bCs/>
          <w:sz w:val="28"/>
          <w:szCs w:val="28"/>
        </w:rPr>
        <w:t>收入支出决算</w:t>
      </w:r>
      <w:r>
        <w:rPr>
          <w:rFonts w:ascii="黑体" w:eastAsia="黑体"/>
          <w:b w:val="0"/>
          <w:bCs/>
          <w:sz w:val="28"/>
          <w:szCs w:val="28"/>
        </w:rPr>
        <w:t>总体情况说明</w:t>
      </w:r>
    </w:p>
    <w:p>
      <w:pPr>
        <w:tabs>
          <w:tab w:val="center" w:pos="6979"/>
        </w:tabs>
        <w:spacing w:line="580" w:lineRule="exact"/>
        <w:ind w:firstLine="570"/>
        <w:rPr>
          <w:rFonts w:hint="eastAsia" w:ascii="仿宋_GB2312" w:eastAsia="仿宋_GB2312"/>
          <w:sz w:val="28"/>
          <w:szCs w:val="28"/>
          <w:lang w:eastAsia="zh-CN"/>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年度财政拨款收、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2053.1</w:t>
      </w:r>
      <w:r>
        <w:rPr>
          <w:rFonts w:hint="eastAsia" w:ascii="仿宋_GB2312" w:eastAsia="仿宋_GB2312"/>
          <w:sz w:val="28"/>
          <w:szCs w:val="28"/>
          <w:lang w:val="en-US" w:eastAsia="zh-CN"/>
        </w:rPr>
        <w:t>0</w:t>
      </w:r>
      <w:r>
        <w:rPr>
          <w:rFonts w:hint="eastAsia" w:ascii="仿宋_GB2312" w:eastAsia="仿宋_GB2312"/>
          <w:sz w:val="28"/>
          <w:szCs w:val="28"/>
        </w:rPr>
        <w:t>万元，比上年</w:t>
      </w:r>
      <w:r>
        <w:rPr>
          <w:rFonts w:ascii="仿宋_GB2312" w:eastAsia="仿宋_GB2312"/>
          <w:sz w:val="28"/>
          <w:szCs w:val="28"/>
        </w:rPr>
        <w:t>增加</w:t>
      </w:r>
      <w:r>
        <w:rPr>
          <w:rFonts w:hint="eastAsia" w:ascii="仿宋_GB2312" w:eastAsia="仿宋_GB2312"/>
          <w:sz w:val="28"/>
          <w:szCs w:val="28"/>
          <w:lang w:val="en-US" w:eastAsia="zh-CN"/>
        </w:rPr>
        <w:t>224.62</w:t>
      </w:r>
      <w:r>
        <w:rPr>
          <w:rFonts w:hint="eastAsia" w:ascii="仿宋_GB2312" w:eastAsia="仿宋_GB2312"/>
          <w:sz w:val="28"/>
          <w:szCs w:val="28"/>
        </w:rPr>
        <w:t>万元，增长</w:t>
      </w:r>
      <w:r>
        <w:rPr>
          <w:rFonts w:hint="eastAsia" w:ascii="仿宋_GB2312" w:eastAsia="仿宋_GB2312"/>
          <w:sz w:val="28"/>
          <w:szCs w:val="28"/>
          <w:lang w:val="en-US" w:eastAsia="zh-CN"/>
        </w:rPr>
        <w:t>12.28</w:t>
      </w:r>
      <w:r>
        <w:rPr>
          <w:rFonts w:hint="eastAsia" w:ascii="仿宋_GB2312" w:eastAsia="仿宋_GB2312"/>
          <w:sz w:val="28"/>
          <w:szCs w:val="28"/>
        </w:rPr>
        <w:t>%。主要原因：</w:t>
      </w:r>
      <w:r>
        <w:rPr>
          <w:rFonts w:hint="eastAsia" w:ascii="仿宋_GB2312" w:eastAsia="仿宋_GB2312"/>
          <w:sz w:val="28"/>
          <w:szCs w:val="28"/>
          <w:lang w:eastAsia="zh-CN"/>
        </w:rPr>
        <w:t>是有全国第五次经济普查项目。</w:t>
      </w:r>
    </w:p>
    <w:p>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四、一般公共预算财政拨款支出决算情况说明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年度一般公共预算财政拨款支出</w:t>
      </w:r>
      <w:r>
        <w:rPr>
          <w:rFonts w:ascii="仿宋_GB2312" w:eastAsia="仿宋_GB2312"/>
          <w:sz w:val="28"/>
          <w:szCs w:val="28"/>
        </w:rPr>
        <w:t>2053.1</w:t>
      </w:r>
      <w:r>
        <w:rPr>
          <w:rFonts w:hint="eastAsia" w:ascii="仿宋_GB2312" w:eastAsia="仿宋_GB2312"/>
          <w:sz w:val="28"/>
          <w:szCs w:val="28"/>
          <w:lang w:val="en-US" w:eastAsia="zh-CN"/>
        </w:rPr>
        <w:t>0</w:t>
      </w:r>
      <w:r>
        <w:rPr>
          <w:rFonts w:hint="eastAsia" w:ascii="仿宋_GB2312" w:eastAsia="仿宋_GB2312"/>
          <w:sz w:val="28"/>
          <w:szCs w:val="28"/>
        </w:rPr>
        <w:t>万元，主要用于以下方面（按大类）：一般公共服务支出</w:t>
      </w:r>
      <w:r>
        <w:rPr>
          <w:rFonts w:hint="eastAsia" w:ascii="仿宋_GB2312" w:eastAsia="仿宋_GB2312"/>
          <w:sz w:val="28"/>
          <w:szCs w:val="28"/>
          <w:lang w:val="en-US" w:eastAsia="zh-CN"/>
        </w:rPr>
        <w:t>1675.76</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81.62</w:t>
      </w:r>
      <w:r>
        <w:rPr>
          <w:rFonts w:hint="eastAsia" w:ascii="仿宋_GB2312" w:eastAsia="仿宋_GB2312"/>
          <w:sz w:val="28"/>
          <w:szCs w:val="28"/>
        </w:rPr>
        <w:t>%；</w:t>
      </w:r>
      <w:r>
        <w:rPr>
          <w:rFonts w:hint="eastAsia" w:ascii="仿宋_GB2312" w:eastAsia="仿宋_GB2312"/>
          <w:sz w:val="28"/>
          <w:szCs w:val="28"/>
          <w:lang w:eastAsia="zh-CN"/>
        </w:rPr>
        <w:t>社会保障和就业支出</w:t>
      </w:r>
      <w:r>
        <w:rPr>
          <w:rFonts w:hint="eastAsia" w:ascii="仿宋_GB2312" w:eastAsia="仿宋_GB2312"/>
          <w:sz w:val="28"/>
          <w:szCs w:val="28"/>
          <w:lang w:val="en-US" w:eastAsia="zh-CN"/>
        </w:rPr>
        <w:t>225.77万元，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11.00</w:t>
      </w:r>
      <w:r>
        <w:rPr>
          <w:rFonts w:hint="eastAsia" w:ascii="仿宋_GB2312" w:eastAsia="仿宋_GB2312"/>
          <w:sz w:val="28"/>
          <w:szCs w:val="28"/>
        </w:rPr>
        <w:t>%</w:t>
      </w:r>
      <w:r>
        <w:rPr>
          <w:rFonts w:hint="eastAsia" w:ascii="仿宋_GB2312" w:eastAsia="仿宋_GB2312"/>
          <w:sz w:val="28"/>
          <w:szCs w:val="28"/>
          <w:lang w:eastAsia="zh-CN"/>
        </w:rPr>
        <w:t>；卫生和健康支出</w:t>
      </w:r>
      <w:r>
        <w:rPr>
          <w:rFonts w:hint="eastAsia" w:ascii="仿宋_GB2312" w:eastAsia="仿宋_GB2312"/>
          <w:sz w:val="28"/>
          <w:szCs w:val="28"/>
          <w:lang w:val="en-US" w:eastAsia="zh-CN"/>
        </w:rPr>
        <w:t>126.56万元，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6.16</w:t>
      </w:r>
      <w:r>
        <w:rPr>
          <w:rFonts w:hint="eastAsia" w:ascii="仿宋_GB2312" w:eastAsia="仿宋_GB2312"/>
          <w:sz w:val="28"/>
          <w:szCs w:val="28"/>
        </w:rPr>
        <w:t>%</w:t>
      </w:r>
      <w:r>
        <w:rPr>
          <w:rFonts w:hint="eastAsia" w:ascii="仿宋_GB2312" w:eastAsia="仿宋_GB2312"/>
          <w:sz w:val="28"/>
          <w:szCs w:val="28"/>
          <w:lang w:eastAsia="zh-CN"/>
        </w:rPr>
        <w:t>；节能环保支出</w:t>
      </w:r>
      <w:r>
        <w:rPr>
          <w:rFonts w:hint="eastAsia" w:ascii="仿宋_GB2312" w:eastAsia="仿宋_GB2312"/>
          <w:sz w:val="28"/>
          <w:szCs w:val="28"/>
          <w:lang w:val="en-US" w:eastAsia="zh-CN"/>
        </w:rPr>
        <w:t>5.00万元，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0.25</w:t>
      </w:r>
      <w:r>
        <w:rPr>
          <w:rFonts w:hint="eastAsia" w:ascii="仿宋_GB2312" w:eastAsia="仿宋_GB2312"/>
          <w:sz w:val="28"/>
          <w:szCs w:val="28"/>
        </w:rPr>
        <w:t>%</w:t>
      </w:r>
      <w:r>
        <w:rPr>
          <w:rFonts w:hint="eastAsia" w:ascii="仿宋_GB2312" w:eastAsia="仿宋_GB2312"/>
          <w:sz w:val="28"/>
          <w:szCs w:val="28"/>
          <w:lang w:eastAsia="zh-CN"/>
        </w:rPr>
        <w:t>；农林水支出</w:t>
      </w:r>
      <w:r>
        <w:rPr>
          <w:rFonts w:hint="eastAsia" w:ascii="仿宋_GB2312" w:eastAsia="仿宋_GB2312"/>
          <w:sz w:val="28"/>
          <w:szCs w:val="28"/>
          <w:lang w:val="en-US" w:eastAsia="zh-CN"/>
        </w:rPr>
        <w:t>20.00万元，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0.97</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1、“一般公共服务支出”（类）202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1675.76</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362.30</w:t>
      </w:r>
      <w:r>
        <w:rPr>
          <w:rFonts w:hint="eastAsia" w:ascii="仿宋_GB2312" w:eastAsia="仿宋_GB2312"/>
          <w:sz w:val="28"/>
          <w:szCs w:val="28"/>
        </w:rPr>
        <w:t>万元，增长</w:t>
      </w:r>
      <w:r>
        <w:rPr>
          <w:rFonts w:hint="eastAsia" w:ascii="仿宋_GB2312" w:eastAsia="仿宋_GB2312"/>
          <w:sz w:val="28"/>
          <w:szCs w:val="28"/>
          <w:lang w:val="en-US" w:eastAsia="zh-CN"/>
        </w:rPr>
        <w:t>27.58</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w:t>
      </w:r>
      <w:r>
        <w:rPr>
          <w:rFonts w:hint="eastAsia" w:ascii="仿宋_GB2312" w:eastAsia="仿宋_GB2312"/>
          <w:sz w:val="28"/>
          <w:szCs w:val="28"/>
          <w:lang w:eastAsia="zh-CN"/>
        </w:rPr>
        <w:t>统计信息事务</w:t>
      </w:r>
      <w:r>
        <w:rPr>
          <w:rFonts w:hint="eastAsia" w:ascii="仿宋_GB2312" w:eastAsia="仿宋_GB2312"/>
          <w:sz w:val="28"/>
          <w:szCs w:val="28"/>
        </w:rPr>
        <w:t>”（款，下同）202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1675.76</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362.20</w:t>
      </w:r>
      <w:r>
        <w:rPr>
          <w:rFonts w:hint="eastAsia" w:ascii="仿宋_GB2312" w:eastAsia="仿宋_GB2312"/>
          <w:sz w:val="28"/>
          <w:szCs w:val="28"/>
        </w:rPr>
        <w:t>万元，增长</w:t>
      </w:r>
      <w:r>
        <w:rPr>
          <w:rFonts w:hint="eastAsia" w:ascii="仿宋_GB2312" w:eastAsia="仿宋_GB2312"/>
          <w:sz w:val="28"/>
          <w:szCs w:val="28"/>
          <w:lang w:val="en-US" w:eastAsia="zh-CN"/>
        </w:rPr>
        <w:t>27.58</w:t>
      </w:r>
      <w:r>
        <w:rPr>
          <w:rFonts w:hint="eastAsia" w:ascii="仿宋_GB2312" w:eastAsia="仿宋_GB2312"/>
          <w:sz w:val="28"/>
          <w:szCs w:val="28"/>
        </w:rPr>
        <w:t>%。主要原因：</w:t>
      </w:r>
      <w:r>
        <w:rPr>
          <w:rFonts w:hint="eastAsia" w:ascii="仿宋_GB2312" w:eastAsia="仿宋_GB2312"/>
          <w:sz w:val="28"/>
          <w:szCs w:val="28"/>
          <w:lang w:eastAsia="zh-CN"/>
        </w:rPr>
        <w:t>年初预算未批复所有项目经费。</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eastAsia="zh-CN"/>
        </w:rPr>
        <w:t>社会保障和就业支出</w:t>
      </w:r>
      <w:r>
        <w:rPr>
          <w:rFonts w:hint="eastAsia" w:ascii="仿宋_GB2312" w:eastAsia="仿宋_GB2312"/>
          <w:sz w:val="28"/>
          <w:szCs w:val="28"/>
        </w:rPr>
        <w:t>”(类)202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225.77</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年度年初预算减少</w:t>
      </w:r>
      <w:r>
        <w:rPr>
          <w:rFonts w:hint="eastAsia" w:ascii="仿宋_GB2312" w:eastAsia="仿宋_GB2312"/>
          <w:sz w:val="28"/>
          <w:szCs w:val="28"/>
          <w:lang w:val="en-US" w:eastAsia="zh-CN"/>
        </w:rPr>
        <w:t>43.20</w:t>
      </w:r>
      <w:r>
        <w:rPr>
          <w:rFonts w:hint="eastAsia" w:ascii="仿宋_GB2312" w:eastAsia="仿宋_GB2312"/>
          <w:sz w:val="28"/>
          <w:szCs w:val="28"/>
        </w:rPr>
        <w:t>万元，下降</w:t>
      </w:r>
      <w:r>
        <w:rPr>
          <w:rFonts w:hint="eastAsia" w:ascii="仿宋_GB2312" w:eastAsia="仿宋_GB2312"/>
          <w:sz w:val="28"/>
          <w:szCs w:val="28"/>
          <w:lang w:val="en-US" w:eastAsia="zh-CN"/>
        </w:rPr>
        <w:t>16.06</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行政事业单位养老支出</w:t>
      </w:r>
      <w:r>
        <w:rPr>
          <w:rFonts w:hint="eastAsia" w:ascii="仿宋_GB2312" w:eastAsia="仿宋_GB2312"/>
          <w:sz w:val="28"/>
          <w:szCs w:val="28"/>
        </w:rPr>
        <w:t>”（款）202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225.77</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年度年初预算减</w:t>
      </w:r>
      <w:r>
        <w:rPr>
          <w:rFonts w:hint="eastAsia" w:ascii="仿宋_GB2312" w:eastAsia="仿宋_GB2312"/>
          <w:sz w:val="28"/>
          <w:szCs w:val="28"/>
          <w:lang w:eastAsia="zh-CN"/>
        </w:rPr>
        <w:t>少</w:t>
      </w:r>
      <w:r>
        <w:rPr>
          <w:rFonts w:hint="eastAsia" w:ascii="仿宋_GB2312" w:eastAsia="仿宋_GB2312"/>
          <w:sz w:val="28"/>
          <w:szCs w:val="28"/>
          <w:lang w:val="en-US" w:eastAsia="zh-CN"/>
        </w:rPr>
        <w:t>43.20</w:t>
      </w:r>
      <w:r>
        <w:rPr>
          <w:rFonts w:hint="eastAsia" w:ascii="仿宋_GB2312" w:eastAsia="仿宋_GB2312"/>
          <w:sz w:val="28"/>
          <w:szCs w:val="28"/>
        </w:rPr>
        <w:t>万元，下降</w:t>
      </w:r>
      <w:r>
        <w:rPr>
          <w:rFonts w:hint="eastAsia" w:ascii="仿宋_GB2312" w:eastAsia="仿宋_GB2312"/>
          <w:sz w:val="28"/>
          <w:szCs w:val="28"/>
          <w:lang w:val="en-US" w:eastAsia="zh-CN"/>
        </w:rPr>
        <w:t>16.06</w:t>
      </w:r>
      <w:r>
        <w:rPr>
          <w:rFonts w:hint="eastAsia" w:ascii="仿宋_GB2312" w:eastAsia="仿宋_GB2312"/>
          <w:sz w:val="28"/>
          <w:szCs w:val="28"/>
        </w:rPr>
        <w:t>%。主要原因：</w:t>
      </w:r>
      <w:r>
        <w:rPr>
          <w:rFonts w:hint="eastAsia" w:ascii="仿宋_GB2312" w:eastAsia="仿宋_GB2312"/>
          <w:sz w:val="28"/>
          <w:szCs w:val="28"/>
          <w:lang w:eastAsia="zh-CN"/>
        </w:rPr>
        <w:t>工资基数下降</w:t>
      </w:r>
      <w:r>
        <w:rPr>
          <w:rFonts w:hint="eastAsia" w:ascii="仿宋_GB2312" w:eastAsia="仿宋_GB2312"/>
          <w:sz w:val="28"/>
          <w:szCs w:val="28"/>
        </w:rPr>
        <w:t>。</w:t>
      </w:r>
    </w:p>
    <w:p>
      <w:pPr>
        <w:pStyle w:val="3"/>
        <w:numPr>
          <w:ilvl w:val="0"/>
          <w:numId w:val="1"/>
        </w:numPr>
        <w:ind w:firstLine="560" w:firstLineChars="200"/>
        <w:rPr>
          <w:rFonts w:hint="eastAsia" w:eastAsia="仿宋_GB2312"/>
          <w:lang w:val="en-US" w:eastAsia="zh-CN"/>
        </w:rPr>
      </w:pPr>
      <w:r>
        <w:rPr>
          <w:rFonts w:hint="eastAsia"/>
          <w:sz w:val="28"/>
          <w:szCs w:val="28"/>
          <w:lang w:val="en-US" w:eastAsia="zh-CN"/>
        </w:rPr>
        <w:t>“卫生和健康支出”（类）2023年度决算126.56万元，比</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年度年初预算减</w:t>
      </w:r>
      <w:r>
        <w:rPr>
          <w:rFonts w:hint="eastAsia" w:ascii="仿宋_GB2312" w:eastAsia="仿宋_GB2312"/>
          <w:sz w:val="28"/>
          <w:szCs w:val="28"/>
          <w:lang w:eastAsia="zh-CN"/>
        </w:rPr>
        <w:t>少</w:t>
      </w:r>
      <w:r>
        <w:rPr>
          <w:rFonts w:hint="eastAsia"/>
          <w:sz w:val="28"/>
          <w:szCs w:val="28"/>
          <w:lang w:val="en-US" w:eastAsia="zh-CN"/>
        </w:rPr>
        <w:t>18.78</w:t>
      </w:r>
      <w:r>
        <w:rPr>
          <w:rFonts w:hint="eastAsia" w:ascii="仿宋_GB2312" w:eastAsia="仿宋_GB2312"/>
          <w:sz w:val="28"/>
          <w:szCs w:val="28"/>
        </w:rPr>
        <w:t>万元，下降</w:t>
      </w:r>
      <w:r>
        <w:rPr>
          <w:rFonts w:hint="eastAsia"/>
          <w:sz w:val="28"/>
          <w:szCs w:val="28"/>
          <w:lang w:val="en-US" w:eastAsia="zh-CN"/>
        </w:rPr>
        <w:t>13.19</w:t>
      </w:r>
      <w:r>
        <w:rPr>
          <w:rFonts w:hint="eastAsia" w:ascii="仿宋_GB2312" w:eastAsia="仿宋_GB2312"/>
          <w:sz w:val="28"/>
          <w:szCs w:val="28"/>
        </w:rPr>
        <w:t>%。</w:t>
      </w:r>
    </w:p>
    <w:p>
      <w:pPr>
        <w:pStyle w:val="2"/>
        <w:ind w:left="0" w:leftChars="0" w:firstLine="0" w:firstLineChars="0"/>
        <w:rPr>
          <w:rFonts w:hint="eastAsia" w:ascii="仿宋_GB2312" w:eastAsia="仿宋_GB2312"/>
          <w:sz w:val="28"/>
          <w:szCs w:val="28"/>
          <w:lang w:eastAsia="zh-CN"/>
        </w:rPr>
      </w:pPr>
      <w:r>
        <w:rPr>
          <w:rFonts w:hint="eastAsia" w:ascii="仿宋_GB2312" w:eastAsia="仿宋_GB2312"/>
          <w:sz w:val="28"/>
          <w:szCs w:val="28"/>
          <w:lang w:val="en-US" w:eastAsia="zh-CN"/>
        </w:rPr>
        <w:t>其中：</w:t>
      </w:r>
      <w:r>
        <w:rPr>
          <w:rFonts w:hint="eastAsia" w:ascii="仿宋_GB2312" w:eastAsia="仿宋_GB2312"/>
          <w:sz w:val="28"/>
          <w:szCs w:val="28"/>
        </w:rPr>
        <w:t>“行政事业单位医疗”（款）202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126.56</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w:t>
      </w:r>
      <w:r>
        <w:rPr>
          <w:rFonts w:hint="eastAsia" w:ascii="仿宋_GB2312" w:eastAsia="仿宋_GB2312"/>
          <w:sz w:val="28"/>
          <w:szCs w:val="28"/>
          <w:lang w:val="en-US" w:eastAsia="zh-CN"/>
        </w:rPr>
        <w:t>18.78</w:t>
      </w:r>
      <w:r>
        <w:rPr>
          <w:rFonts w:hint="eastAsia" w:ascii="仿宋_GB2312" w:eastAsia="仿宋_GB2312"/>
          <w:sz w:val="28"/>
          <w:szCs w:val="28"/>
        </w:rPr>
        <w:t>万元，下降</w:t>
      </w:r>
      <w:r>
        <w:rPr>
          <w:rFonts w:hint="eastAsia" w:ascii="仿宋_GB2312" w:eastAsia="仿宋_GB2312"/>
          <w:sz w:val="28"/>
          <w:szCs w:val="28"/>
          <w:lang w:val="en-US" w:eastAsia="zh-CN"/>
        </w:rPr>
        <w:t>13.19</w:t>
      </w:r>
      <w:r>
        <w:rPr>
          <w:rFonts w:hint="eastAsia" w:ascii="仿宋_GB2312" w:eastAsia="仿宋_GB2312"/>
          <w:sz w:val="28"/>
          <w:szCs w:val="28"/>
        </w:rPr>
        <w:t>%。主要原因：</w:t>
      </w:r>
      <w:r>
        <w:rPr>
          <w:rFonts w:hint="eastAsia" w:ascii="仿宋_GB2312" w:eastAsia="仿宋_GB2312"/>
          <w:sz w:val="28"/>
          <w:szCs w:val="28"/>
          <w:lang w:eastAsia="zh-CN"/>
        </w:rPr>
        <w:t>工资基数下降。</w:t>
      </w:r>
    </w:p>
    <w:p>
      <w:pPr>
        <w:pStyle w:val="2"/>
        <w:ind w:firstLine="560"/>
        <w:rPr>
          <w:rFonts w:hint="eastAsia" w:ascii="仿宋_GB2312" w:eastAsia="仿宋_GB2312"/>
          <w:sz w:val="28"/>
          <w:szCs w:val="28"/>
          <w:lang w:val="en-US" w:eastAsia="zh-CN"/>
        </w:rPr>
      </w:pPr>
      <w:r>
        <w:rPr>
          <w:rFonts w:hint="eastAsia" w:ascii="仿宋_GB2312" w:eastAsia="仿宋_GB2312"/>
          <w:sz w:val="28"/>
          <w:szCs w:val="28"/>
          <w:lang w:val="en-US" w:eastAsia="zh-CN"/>
        </w:rPr>
        <w:t>4、“节能环保支出”（类）2023年度决算5.00万元，</w:t>
      </w:r>
      <w:r>
        <w:rPr>
          <w:rFonts w:hint="eastAsia" w:ascii="仿宋_GB2312" w:eastAsia="仿宋_GB2312"/>
          <w:sz w:val="28"/>
          <w:szCs w:val="28"/>
        </w:rPr>
        <w:t>比202</w:t>
      </w:r>
      <w:r>
        <w:rPr>
          <w:rFonts w:hint="eastAsia" w:ascii="仿宋_GB2312" w:eastAsia="仿宋_GB2312"/>
          <w:sz w:val="28"/>
          <w:szCs w:val="28"/>
          <w:lang w:val="en-US" w:eastAsia="zh-CN"/>
        </w:rPr>
        <w:t>3</w:t>
      </w:r>
      <w:r>
        <w:rPr>
          <w:rFonts w:hint="eastAsia" w:ascii="仿宋_GB2312" w:eastAsia="仿宋_GB2312"/>
          <w:sz w:val="28"/>
          <w:szCs w:val="28"/>
        </w:rPr>
        <w:t>年度年初预算</w:t>
      </w:r>
      <w:r>
        <w:rPr>
          <w:rFonts w:hint="eastAsia" w:ascii="仿宋_GB2312" w:eastAsia="仿宋_GB2312"/>
          <w:sz w:val="28"/>
          <w:szCs w:val="28"/>
          <w:lang w:eastAsia="zh-CN"/>
        </w:rPr>
        <w:t>增加</w:t>
      </w:r>
      <w:r>
        <w:rPr>
          <w:rFonts w:hint="eastAsia" w:ascii="仿宋_GB2312" w:eastAsia="仿宋_GB2312"/>
          <w:sz w:val="28"/>
          <w:szCs w:val="28"/>
          <w:lang w:val="en-US" w:eastAsia="zh-CN"/>
        </w:rPr>
        <w:t>5.00</w:t>
      </w:r>
      <w:r>
        <w:rPr>
          <w:rFonts w:hint="eastAsia" w:ascii="仿宋_GB2312" w:eastAsia="仿宋_GB2312"/>
          <w:sz w:val="28"/>
          <w:szCs w:val="28"/>
        </w:rPr>
        <w:t>万元，</w:t>
      </w:r>
      <w:r>
        <w:rPr>
          <w:rFonts w:hint="eastAsia" w:ascii="仿宋_GB2312" w:eastAsia="仿宋_GB2312"/>
          <w:sz w:val="28"/>
          <w:szCs w:val="28"/>
          <w:lang w:eastAsia="zh-CN"/>
        </w:rPr>
        <w:t>上升</w:t>
      </w:r>
      <w:r>
        <w:rPr>
          <w:rFonts w:hint="eastAsia" w:ascii="仿宋_GB2312" w:eastAsia="仿宋_GB2312"/>
          <w:sz w:val="28"/>
          <w:szCs w:val="28"/>
          <w:lang w:val="en-US" w:eastAsia="zh-CN"/>
        </w:rPr>
        <w:t>100.00</w:t>
      </w:r>
      <w:r>
        <w:rPr>
          <w:rFonts w:hint="eastAsia" w:ascii="仿宋_GB2312" w:eastAsia="仿宋_GB2312"/>
          <w:sz w:val="28"/>
          <w:szCs w:val="28"/>
        </w:rPr>
        <w:t>%</w:t>
      </w:r>
      <w:r>
        <w:rPr>
          <w:rFonts w:hint="eastAsia" w:ascii="仿宋_GB2312" w:eastAsia="仿宋_GB2312"/>
          <w:sz w:val="28"/>
          <w:szCs w:val="28"/>
          <w:lang w:val="en-US" w:eastAsia="zh-CN"/>
        </w:rPr>
        <w:t>.主要原因：增加生态文明满意度调查。</w:t>
      </w:r>
    </w:p>
    <w:p>
      <w:pPr>
        <w:spacing w:line="580" w:lineRule="exact"/>
        <w:ind w:firstLine="560" w:firstLineChars="200"/>
        <w:rPr>
          <w:rFonts w:hint="eastAsia" w:eastAsia="仿宋_GB2312"/>
          <w:lang w:val="en-US" w:eastAsia="zh-CN"/>
        </w:rPr>
      </w:pPr>
      <w:r>
        <w:rPr>
          <w:rFonts w:hint="eastAsia" w:ascii="仿宋_GB2312" w:eastAsia="仿宋_GB2312"/>
          <w:sz w:val="28"/>
          <w:szCs w:val="28"/>
          <w:lang w:val="en-US" w:eastAsia="zh-CN"/>
        </w:rPr>
        <w:t>5、“农林水支出”（类）2023年度决算20.00万元，</w:t>
      </w:r>
      <w:r>
        <w:rPr>
          <w:rFonts w:hint="eastAsia" w:ascii="仿宋_GB2312" w:eastAsia="仿宋_GB2312"/>
          <w:sz w:val="28"/>
          <w:szCs w:val="28"/>
        </w:rPr>
        <w:t>比202</w:t>
      </w:r>
      <w:r>
        <w:rPr>
          <w:rFonts w:hint="eastAsia" w:ascii="仿宋_GB2312" w:eastAsia="仿宋_GB2312"/>
          <w:sz w:val="28"/>
          <w:szCs w:val="28"/>
          <w:lang w:val="en-US" w:eastAsia="zh-CN"/>
        </w:rPr>
        <w:t>3</w:t>
      </w:r>
      <w:r>
        <w:rPr>
          <w:rFonts w:hint="eastAsia" w:ascii="仿宋_GB2312" w:eastAsia="仿宋_GB2312"/>
          <w:sz w:val="28"/>
          <w:szCs w:val="28"/>
        </w:rPr>
        <w:t>年度年初预算</w:t>
      </w:r>
      <w:r>
        <w:rPr>
          <w:rFonts w:hint="eastAsia" w:ascii="仿宋_GB2312" w:eastAsia="仿宋_GB2312"/>
          <w:sz w:val="28"/>
          <w:szCs w:val="28"/>
          <w:lang w:eastAsia="zh-CN"/>
        </w:rPr>
        <w:t>增加</w:t>
      </w:r>
      <w:r>
        <w:rPr>
          <w:rFonts w:hint="eastAsia" w:ascii="仿宋_GB2312" w:eastAsia="仿宋_GB2312"/>
          <w:sz w:val="28"/>
          <w:szCs w:val="28"/>
          <w:lang w:val="en-US" w:eastAsia="zh-CN"/>
        </w:rPr>
        <w:t>20.00</w:t>
      </w:r>
      <w:r>
        <w:rPr>
          <w:rFonts w:hint="eastAsia" w:ascii="仿宋_GB2312" w:eastAsia="仿宋_GB2312"/>
          <w:sz w:val="28"/>
          <w:szCs w:val="28"/>
        </w:rPr>
        <w:t>万元，</w:t>
      </w:r>
      <w:r>
        <w:rPr>
          <w:rFonts w:hint="eastAsia" w:ascii="仿宋_GB2312" w:eastAsia="仿宋_GB2312"/>
          <w:sz w:val="28"/>
          <w:szCs w:val="28"/>
          <w:lang w:eastAsia="zh-CN"/>
        </w:rPr>
        <w:t>上升</w:t>
      </w:r>
      <w:r>
        <w:rPr>
          <w:rFonts w:hint="eastAsia" w:ascii="仿宋_GB2312" w:eastAsia="仿宋_GB2312"/>
          <w:sz w:val="28"/>
          <w:szCs w:val="28"/>
          <w:lang w:val="en-US" w:eastAsia="zh-CN"/>
        </w:rPr>
        <w:t>100.00</w:t>
      </w:r>
      <w:r>
        <w:rPr>
          <w:rFonts w:hint="eastAsia" w:ascii="仿宋_GB2312" w:eastAsia="仿宋_GB2312"/>
          <w:sz w:val="28"/>
          <w:szCs w:val="28"/>
        </w:rPr>
        <w:t>%。主要原因：</w:t>
      </w:r>
      <w:r>
        <w:rPr>
          <w:rFonts w:hint="eastAsia" w:ascii="仿宋_GB2312" w:eastAsia="仿宋_GB2312"/>
          <w:sz w:val="28"/>
          <w:szCs w:val="28"/>
          <w:lang w:eastAsia="zh-CN"/>
        </w:rPr>
        <w:t>疏整促资金。</w:t>
      </w:r>
    </w:p>
    <w:p>
      <w:pPr>
        <w:spacing w:line="580" w:lineRule="exact"/>
        <w:ind w:firstLine="560" w:firstLineChars="200"/>
        <w:rPr>
          <w:rFonts w:hint="eastAsia" w:ascii="仿宋_GB2312" w:eastAsia="仿宋_GB2312"/>
          <w:b w:val="0"/>
          <w:bCs/>
          <w:sz w:val="28"/>
          <w:szCs w:val="28"/>
        </w:rPr>
      </w:pPr>
      <w:r>
        <w:rPr>
          <w:rFonts w:hint="eastAsia" w:ascii="黑体" w:eastAsia="黑体"/>
          <w:b w:val="0"/>
          <w:bCs/>
          <w:sz w:val="28"/>
          <w:szCs w:val="28"/>
        </w:rPr>
        <w:t>五、政府性基金预算财政拨款支出决算情况说明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（一）政府性基金预算财政拨款支出决算总体情况</w:t>
      </w:r>
    </w:p>
    <w:p>
      <w:pPr>
        <w:tabs>
          <w:tab w:val="center" w:pos="6979"/>
        </w:tabs>
        <w:spacing w:line="5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年度政府性基金预算财政拨款支出</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万元，主要用于以下方面（按大类）：城乡社区支出</w:t>
      </w:r>
      <w:r>
        <w:rPr>
          <w:rFonts w:hint="eastAsia" w:ascii="仿宋_GB2312" w:eastAsia="仿宋_GB2312"/>
          <w:sz w:val="28"/>
          <w:szCs w:val="28"/>
          <w:lang w:val="en-US" w:eastAsia="zh-CN"/>
        </w:rPr>
        <w:t>0.00</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0.00</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（二）政府性基金预算财政拨款支出决算具体情况</w:t>
      </w:r>
    </w:p>
    <w:p>
      <w:pPr>
        <w:autoSpaceDE w:val="0"/>
        <w:autoSpaceDN w:val="0"/>
        <w:adjustRightInd w:val="0"/>
        <w:spacing w:line="580" w:lineRule="exact"/>
        <w:ind w:firstLine="700" w:firstLineChars="250"/>
        <w:jc w:val="left"/>
        <w:rPr>
          <w:rFonts w:hint="eastAsia" w:ascii="仿宋_GB2312" w:eastAsia="仿宋_GB2312"/>
          <w:sz w:val="28"/>
          <w:szCs w:val="28"/>
        </w:rPr>
      </w:pPr>
      <w:r>
        <w:rPr>
          <w:rFonts w:hint="eastAsia" w:ascii="仿宋_GB2312" w:eastAsia="仿宋_GB2312"/>
          <w:sz w:val="28"/>
          <w:szCs w:val="28"/>
        </w:rPr>
        <w:t>1、“城乡社区支出”（类，下同）202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0.00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年度年初预算增加（减少）</w:t>
      </w:r>
      <w:r>
        <w:rPr>
          <w:rFonts w:hint="eastAsia" w:ascii="仿宋_GB2312" w:eastAsia="仿宋_GB2312"/>
          <w:sz w:val="28"/>
          <w:szCs w:val="28"/>
          <w:lang w:val="en-US" w:eastAsia="zh-CN"/>
        </w:rPr>
        <w:t>0.00</w:t>
      </w:r>
      <w:r>
        <w:rPr>
          <w:rFonts w:hint="eastAsia" w:ascii="仿宋_GB2312" w:eastAsia="仿宋_GB2312"/>
          <w:sz w:val="28"/>
          <w:szCs w:val="28"/>
        </w:rPr>
        <w:t>万元，增长（下降）</w:t>
      </w:r>
      <w:r>
        <w:rPr>
          <w:rFonts w:hint="eastAsia" w:ascii="仿宋_GB2312" w:eastAsia="仿宋_GB2312"/>
          <w:sz w:val="28"/>
          <w:szCs w:val="28"/>
          <w:lang w:val="en-US" w:eastAsia="zh-CN"/>
        </w:rPr>
        <w:t>0.00</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“城市公用事业附加及对应专项债务</w:t>
      </w:r>
      <w:bookmarkStart w:id="0" w:name="_GoBack"/>
      <w:bookmarkEnd w:id="0"/>
      <w:r>
        <w:rPr>
          <w:rFonts w:hint="eastAsia" w:ascii="仿宋_GB2312" w:eastAsia="仿宋_GB2312"/>
          <w:sz w:val="28"/>
          <w:szCs w:val="28"/>
        </w:rPr>
        <w:t>收入安排的支出”（款，下同）202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0.00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年度年初预算增加（减少）</w:t>
      </w:r>
      <w:r>
        <w:rPr>
          <w:rFonts w:hint="eastAsia" w:ascii="仿宋_GB2312" w:eastAsia="仿宋_GB2312"/>
          <w:sz w:val="28"/>
          <w:szCs w:val="28"/>
          <w:lang w:val="en-US" w:eastAsia="zh-CN"/>
        </w:rPr>
        <w:t>0.00</w:t>
      </w:r>
      <w:r>
        <w:rPr>
          <w:rFonts w:hint="eastAsia" w:ascii="仿宋_GB2312" w:eastAsia="仿宋_GB2312"/>
          <w:sz w:val="28"/>
          <w:szCs w:val="28"/>
        </w:rPr>
        <w:t>万元，增长（下降）</w:t>
      </w:r>
      <w:r>
        <w:rPr>
          <w:rFonts w:hint="eastAsia" w:ascii="仿宋_GB2312" w:eastAsia="仿宋_GB2312"/>
          <w:sz w:val="28"/>
          <w:szCs w:val="28"/>
          <w:lang w:val="en-US" w:eastAsia="zh-CN"/>
        </w:rPr>
        <w:t>0.00</w:t>
      </w:r>
      <w:r>
        <w:rPr>
          <w:rFonts w:hint="eastAsia" w:ascii="仿宋_GB2312" w:eastAsia="仿宋_GB2312"/>
          <w:sz w:val="28"/>
          <w:szCs w:val="28"/>
        </w:rPr>
        <w:t>%。</w:t>
      </w:r>
    </w:p>
    <w:p>
      <w:pPr>
        <w:spacing w:line="580" w:lineRule="exact"/>
        <w:ind w:firstLine="560" w:firstLineChars="200"/>
        <w:rPr>
          <w:rFonts w:hint="eastAsia" w:ascii="黑体" w:eastAsia="黑体"/>
          <w:b w:val="0"/>
          <w:bCs/>
          <w:sz w:val="28"/>
          <w:szCs w:val="28"/>
        </w:rPr>
      </w:pPr>
      <w:r>
        <w:rPr>
          <w:rFonts w:hint="eastAsia" w:ascii="黑体" w:eastAsia="黑体"/>
          <w:b w:val="0"/>
          <w:bCs/>
          <w:sz w:val="28"/>
          <w:szCs w:val="28"/>
        </w:rPr>
        <w:t>六、国有资本经营预算财</w:t>
      </w:r>
      <w:r>
        <w:rPr>
          <w:rFonts w:ascii="黑体" w:eastAsia="黑体"/>
          <w:b w:val="0"/>
          <w:bCs/>
          <w:sz w:val="28"/>
          <w:szCs w:val="28"/>
        </w:rPr>
        <w:t>政拨款</w:t>
      </w:r>
      <w:r>
        <w:rPr>
          <w:rFonts w:hint="eastAsia" w:ascii="黑体" w:eastAsia="黑体"/>
          <w:b w:val="0"/>
          <w:bCs/>
          <w:sz w:val="28"/>
          <w:szCs w:val="28"/>
        </w:rPr>
        <w:t>收支情况</w:t>
      </w:r>
    </w:p>
    <w:p>
      <w:pPr>
        <w:ind w:firstLine="537" w:firstLineChars="192"/>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年度国有资本经营预算财政</w:t>
      </w:r>
      <w:r>
        <w:rPr>
          <w:rFonts w:ascii="仿宋_GB2312" w:eastAsia="仿宋_GB2312"/>
          <w:sz w:val="28"/>
          <w:szCs w:val="28"/>
        </w:rPr>
        <w:t>拨款</w:t>
      </w:r>
      <w:r>
        <w:rPr>
          <w:rFonts w:hint="eastAsia" w:ascii="仿宋_GB2312" w:eastAsia="仿宋_GB2312"/>
          <w:sz w:val="28"/>
          <w:szCs w:val="28"/>
        </w:rPr>
        <w:t>收入总</w:t>
      </w:r>
      <w:r>
        <w:rPr>
          <w:rFonts w:ascii="仿宋_GB2312" w:eastAsia="仿宋_GB2312"/>
          <w:sz w:val="28"/>
          <w:szCs w:val="28"/>
        </w:rPr>
        <w:t>计0</w:t>
      </w:r>
      <w:r>
        <w:rPr>
          <w:rFonts w:hint="eastAsia" w:ascii="仿宋_GB2312" w:eastAsia="仿宋_GB2312"/>
          <w:sz w:val="28"/>
          <w:szCs w:val="28"/>
          <w:lang w:val="en-US" w:eastAsia="zh-CN"/>
        </w:rPr>
        <w:t>.00</w:t>
      </w:r>
      <w:r>
        <w:rPr>
          <w:rFonts w:hint="eastAsia" w:ascii="仿宋_GB2312" w:eastAsia="仿宋_GB2312"/>
          <w:sz w:val="28"/>
          <w:szCs w:val="28"/>
        </w:rPr>
        <w:t>万元，国有资本经营预算财政</w:t>
      </w:r>
      <w:r>
        <w:rPr>
          <w:rFonts w:ascii="仿宋_GB2312" w:eastAsia="仿宋_GB2312"/>
          <w:sz w:val="28"/>
          <w:szCs w:val="28"/>
        </w:rPr>
        <w:t>拨款</w:t>
      </w:r>
      <w:r>
        <w:rPr>
          <w:rFonts w:hint="eastAsia" w:ascii="仿宋_GB2312" w:eastAsia="仿宋_GB2312"/>
          <w:sz w:val="28"/>
          <w:szCs w:val="28"/>
        </w:rPr>
        <w:t>支出总</w:t>
      </w:r>
      <w:r>
        <w:rPr>
          <w:rFonts w:ascii="仿宋_GB2312" w:eastAsia="仿宋_GB2312"/>
          <w:sz w:val="28"/>
          <w:szCs w:val="28"/>
        </w:rPr>
        <w:t>计0</w:t>
      </w:r>
      <w:r>
        <w:rPr>
          <w:rFonts w:hint="eastAsia" w:ascii="仿宋_GB2312" w:eastAsia="仿宋_GB2312"/>
          <w:sz w:val="28"/>
          <w:szCs w:val="28"/>
          <w:lang w:val="en-US" w:eastAsia="zh-CN"/>
        </w:rPr>
        <w:t>.00</w:t>
      </w:r>
      <w:r>
        <w:rPr>
          <w:rFonts w:hint="eastAsia" w:ascii="仿宋_GB2312" w:eastAsia="仿宋_GB2312"/>
          <w:sz w:val="28"/>
          <w:szCs w:val="28"/>
        </w:rPr>
        <w:t>万元。</w:t>
      </w:r>
    </w:p>
    <w:p>
      <w:pPr>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七、财政拨款基本支出决算情况说明</w:t>
      </w:r>
    </w:p>
    <w:p>
      <w:pPr>
        <w:tabs>
          <w:tab w:val="center" w:pos="6979"/>
        </w:tabs>
        <w:spacing w:line="580" w:lineRule="exact"/>
        <w:ind w:firstLine="548" w:firstLineChars="196"/>
        <w:rPr>
          <w:rFonts w:hint="eastAsia" w:ascii="黑体" w:eastAsia="黑体"/>
          <w:b/>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年度使用一般公共预算财政拨款安排基本支出</w:t>
      </w:r>
      <w:r>
        <w:rPr>
          <w:rFonts w:ascii="仿宋_GB2312" w:eastAsia="仿宋_GB2312"/>
          <w:sz w:val="28"/>
          <w:szCs w:val="28"/>
        </w:rPr>
        <w:t>1663.38</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万元，其中：（1）工资福利支出</w:t>
      </w:r>
      <w:r>
        <w:rPr>
          <w:rFonts w:hint="eastAsia" w:ascii="仿宋_GB2312" w:eastAsia="仿宋_GB2312"/>
          <w:sz w:val="28"/>
          <w:szCs w:val="28"/>
          <w:lang w:val="en-US" w:eastAsia="zh-CN"/>
        </w:rPr>
        <w:t>1498.15万元：</w:t>
      </w:r>
      <w:r>
        <w:rPr>
          <w:rFonts w:hint="eastAsia" w:ascii="仿宋_GB2312" w:eastAsia="仿宋_GB2312"/>
          <w:sz w:val="28"/>
          <w:szCs w:val="28"/>
        </w:rPr>
        <w:t>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w:t>
      </w:r>
      <w:r>
        <w:rPr>
          <w:rFonts w:hint="eastAsia" w:ascii="仿宋_GB2312" w:eastAsia="仿宋_GB2312"/>
          <w:sz w:val="28"/>
          <w:szCs w:val="28"/>
          <w:lang w:val="en-US" w:eastAsia="zh-CN"/>
        </w:rPr>
        <w:t>525.94万元：</w:t>
      </w:r>
      <w:r>
        <w:rPr>
          <w:rFonts w:hint="eastAsia" w:ascii="仿宋_GB2312" w:eastAsia="仿宋_GB2312"/>
          <w:sz w:val="28"/>
          <w:szCs w:val="28"/>
        </w:rPr>
        <w:t>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w:t>
      </w:r>
      <w:r>
        <w:rPr>
          <w:rFonts w:hint="eastAsia" w:ascii="仿宋_GB2312" w:eastAsia="仿宋_GB2312"/>
          <w:sz w:val="28"/>
          <w:szCs w:val="28"/>
          <w:lang w:val="en-US" w:eastAsia="zh-CN"/>
        </w:rPr>
        <w:t>29.00万元：</w:t>
      </w:r>
      <w:r>
        <w:rPr>
          <w:rFonts w:hint="eastAsia" w:ascii="仿宋_GB2312" w:eastAsia="仿宋_GB2312"/>
          <w:sz w:val="28"/>
          <w:szCs w:val="28"/>
        </w:rPr>
        <w:t>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w:t>
      </w:r>
      <w:r>
        <w:rPr>
          <w:rFonts w:hint="eastAsia" w:ascii="仿宋_GB2312" w:eastAsia="仿宋_GB2312"/>
          <w:sz w:val="28"/>
          <w:szCs w:val="28"/>
          <w:lang w:val="en-US" w:eastAsia="zh-CN"/>
        </w:rPr>
        <w:t>0.00万元：</w:t>
      </w:r>
      <w:r>
        <w:rPr>
          <w:rFonts w:hint="eastAsia" w:ascii="仿宋_GB2312" w:eastAsia="仿宋_GB2312"/>
          <w:sz w:val="28"/>
          <w:szCs w:val="28"/>
        </w:rPr>
        <w:t>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autoSpaceDE w:val="0"/>
        <w:autoSpaceDN w:val="0"/>
        <w:adjustRightInd w:val="0"/>
        <w:spacing w:line="580" w:lineRule="exact"/>
        <w:jc w:val="center"/>
        <w:rPr>
          <w:rFonts w:hint="eastAsia" w:ascii="宋体" w:hAnsi="宋体" w:cs="宋体"/>
          <w:b/>
          <w:spacing w:val="40"/>
          <w:kern w:val="0"/>
          <w:sz w:val="32"/>
          <w:szCs w:val="32"/>
        </w:rPr>
      </w:pPr>
      <w:r>
        <w:rPr>
          <w:rFonts w:ascii="仿宋_GB2312" w:eastAsia="仿宋_GB2312"/>
          <w:sz w:val="28"/>
          <w:szCs w:val="28"/>
        </w:rPr>
        <w:br w:type="page"/>
      </w:r>
      <w:r>
        <w:rPr>
          <w:rFonts w:hint="eastAsia" w:ascii="宋体" w:hAnsi="宋体" w:cs="宋体"/>
          <w:b/>
          <w:bCs/>
          <w:spacing w:val="40"/>
          <w:kern w:val="0"/>
          <w:sz w:val="32"/>
          <w:szCs w:val="32"/>
        </w:rPr>
        <w:t>第三部分</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pPr>
        <w:spacing w:line="560" w:lineRule="exact"/>
        <w:ind w:firstLine="560" w:firstLineChars="200"/>
        <w:rPr>
          <w:rFonts w:hint="eastAsia" w:ascii="黑体" w:eastAsia="黑体"/>
          <w:sz w:val="28"/>
          <w:szCs w:val="28"/>
        </w:rPr>
      </w:pPr>
      <w:r>
        <w:rPr>
          <w:rFonts w:hint="eastAsia" w:ascii="黑体" w:eastAsia="黑体"/>
          <w:sz w:val="28"/>
          <w:szCs w:val="28"/>
        </w:rPr>
        <w:t>一、“三公”经费财政拨款决算情况</w:t>
      </w:r>
    </w:p>
    <w:p>
      <w:pPr>
        <w:spacing w:line="560" w:lineRule="exact"/>
        <w:ind w:firstLine="600"/>
        <w:rPr>
          <w:rFonts w:hint="eastAsia" w:ascii="仿宋_GB2312" w:eastAsia="仿宋_GB2312"/>
          <w:sz w:val="28"/>
          <w:szCs w:val="28"/>
        </w:rPr>
      </w:pPr>
      <w:r>
        <w:rPr>
          <w:rFonts w:hint="eastAsia" w:ascii="仿宋_GB2312" w:eastAsia="仿宋_GB2312"/>
          <w:sz w:val="28"/>
          <w:szCs w:val="28"/>
        </w:rPr>
        <w:t>“三公”经费包括本部门/单位所属</w:t>
      </w:r>
      <w:r>
        <w:rPr>
          <w:rFonts w:hint="eastAsia" w:ascii="仿宋_GB2312" w:eastAsia="仿宋_GB2312"/>
          <w:bCs/>
          <w:sz w:val="28"/>
          <w:szCs w:val="28"/>
          <w:lang w:val="en-US" w:eastAsia="zh-CN"/>
        </w:rPr>
        <w:t>1</w:t>
      </w:r>
      <w:r>
        <w:rPr>
          <w:rFonts w:hint="eastAsia" w:ascii="仿宋_GB2312" w:eastAsia="仿宋_GB2312"/>
          <w:sz w:val="28"/>
          <w:szCs w:val="28"/>
        </w:rPr>
        <w:t>个行政单位、</w:t>
      </w:r>
      <w:r>
        <w:rPr>
          <w:rFonts w:hint="eastAsia" w:ascii="仿宋_GB2312" w:eastAsia="仿宋_GB2312"/>
          <w:sz w:val="28"/>
          <w:szCs w:val="28"/>
          <w:lang w:val="en-US" w:eastAsia="zh-CN"/>
        </w:rPr>
        <w:t>0</w:t>
      </w:r>
      <w:r>
        <w:rPr>
          <w:rFonts w:hint="eastAsia" w:ascii="仿宋_GB2312" w:eastAsia="仿宋_GB2312"/>
          <w:sz w:val="28"/>
          <w:szCs w:val="28"/>
        </w:rPr>
        <w:t>个</w:t>
      </w:r>
      <w:r>
        <w:rPr>
          <w:rFonts w:ascii="仿宋_GB2312" w:eastAsia="仿宋_GB2312"/>
          <w:sz w:val="28"/>
          <w:szCs w:val="28"/>
        </w:rPr>
        <w:t>参</w:t>
      </w:r>
      <w:r>
        <w:rPr>
          <w:rFonts w:hint="eastAsia" w:ascii="仿宋_GB2312" w:eastAsia="仿宋_GB2312"/>
          <w:sz w:val="28"/>
          <w:szCs w:val="28"/>
        </w:rPr>
        <w:t>照</w:t>
      </w:r>
      <w:r>
        <w:rPr>
          <w:rFonts w:ascii="仿宋_GB2312" w:eastAsia="仿宋_GB2312"/>
          <w:sz w:val="28"/>
          <w:szCs w:val="28"/>
        </w:rPr>
        <w:t>公务员法管理事业单位</w:t>
      </w:r>
      <w:r>
        <w:rPr>
          <w:rFonts w:hint="eastAsia" w:ascii="仿宋_GB2312" w:eastAsia="仿宋_GB2312"/>
          <w:sz w:val="28"/>
          <w:szCs w:val="28"/>
        </w:rPr>
        <w:t>、</w:t>
      </w:r>
      <w:r>
        <w:rPr>
          <w:rFonts w:hint="eastAsia" w:ascii="仿宋_GB2312" w:eastAsia="仿宋_GB2312"/>
          <w:bCs/>
          <w:sz w:val="28"/>
          <w:szCs w:val="28"/>
          <w:lang w:val="en-US" w:eastAsia="zh-CN"/>
        </w:rPr>
        <w:t>0</w:t>
      </w:r>
      <w:r>
        <w:rPr>
          <w:rFonts w:hint="eastAsia" w:ascii="仿宋_GB2312" w:eastAsia="仿宋_GB2312"/>
          <w:bCs/>
          <w:sz w:val="28"/>
          <w:szCs w:val="28"/>
        </w:rPr>
        <w:t>个</w:t>
      </w:r>
      <w:r>
        <w:rPr>
          <w:rFonts w:hint="eastAsia" w:ascii="仿宋_GB2312" w:eastAsia="仿宋_GB2312"/>
          <w:sz w:val="28"/>
          <w:szCs w:val="28"/>
        </w:rPr>
        <w:t>事业单位。202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年度“三公”经费财政拨款决算数</w:t>
      </w:r>
      <w:r>
        <w:rPr>
          <w:rFonts w:ascii="仿宋_GB2312" w:eastAsia="仿宋_GB2312"/>
          <w:sz w:val="28"/>
          <w:szCs w:val="28"/>
        </w:rPr>
        <w:t>6.67</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年度“三公”经费财政拨款年初预算</w:t>
      </w:r>
      <w:r>
        <w:rPr>
          <w:rFonts w:ascii="仿宋_GB2312" w:eastAsia="仿宋_GB2312"/>
          <w:sz w:val="28"/>
          <w:szCs w:val="28"/>
        </w:rPr>
        <w:t>15.92</w:t>
      </w:r>
      <w:r>
        <w:rPr>
          <w:rFonts w:hint="eastAsia" w:ascii="仿宋_GB2312" w:eastAsia="仿宋_GB2312"/>
          <w:sz w:val="28"/>
          <w:szCs w:val="28"/>
        </w:rPr>
        <w:t>万元减少</w:t>
      </w:r>
      <w:r>
        <w:rPr>
          <w:rFonts w:ascii="仿宋_GB2312" w:eastAsia="仿宋_GB2312"/>
          <w:sz w:val="28"/>
          <w:szCs w:val="28"/>
        </w:rPr>
        <w:t>9.25</w:t>
      </w:r>
      <w:r>
        <w:rPr>
          <w:rFonts w:hint="eastAsia" w:ascii="仿宋_GB2312" w:eastAsia="仿宋_GB2312"/>
          <w:sz w:val="28"/>
          <w:szCs w:val="28"/>
        </w:rPr>
        <w:t>万元。其中：</w:t>
      </w:r>
    </w:p>
    <w:p>
      <w:pPr>
        <w:spacing w:line="560" w:lineRule="exact"/>
        <w:ind w:firstLine="600"/>
        <w:rPr>
          <w:rFonts w:hint="eastAsia" w:ascii="仿宋_GB2312" w:eastAsia="仿宋_GB2312"/>
          <w:sz w:val="28"/>
          <w:szCs w:val="28"/>
        </w:rPr>
      </w:pPr>
      <w:r>
        <w:rPr>
          <w:rFonts w:hint="eastAsia" w:ascii="仿宋_GB2312" w:eastAsia="仿宋_GB2312"/>
          <w:sz w:val="28"/>
          <w:szCs w:val="28"/>
        </w:rPr>
        <w:t>1.因公出国（境）费用。202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万元。主要原因：</w:t>
      </w:r>
      <w:r>
        <w:rPr>
          <w:rFonts w:hint="eastAsia" w:ascii="仿宋_GB2312" w:eastAsia="仿宋_GB2312"/>
          <w:sz w:val="28"/>
          <w:szCs w:val="28"/>
          <w:lang w:val="en-US" w:eastAsia="zh-CN"/>
        </w:rPr>
        <w:t>本年度无此项支出</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年度组织因公出国（境）团组</w:t>
      </w:r>
      <w:r>
        <w:rPr>
          <w:rFonts w:hint="eastAsia" w:ascii="仿宋_GB2312" w:eastAsia="仿宋_GB2312"/>
          <w:sz w:val="28"/>
          <w:szCs w:val="28"/>
          <w:lang w:val="en-US" w:eastAsia="zh-CN"/>
        </w:rPr>
        <w:t>0</w:t>
      </w:r>
      <w:r>
        <w:rPr>
          <w:rFonts w:hint="eastAsia" w:ascii="仿宋_GB2312" w:eastAsia="仿宋_GB2312"/>
          <w:sz w:val="28"/>
          <w:szCs w:val="28"/>
        </w:rPr>
        <w:t>个、</w:t>
      </w:r>
      <w:r>
        <w:rPr>
          <w:rFonts w:hint="eastAsia" w:ascii="仿宋_GB2312" w:eastAsia="仿宋_GB2312"/>
          <w:sz w:val="28"/>
          <w:szCs w:val="28"/>
          <w:lang w:val="en-US" w:eastAsia="zh-CN"/>
        </w:rPr>
        <w:t>0</w:t>
      </w:r>
      <w:r>
        <w:rPr>
          <w:rFonts w:hint="eastAsia" w:ascii="仿宋_GB2312" w:eastAsia="仿宋_GB2312"/>
          <w:sz w:val="28"/>
          <w:szCs w:val="28"/>
        </w:rPr>
        <w:t>人次，人均因公出国（境）费用</w:t>
      </w:r>
      <w:r>
        <w:rPr>
          <w:rFonts w:hint="eastAsia" w:ascii="仿宋_GB2312" w:eastAsia="仿宋_GB2312"/>
          <w:sz w:val="28"/>
          <w:szCs w:val="28"/>
          <w:lang w:val="en-US" w:eastAsia="zh-CN"/>
        </w:rPr>
        <w:t>0.00</w:t>
      </w:r>
      <w:r>
        <w:rPr>
          <w:rFonts w:hint="eastAsia" w:ascii="仿宋_GB2312" w:eastAsia="仿宋_GB2312"/>
          <w:sz w:val="28"/>
          <w:szCs w:val="28"/>
        </w:rPr>
        <w:t>万元。</w:t>
      </w:r>
    </w:p>
    <w:p>
      <w:pPr>
        <w:spacing w:line="560" w:lineRule="exact"/>
        <w:ind w:firstLine="600"/>
        <w:rPr>
          <w:rFonts w:hint="eastAsia" w:ascii="仿宋_GB2312" w:eastAsia="仿宋_GB2312"/>
          <w:sz w:val="28"/>
          <w:szCs w:val="28"/>
        </w:rPr>
      </w:pPr>
      <w:r>
        <w:rPr>
          <w:rFonts w:hint="eastAsia" w:ascii="仿宋_GB2312" w:eastAsia="仿宋_GB2312"/>
          <w:sz w:val="28"/>
          <w:szCs w:val="28"/>
        </w:rPr>
        <w:t>2.公务接待费。202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w:t>
      </w:r>
      <w:r>
        <w:rPr>
          <w:rFonts w:hint="eastAsia" w:ascii="仿宋_GB2312" w:eastAsia="仿宋_GB2312"/>
          <w:color w:val="auto"/>
          <w:sz w:val="28"/>
          <w:szCs w:val="28"/>
          <w:highlight w:val="none"/>
        </w:rPr>
        <w:t>主要原因：</w:t>
      </w:r>
      <w:r>
        <w:rPr>
          <w:rFonts w:hint="eastAsia" w:ascii="仿宋_GB2312" w:eastAsia="仿宋_GB2312"/>
          <w:color w:val="auto"/>
          <w:sz w:val="28"/>
          <w:szCs w:val="28"/>
          <w:highlight w:val="none"/>
          <w:lang w:eastAsia="zh-CN"/>
        </w:rPr>
        <w:t>本年度无此项支出</w:t>
      </w:r>
      <w:r>
        <w:rPr>
          <w:rFonts w:hint="eastAsia" w:ascii="仿宋_GB2312" w:eastAsia="仿宋_GB2312"/>
          <w:color w:val="auto"/>
          <w:sz w:val="28"/>
          <w:szCs w:val="28"/>
          <w:highlight w:val="none"/>
        </w:rPr>
        <w:t>。</w:t>
      </w:r>
      <w:r>
        <w:rPr>
          <w:rFonts w:hint="eastAsia" w:ascii="仿宋_GB2312" w:eastAsia="仿宋_GB2312"/>
          <w:sz w:val="28"/>
          <w:szCs w:val="28"/>
        </w:rPr>
        <w:t>公务接待</w:t>
      </w:r>
      <w:r>
        <w:rPr>
          <w:rFonts w:hint="eastAsia" w:ascii="仿宋_GB2312" w:eastAsia="仿宋_GB2312"/>
          <w:sz w:val="28"/>
          <w:szCs w:val="28"/>
          <w:lang w:val="en-US" w:eastAsia="zh-CN"/>
        </w:rPr>
        <w:t>0</w:t>
      </w:r>
      <w:r>
        <w:rPr>
          <w:rFonts w:hint="eastAsia" w:ascii="仿宋_GB2312" w:eastAsia="仿宋_GB2312"/>
          <w:sz w:val="28"/>
          <w:szCs w:val="28"/>
        </w:rPr>
        <w:t>批次，公务接待</w:t>
      </w:r>
      <w:r>
        <w:rPr>
          <w:rFonts w:hint="eastAsia" w:ascii="仿宋_GB2312" w:eastAsia="仿宋_GB2312"/>
          <w:sz w:val="28"/>
          <w:szCs w:val="28"/>
          <w:lang w:val="en-US" w:eastAsia="zh-CN"/>
        </w:rPr>
        <w:t>0</w:t>
      </w:r>
      <w:r>
        <w:rPr>
          <w:rFonts w:hint="eastAsia" w:ascii="仿宋_GB2312" w:eastAsia="仿宋_GB2312"/>
          <w:sz w:val="28"/>
          <w:szCs w:val="28"/>
        </w:rPr>
        <w:t>人次。</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3.公务用车购置及运行维护费。202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其中，公务用车购置费202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w:t>
      </w:r>
      <w:r>
        <w:rPr>
          <w:rFonts w:hint="eastAsia" w:ascii="仿宋_GB2312" w:eastAsia="仿宋_GB2312"/>
          <w:sz w:val="28"/>
          <w:szCs w:val="28"/>
          <w:highlight w:val="none"/>
        </w:rPr>
        <w:t>主要原因：</w:t>
      </w:r>
      <w:r>
        <w:rPr>
          <w:rFonts w:hint="eastAsia" w:ascii="仿宋_GB2312" w:eastAsia="仿宋_GB2312"/>
          <w:sz w:val="28"/>
          <w:szCs w:val="28"/>
          <w:highlight w:val="none"/>
          <w:lang w:eastAsia="zh-CN"/>
        </w:rPr>
        <w:t>本年度无此项支出</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年度购置（更新）</w:t>
      </w:r>
      <w:r>
        <w:rPr>
          <w:rFonts w:hint="eastAsia" w:ascii="仿宋_GB2312" w:eastAsia="仿宋_GB2312"/>
          <w:sz w:val="28"/>
          <w:szCs w:val="28"/>
          <w:lang w:val="en-US" w:eastAsia="zh-CN"/>
        </w:rPr>
        <w:t>0</w:t>
      </w:r>
      <w:r>
        <w:rPr>
          <w:rFonts w:hint="eastAsia" w:ascii="仿宋_GB2312" w:eastAsia="仿宋_GB2312"/>
          <w:sz w:val="28"/>
          <w:szCs w:val="28"/>
        </w:rPr>
        <w:t>辆，车均购置费</w:t>
      </w:r>
      <w:r>
        <w:rPr>
          <w:rFonts w:hint="eastAsia" w:ascii="仿宋_GB2312" w:eastAsia="仿宋_GB2312"/>
          <w:sz w:val="28"/>
          <w:szCs w:val="28"/>
          <w:lang w:val="en-US" w:eastAsia="zh-CN"/>
        </w:rPr>
        <w:t>0</w:t>
      </w:r>
      <w:r>
        <w:rPr>
          <w:rFonts w:hint="eastAsia" w:ascii="仿宋_GB2312" w:eastAsia="仿宋_GB2312"/>
          <w:sz w:val="28"/>
          <w:szCs w:val="28"/>
        </w:rPr>
        <w:t>万元。公务用车运行维护费202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highlight w:val="none"/>
        </w:rPr>
        <w:t>6.67</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highlight w:val="none"/>
        </w:rPr>
        <w:t>15.92</w:t>
      </w:r>
      <w:r>
        <w:rPr>
          <w:rFonts w:hint="eastAsia" w:ascii="仿宋_GB2312" w:eastAsia="仿宋_GB2312"/>
          <w:sz w:val="28"/>
          <w:szCs w:val="28"/>
        </w:rPr>
        <w:t>万元减少</w:t>
      </w:r>
      <w:r>
        <w:rPr>
          <w:rFonts w:hint="eastAsia" w:ascii="仿宋_GB2312" w:eastAsia="仿宋_GB2312"/>
          <w:sz w:val="28"/>
          <w:szCs w:val="28"/>
          <w:lang w:val="en-US" w:eastAsia="zh-CN"/>
        </w:rPr>
        <w:t>9.25</w:t>
      </w:r>
      <w:r>
        <w:rPr>
          <w:rFonts w:hint="eastAsia" w:ascii="仿宋_GB2312" w:eastAsia="仿宋_GB2312"/>
          <w:sz w:val="28"/>
          <w:szCs w:val="28"/>
        </w:rPr>
        <w:t>万元，主要原因：按照财政要求，厉行节约。202</w:t>
      </w:r>
      <w:r>
        <w:rPr>
          <w:rFonts w:hint="eastAsia" w:ascii="仿宋_GB2312" w:eastAsia="仿宋_GB2312"/>
          <w:sz w:val="28"/>
          <w:szCs w:val="28"/>
          <w:lang w:val="en-US" w:eastAsia="zh-CN"/>
        </w:rPr>
        <w:t>3</w:t>
      </w:r>
      <w:r>
        <w:rPr>
          <w:rFonts w:hint="eastAsia" w:ascii="仿宋_GB2312" w:eastAsia="仿宋_GB2312"/>
          <w:sz w:val="28"/>
          <w:szCs w:val="28"/>
        </w:rPr>
        <w:t>年度公务用车运行维护费中，公务用车加油</w:t>
      </w:r>
      <w:r>
        <w:rPr>
          <w:rFonts w:ascii="仿宋_GB2312" w:eastAsia="仿宋_GB2312"/>
          <w:sz w:val="28"/>
          <w:szCs w:val="28"/>
          <w:highlight w:val="none"/>
        </w:rPr>
        <w:t>2.6</w:t>
      </w:r>
      <w:r>
        <w:rPr>
          <w:rFonts w:hint="eastAsia" w:ascii="仿宋_GB2312" w:eastAsia="仿宋_GB2312"/>
          <w:sz w:val="28"/>
          <w:szCs w:val="28"/>
          <w:highlight w:val="none"/>
          <w:lang w:val="en-US" w:eastAsia="zh-CN"/>
        </w:rPr>
        <w:t>0</w:t>
      </w:r>
      <w:r>
        <w:rPr>
          <w:rFonts w:hint="eastAsia" w:ascii="仿宋_GB2312" w:eastAsia="仿宋_GB2312"/>
          <w:sz w:val="28"/>
          <w:szCs w:val="28"/>
        </w:rPr>
        <w:t>万元，公务用车维修</w:t>
      </w:r>
      <w:r>
        <w:rPr>
          <w:rFonts w:ascii="仿宋_GB2312" w:eastAsia="仿宋_GB2312"/>
          <w:sz w:val="28"/>
          <w:szCs w:val="28"/>
          <w:highlight w:val="none"/>
        </w:rPr>
        <w:t>2.11</w:t>
      </w:r>
      <w:r>
        <w:rPr>
          <w:rFonts w:hint="eastAsia" w:ascii="仿宋_GB2312" w:eastAsia="仿宋_GB2312"/>
          <w:sz w:val="28"/>
          <w:szCs w:val="28"/>
        </w:rPr>
        <w:t>万元，公务用车保险</w:t>
      </w:r>
      <w:r>
        <w:rPr>
          <w:rFonts w:ascii="仿宋_GB2312" w:eastAsia="仿宋_GB2312"/>
          <w:sz w:val="28"/>
          <w:szCs w:val="28"/>
          <w:highlight w:val="none"/>
        </w:rPr>
        <w:t>1.53</w:t>
      </w:r>
      <w:r>
        <w:rPr>
          <w:rFonts w:hint="eastAsia" w:ascii="仿宋_GB2312" w:eastAsia="仿宋_GB2312"/>
          <w:sz w:val="28"/>
          <w:szCs w:val="28"/>
        </w:rPr>
        <w:t>万元，公务用车其他支出</w:t>
      </w:r>
      <w:r>
        <w:rPr>
          <w:rFonts w:ascii="仿宋_GB2312" w:eastAsia="仿宋_GB2312"/>
          <w:sz w:val="28"/>
          <w:szCs w:val="28"/>
          <w:highlight w:val="none"/>
        </w:rPr>
        <w:t>0.43</w:t>
      </w:r>
      <w:r>
        <w:rPr>
          <w:rFonts w:hint="eastAsia" w:ascii="仿宋_GB2312" w:eastAsia="仿宋_GB2312"/>
          <w:sz w:val="28"/>
          <w:szCs w:val="28"/>
        </w:rPr>
        <w:t>万元。202</w:t>
      </w:r>
      <w:r>
        <w:rPr>
          <w:rFonts w:hint="eastAsia" w:ascii="仿宋_GB2312" w:eastAsia="仿宋_GB2312"/>
          <w:sz w:val="28"/>
          <w:szCs w:val="28"/>
          <w:lang w:val="en-US" w:eastAsia="zh-CN"/>
        </w:rPr>
        <w:t>3</w:t>
      </w:r>
      <w:r>
        <w:rPr>
          <w:rFonts w:hint="eastAsia" w:ascii="仿宋_GB2312" w:eastAsia="仿宋_GB2312"/>
          <w:sz w:val="28"/>
          <w:szCs w:val="28"/>
        </w:rPr>
        <w:t>年度公务用车保有量</w:t>
      </w:r>
      <w:r>
        <w:rPr>
          <w:rFonts w:hint="eastAsia" w:ascii="仿宋_GB2312" w:eastAsia="仿宋_GB2312"/>
          <w:sz w:val="28"/>
          <w:szCs w:val="28"/>
          <w:lang w:val="en-US" w:eastAsia="zh-CN"/>
        </w:rPr>
        <w:t>7</w:t>
      </w:r>
      <w:r>
        <w:rPr>
          <w:rFonts w:hint="eastAsia" w:ascii="仿宋_GB2312" w:eastAsia="仿宋_GB2312"/>
          <w:sz w:val="28"/>
          <w:szCs w:val="28"/>
        </w:rPr>
        <w:t>辆，车均运行维护费</w:t>
      </w:r>
      <w:r>
        <w:rPr>
          <w:rFonts w:hint="eastAsia" w:ascii="仿宋_GB2312" w:eastAsia="仿宋_GB2312"/>
          <w:sz w:val="28"/>
          <w:szCs w:val="28"/>
          <w:lang w:val="en-US" w:eastAsia="zh-CN"/>
        </w:rPr>
        <w:t>0.95</w:t>
      </w:r>
      <w:r>
        <w:rPr>
          <w:rFonts w:hint="eastAsia" w:ascii="仿宋_GB2312" w:eastAsia="仿宋_GB2312"/>
          <w:sz w:val="28"/>
          <w:szCs w:val="28"/>
        </w:rPr>
        <w:t>万元。</w:t>
      </w:r>
    </w:p>
    <w:p>
      <w:pPr>
        <w:tabs>
          <w:tab w:val="center" w:pos="6979"/>
        </w:tabs>
        <w:ind w:firstLine="554" w:firstLineChars="198"/>
        <w:rPr>
          <w:rFonts w:hint="eastAsia" w:ascii="黑体" w:eastAsia="黑体"/>
          <w:sz w:val="28"/>
          <w:szCs w:val="28"/>
        </w:rPr>
      </w:pPr>
      <w:r>
        <w:rPr>
          <w:rFonts w:hint="eastAsia" w:ascii="黑体" w:eastAsia="黑体"/>
          <w:sz w:val="28"/>
          <w:szCs w:val="28"/>
        </w:rPr>
        <w:t>二、机关运行经费支出情况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年度使用财政拨款安排的基本支出中的日常公用经费支出，合计</w:t>
      </w:r>
      <w:r>
        <w:rPr>
          <w:rFonts w:hint="eastAsia" w:ascii="仿宋_GB2312" w:eastAsia="仿宋_GB2312"/>
          <w:sz w:val="28"/>
          <w:szCs w:val="28"/>
          <w:lang w:val="en-US" w:eastAsia="zh-CN"/>
        </w:rPr>
        <w:t>136.23</w:t>
      </w:r>
      <w:r>
        <w:rPr>
          <w:rFonts w:hint="eastAsia" w:ascii="仿宋_GB2312" w:eastAsia="仿宋_GB2312"/>
          <w:sz w:val="28"/>
          <w:szCs w:val="28"/>
        </w:rPr>
        <w:t>万元，比上年减少</w:t>
      </w:r>
      <w:r>
        <w:rPr>
          <w:rFonts w:hint="eastAsia" w:ascii="仿宋_GB2312" w:eastAsia="仿宋_GB2312"/>
          <w:sz w:val="28"/>
          <w:szCs w:val="28"/>
          <w:lang w:val="en-US" w:eastAsia="zh-CN"/>
        </w:rPr>
        <w:t>12.05</w:t>
      </w:r>
      <w:r>
        <w:rPr>
          <w:rFonts w:hint="eastAsia" w:ascii="仿宋_GB2312" w:eastAsia="仿宋_GB2312"/>
          <w:sz w:val="28"/>
          <w:szCs w:val="28"/>
        </w:rPr>
        <w:t>万元，减少</w:t>
      </w:r>
      <w:r>
        <w:rPr>
          <w:rFonts w:hint="eastAsia" w:ascii="仿宋_GB2312" w:eastAsia="仿宋_GB2312"/>
          <w:sz w:val="28"/>
          <w:szCs w:val="28"/>
          <w:lang w:val="en-US" w:eastAsia="zh-CN"/>
        </w:rPr>
        <w:t>8.13%，</w:t>
      </w:r>
      <w:r>
        <w:rPr>
          <w:rFonts w:hint="eastAsia" w:ascii="仿宋_GB2312" w:eastAsia="仿宋_GB2312"/>
          <w:sz w:val="28"/>
          <w:szCs w:val="28"/>
        </w:rPr>
        <w:t>原因：按照财政要求，厉行节约。</w:t>
      </w:r>
    </w:p>
    <w:p>
      <w:pPr>
        <w:ind w:left="540"/>
        <w:rPr>
          <w:rFonts w:hint="eastAsia" w:ascii="黑体" w:eastAsia="黑体"/>
          <w:sz w:val="28"/>
          <w:szCs w:val="28"/>
        </w:rPr>
      </w:pPr>
      <w:r>
        <w:rPr>
          <w:rFonts w:hint="eastAsia" w:ascii="黑体" w:eastAsia="黑体"/>
          <w:sz w:val="28"/>
          <w:szCs w:val="28"/>
        </w:rPr>
        <w:t>三、政府采购支出情况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年度政府采购支出总额</w:t>
      </w:r>
      <w:r>
        <w:rPr>
          <w:rFonts w:ascii="仿宋_GB2312" w:eastAsia="仿宋_GB2312"/>
          <w:sz w:val="28"/>
          <w:szCs w:val="28"/>
        </w:rPr>
        <w:t>112.38</w:t>
      </w:r>
      <w:r>
        <w:rPr>
          <w:rFonts w:hint="eastAsia" w:ascii="仿宋_GB2312" w:eastAsia="仿宋_GB2312"/>
          <w:sz w:val="28"/>
          <w:szCs w:val="28"/>
        </w:rPr>
        <w:t>万元，其中：政府采购货物支出</w:t>
      </w:r>
      <w:r>
        <w:rPr>
          <w:rFonts w:ascii="仿宋_GB2312" w:eastAsia="仿宋_GB2312"/>
          <w:sz w:val="28"/>
          <w:szCs w:val="28"/>
        </w:rPr>
        <w:t>34.88</w:t>
      </w:r>
      <w:r>
        <w:rPr>
          <w:rFonts w:hint="eastAsia" w:ascii="仿宋_GB2312" w:eastAsia="仿宋_GB2312"/>
          <w:sz w:val="28"/>
          <w:szCs w:val="28"/>
        </w:rPr>
        <w:t>万元，政府采购工程支出</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万元，政府采购服务支出</w:t>
      </w:r>
      <w:r>
        <w:rPr>
          <w:rFonts w:ascii="仿宋_GB2312" w:eastAsia="仿宋_GB2312"/>
          <w:sz w:val="28"/>
          <w:szCs w:val="28"/>
        </w:rPr>
        <w:t>77.5</w:t>
      </w:r>
      <w:r>
        <w:rPr>
          <w:rFonts w:hint="eastAsia" w:ascii="仿宋_GB2312" w:eastAsia="仿宋_GB2312"/>
          <w:sz w:val="28"/>
          <w:szCs w:val="28"/>
          <w:lang w:val="en-US" w:eastAsia="zh-CN"/>
        </w:rPr>
        <w:t>0</w:t>
      </w:r>
      <w:r>
        <w:rPr>
          <w:rFonts w:hint="eastAsia" w:ascii="仿宋_GB2312" w:eastAsia="仿宋_GB2312"/>
          <w:sz w:val="28"/>
          <w:szCs w:val="28"/>
        </w:rPr>
        <w:t>万元。授予中小企业合同金额</w:t>
      </w:r>
      <w:r>
        <w:rPr>
          <w:rFonts w:ascii="仿宋_GB2312" w:eastAsia="仿宋_GB2312"/>
          <w:sz w:val="28"/>
          <w:szCs w:val="28"/>
          <w:highlight w:val="none"/>
        </w:rPr>
        <w:t>71.93</w:t>
      </w:r>
      <w:r>
        <w:rPr>
          <w:rFonts w:hint="eastAsia" w:ascii="仿宋_GB2312" w:eastAsia="仿宋_GB2312"/>
          <w:sz w:val="28"/>
          <w:szCs w:val="28"/>
        </w:rPr>
        <w:t>万元，占政府采购支出总额的</w:t>
      </w:r>
      <w:r>
        <w:rPr>
          <w:rFonts w:ascii="仿宋_GB2312" w:eastAsia="仿宋_GB2312"/>
          <w:sz w:val="28"/>
          <w:szCs w:val="28"/>
          <w:highlight w:val="none"/>
        </w:rPr>
        <w:t>64</w:t>
      </w:r>
      <w:r>
        <w:rPr>
          <w:rFonts w:hint="eastAsia" w:ascii="仿宋_GB2312" w:eastAsia="仿宋_GB2312"/>
          <w:sz w:val="28"/>
          <w:szCs w:val="28"/>
          <w:highlight w:val="none"/>
          <w:lang w:val="en-US" w:eastAsia="zh-CN"/>
        </w:rPr>
        <w:t>.00</w:t>
      </w:r>
      <w:r>
        <w:rPr>
          <w:rFonts w:hint="eastAsia" w:ascii="仿宋_GB2312" w:eastAsia="仿宋_GB2312"/>
          <w:sz w:val="28"/>
          <w:szCs w:val="28"/>
        </w:rPr>
        <w:t>%，其中：授予小微企业合同金额</w:t>
      </w:r>
      <w:r>
        <w:rPr>
          <w:rFonts w:ascii="仿宋_GB2312" w:eastAsia="仿宋_GB2312"/>
          <w:sz w:val="28"/>
          <w:szCs w:val="28"/>
          <w:highlight w:val="none"/>
        </w:rPr>
        <w:t>50.81</w:t>
      </w:r>
      <w:r>
        <w:rPr>
          <w:rFonts w:hint="eastAsia" w:ascii="仿宋_GB2312" w:eastAsia="仿宋_GB2312"/>
          <w:sz w:val="28"/>
          <w:szCs w:val="28"/>
        </w:rPr>
        <w:t>万元，占政府采购支出总额的</w:t>
      </w:r>
      <w:r>
        <w:rPr>
          <w:rFonts w:ascii="仿宋_GB2312" w:eastAsia="仿宋_GB2312"/>
          <w:sz w:val="28"/>
          <w:szCs w:val="28"/>
          <w:highlight w:val="none"/>
        </w:rPr>
        <w:t>45.21</w:t>
      </w:r>
      <w:r>
        <w:rPr>
          <w:rFonts w:hint="eastAsia" w:ascii="仿宋_GB2312" w:eastAsia="仿宋_GB2312"/>
          <w:sz w:val="28"/>
          <w:szCs w:val="28"/>
          <w:highlight w:val="none"/>
        </w:rPr>
        <w:t>%</w:t>
      </w:r>
      <w:r>
        <w:rPr>
          <w:rFonts w:hint="eastAsia" w:ascii="仿宋_GB2312" w:eastAsia="仿宋_GB2312"/>
          <w:sz w:val="28"/>
          <w:szCs w:val="28"/>
        </w:rPr>
        <w:t>。</w:t>
      </w:r>
    </w:p>
    <w:p>
      <w:pPr>
        <w:ind w:firstLine="560" w:firstLineChars="200"/>
        <w:rPr>
          <w:rFonts w:hint="eastAsia" w:ascii="黑体" w:eastAsia="黑体"/>
          <w:sz w:val="28"/>
          <w:szCs w:val="28"/>
          <w:highlight w:val="yellow"/>
        </w:rPr>
      </w:pPr>
      <w:r>
        <w:rPr>
          <w:rFonts w:hint="eastAsia" w:ascii="黑体" w:eastAsia="黑体"/>
          <w:sz w:val="28"/>
          <w:szCs w:val="28"/>
          <w:highlight w:val="none"/>
        </w:rPr>
        <w:t>四、国有资产占用情况</w:t>
      </w:r>
    </w:p>
    <w:p>
      <w:pPr>
        <w:ind w:firstLine="560" w:firstLineChars="200"/>
        <w:rPr>
          <w:rFonts w:ascii="仿宋_GB2312" w:eastAsia="仿宋_GB2312"/>
          <w:sz w:val="32"/>
          <w:szCs w:val="32"/>
        </w:rPr>
      </w:pPr>
      <w:r>
        <w:rPr>
          <w:rFonts w:hint="eastAsia" w:ascii="仿宋_GB2312" w:eastAsia="仿宋_GB2312"/>
          <w:sz w:val="28"/>
          <w:szCs w:val="28"/>
          <w:lang w:val="en-US" w:eastAsia="zh-CN"/>
        </w:rPr>
        <w:t>2023年度新购置车辆0</w:t>
      </w:r>
      <w:r>
        <w:rPr>
          <w:rFonts w:hint="eastAsia" w:ascii="仿宋_GB2312" w:eastAsia="仿宋_GB2312"/>
          <w:sz w:val="28"/>
          <w:szCs w:val="28"/>
        </w:rPr>
        <w:t>台，</w:t>
      </w:r>
      <w:r>
        <w:rPr>
          <w:rFonts w:hint="eastAsia" w:ascii="仿宋_GB2312" w:eastAsia="仿宋_GB2312"/>
          <w:sz w:val="28"/>
          <w:szCs w:val="28"/>
          <w:lang w:eastAsia="zh-CN"/>
        </w:rPr>
        <w:t>共计</w:t>
      </w:r>
      <w:r>
        <w:rPr>
          <w:rFonts w:hint="eastAsia" w:ascii="仿宋_GB2312" w:eastAsia="仿宋_GB2312"/>
          <w:sz w:val="28"/>
          <w:szCs w:val="28"/>
          <w:lang w:val="en-US" w:eastAsia="zh-CN"/>
        </w:rPr>
        <w:t>0.00</w:t>
      </w:r>
      <w:r>
        <w:rPr>
          <w:rFonts w:hint="eastAsia" w:ascii="仿宋_GB2312" w:eastAsia="仿宋_GB2312"/>
          <w:sz w:val="28"/>
          <w:szCs w:val="28"/>
        </w:rPr>
        <w:t>万元</w:t>
      </w:r>
      <w:r>
        <w:rPr>
          <w:rFonts w:hint="eastAsia" w:ascii="仿宋_GB2312" w:eastAsia="仿宋_GB2312"/>
          <w:sz w:val="28"/>
          <w:szCs w:val="28"/>
          <w:lang w:eastAsia="zh-CN"/>
        </w:rPr>
        <w:t>；新购置</w:t>
      </w:r>
      <w:r>
        <w:rPr>
          <w:rFonts w:hint="eastAsia" w:ascii="仿宋_GB2312" w:eastAsia="仿宋_GB2312"/>
          <w:sz w:val="28"/>
          <w:szCs w:val="28"/>
        </w:rPr>
        <w:t>单位价值100万元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val="en-US" w:eastAsia="zh-CN"/>
        </w:rPr>
        <w:t>0</w:t>
      </w:r>
      <w:r>
        <w:rPr>
          <w:rFonts w:hint="eastAsia" w:ascii="仿宋_GB2312" w:eastAsia="仿宋_GB2312"/>
          <w:sz w:val="28"/>
          <w:szCs w:val="28"/>
        </w:rPr>
        <w:t>台（套）</w:t>
      </w:r>
      <w:r>
        <w:rPr>
          <w:rFonts w:hint="eastAsia" w:ascii="仿宋_GB2312" w:eastAsia="仿宋_GB2312"/>
          <w:sz w:val="28"/>
          <w:szCs w:val="28"/>
          <w:lang w:eastAsia="zh-CN"/>
        </w:rPr>
        <w:t>，共计</w:t>
      </w:r>
      <w:r>
        <w:rPr>
          <w:rFonts w:hint="eastAsia" w:ascii="仿宋_GB2312" w:eastAsia="仿宋_GB2312"/>
          <w:sz w:val="28"/>
          <w:szCs w:val="28"/>
          <w:lang w:val="en-US" w:eastAsia="zh-CN"/>
        </w:rPr>
        <w:t>0.00</w:t>
      </w:r>
      <w:r>
        <w:rPr>
          <w:rFonts w:hint="eastAsia" w:ascii="仿宋_GB2312" w:eastAsia="仿宋_GB2312"/>
          <w:sz w:val="28"/>
          <w:szCs w:val="28"/>
        </w:rPr>
        <w:t>万元。</w:t>
      </w:r>
      <w:r>
        <w:rPr>
          <w:rFonts w:hint="eastAsia" w:ascii="仿宋_GB2312" w:eastAsia="仿宋_GB2312"/>
          <w:sz w:val="28"/>
          <w:szCs w:val="28"/>
          <w:lang w:eastAsia="zh-CN"/>
        </w:rPr>
        <w:t>截至</w:t>
      </w:r>
      <w:r>
        <w:rPr>
          <w:rFonts w:hint="eastAsia" w:ascii="仿宋_GB2312" w:eastAsia="仿宋_GB2312"/>
          <w:sz w:val="28"/>
          <w:szCs w:val="28"/>
          <w:lang w:val="en-US" w:eastAsia="zh-CN"/>
        </w:rPr>
        <w:t>12月31日，</w:t>
      </w:r>
      <w:r>
        <w:rPr>
          <w:rFonts w:hint="eastAsia" w:ascii="仿宋_GB2312" w:eastAsia="仿宋_GB2312"/>
          <w:sz w:val="28"/>
          <w:szCs w:val="28"/>
          <w:lang w:eastAsia="zh-CN"/>
        </w:rPr>
        <w:t>本部门共有</w:t>
      </w:r>
      <w:r>
        <w:rPr>
          <w:rFonts w:hint="eastAsia" w:ascii="仿宋_GB2312" w:eastAsia="仿宋_GB2312"/>
          <w:sz w:val="28"/>
          <w:szCs w:val="28"/>
        </w:rPr>
        <w:t>车辆</w:t>
      </w:r>
      <w:r>
        <w:rPr>
          <w:rFonts w:hint="eastAsia" w:ascii="仿宋_GB2312" w:eastAsia="仿宋_GB2312"/>
          <w:sz w:val="28"/>
          <w:szCs w:val="28"/>
          <w:lang w:val="en-US" w:eastAsia="zh-CN"/>
        </w:rPr>
        <w:t>7</w:t>
      </w:r>
      <w:r>
        <w:rPr>
          <w:rFonts w:hint="eastAsia" w:ascii="仿宋_GB2312" w:eastAsia="仿宋_GB2312"/>
          <w:sz w:val="28"/>
          <w:szCs w:val="28"/>
        </w:rPr>
        <w:t>台，</w:t>
      </w:r>
      <w:r>
        <w:rPr>
          <w:rFonts w:hint="eastAsia" w:ascii="仿宋_GB2312" w:eastAsia="仿宋_GB2312"/>
          <w:sz w:val="28"/>
          <w:szCs w:val="28"/>
          <w:lang w:eastAsia="zh-CN"/>
        </w:rPr>
        <w:t>共计</w:t>
      </w:r>
      <w:r>
        <w:rPr>
          <w:rFonts w:hint="eastAsia" w:ascii="仿宋_GB2312" w:eastAsia="仿宋_GB2312"/>
          <w:sz w:val="28"/>
          <w:szCs w:val="28"/>
          <w:lang w:val="en-US" w:eastAsia="zh-CN"/>
        </w:rPr>
        <w:t>136.59</w:t>
      </w:r>
      <w:r>
        <w:rPr>
          <w:rFonts w:hint="eastAsia" w:ascii="仿宋_GB2312" w:eastAsia="仿宋_GB2312"/>
          <w:sz w:val="28"/>
          <w:szCs w:val="28"/>
        </w:rPr>
        <w:t>万元；单位价值100万元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val="en-US" w:eastAsia="zh-CN"/>
        </w:rPr>
        <w:t>0</w:t>
      </w:r>
      <w:r>
        <w:rPr>
          <w:rFonts w:hint="eastAsia" w:ascii="仿宋_GB2312" w:eastAsia="仿宋_GB2312"/>
          <w:sz w:val="28"/>
          <w:szCs w:val="28"/>
        </w:rPr>
        <w:t>台（套）</w:t>
      </w:r>
      <w:r>
        <w:rPr>
          <w:rFonts w:hint="eastAsia" w:ascii="仿宋_GB2312" w:eastAsia="仿宋_GB2312"/>
          <w:sz w:val="28"/>
          <w:szCs w:val="28"/>
          <w:lang w:eastAsia="zh-CN"/>
        </w:rPr>
        <w:t>，共计</w:t>
      </w:r>
      <w:r>
        <w:rPr>
          <w:rFonts w:hint="eastAsia" w:ascii="仿宋_GB2312" w:eastAsia="仿宋_GB2312"/>
          <w:sz w:val="28"/>
          <w:szCs w:val="28"/>
          <w:lang w:val="en-US" w:eastAsia="zh-CN"/>
        </w:rPr>
        <w:t>0.00</w:t>
      </w:r>
      <w:r>
        <w:rPr>
          <w:rFonts w:hint="eastAsia" w:ascii="仿宋_GB2312" w:eastAsia="仿宋_GB2312"/>
          <w:sz w:val="28"/>
          <w:szCs w:val="28"/>
        </w:rPr>
        <w:t>万元。</w:t>
      </w:r>
    </w:p>
    <w:p>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w:t>
      </w:r>
      <w:r>
        <w:rPr>
          <w:rFonts w:ascii="仿宋_GB2312" w:eastAsia="仿宋_GB2312"/>
          <w:sz w:val="28"/>
          <w:szCs w:val="28"/>
        </w:rPr>
        <w:t>政府购买服务决算</w:t>
      </w:r>
      <w:r>
        <w:rPr>
          <w:rFonts w:ascii="仿宋_GB2312" w:eastAsia="仿宋_GB2312"/>
          <w:sz w:val="28"/>
          <w:szCs w:val="28"/>
          <w:highlight w:val="none"/>
        </w:rPr>
        <w:t>17.82</w:t>
      </w:r>
      <w:r>
        <w:rPr>
          <w:rFonts w:hint="eastAsia" w:ascii="仿宋_GB2312" w:eastAsia="仿宋_GB2312"/>
          <w:sz w:val="28"/>
          <w:szCs w:val="28"/>
        </w:rPr>
        <w:t>万元。</w:t>
      </w:r>
    </w:p>
    <w:p>
      <w:pPr>
        <w:ind w:firstLine="560" w:firstLineChars="200"/>
        <w:jc w:val="left"/>
        <w:rPr>
          <w:rFonts w:hint="eastAsia"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p>
    <w:p>
      <w:pPr>
        <w:ind w:firstLine="560" w:firstLineChars="200"/>
        <w:rPr>
          <w:rFonts w:hint="eastAsia"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pPr>
        <w:ind w:firstLine="560" w:firstLineChars="200"/>
        <w:rPr>
          <w:rFonts w:hint="eastAsia"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420" w:firstLineChars="150"/>
        <w:rPr>
          <w:rFonts w:hint="eastAsia"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pPr>
        <w:ind w:firstLine="420" w:firstLineChars="150"/>
        <w:rPr>
          <w:rFonts w:hint="eastAsia"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ind w:firstLine="420" w:firstLineChars="150"/>
        <w:rPr>
          <w:rFonts w:hint="eastAsia" w:ascii="仿宋_GB2312" w:eastAsia="仿宋_GB2312"/>
          <w:sz w:val="28"/>
          <w:szCs w:val="28"/>
          <w:lang w:eastAsia="zh-CN"/>
        </w:rPr>
      </w:pPr>
      <w:r>
        <w:rPr>
          <w:rFonts w:hint="eastAsia" w:ascii="仿宋_GB2312" w:eastAsia="仿宋_GB2312"/>
          <w:sz w:val="28"/>
          <w:szCs w:val="28"/>
          <w:lang w:val="en-US" w:eastAsia="zh-CN"/>
        </w:rPr>
        <w:t>7.</w:t>
      </w:r>
      <w:r>
        <w:rPr>
          <w:rFonts w:hint="eastAsia" w:ascii="仿宋_GB2312" w:eastAsia="仿宋_GB2312"/>
          <w:sz w:val="28"/>
          <w:szCs w:val="28"/>
        </w:rPr>
        <w:t>各</w:t>
      </w:r>
      <w:r>
        <w:rPr>
          <w:rFonts w:hint="eastAsia" w:ascii="仿宋_GB2312" w:eastAsia="仿宋_GB2312"/>
          <w:sz w:val="28"/>
          <w:szCs w:val="28"/>
          <w:lang w:eastAsia="zh-CN"/>
        </w:rPr>
        <w:t>单位</w:t>
      </w:r>
      <w:r>
        <w:rPr>
          <w:rFonts w:hint="eastAsia" w:ascii="仿宋_GB2312" w:eastAsia="仿宋_GB2312"/>
          <w:sz w:val="28"/>
          <w:szCs w:val="28"/>
        </w:rPr>
        <w:t>需根据自身业务职能，</w:t>
      </w:r>
      <w:r>
        <w:rPr>
          <w:rFonts w:hint="eastAsia" w:ascii="仿宋_GB2312" w:eastAsia="仿宋_GB2312"/>
          <w:sz w:val="28"/>
          <w:szCs w:val="28"/>
          <w:lang w:eastAsia="zh-CN"/>
        </w:rPr>
        <w:t>补充当年</w:t>
      </w:r>
      <w:r>
        <w:rPr>
          <w:rFonts w:hint="eastAsia" w:ascii="仿宋_GB2312" w:eastAsia="仿宋_GB2312"/>
          <w:sz w:val="28"/>
          <w:szCs w:val="28"/>
          <w:lang w:val="en-US" w:eastAsia="zh-CN"/>
        </w:rPr>
        <w:t>使用的所有</w:t>
      </w:r>
      <w:r>
        <w:rPr>
          <w:rFonts w:hint="eastAsia" w:ascii="仿宋_GB2312" w:eastAsia="仿宋_GB2312"/>
          <w:sz w:val="28"/>
          <w:szCs w:val="28"/>
          <w:lang w:eastAsia="zh-CN"/>
        </w:rPr>
        <w:t>支出功能分类项级科目名词解释，例如：</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一般公共服务支出（类）人大事务（款）行政运行（项）：反映行政单位（包括实行公务员管理的事业单位）的基本支出。</w:t>
      </w:r>
    </w:p>
    <w:p>
      <w:pPr>
        <w:jc w:val="both"/>
        <w:rPr>
          <w:rFonts w:hint="eastAsia" w:ascii="黑体" w:eastAsia="黑体"/>
          <w:sz w:val="32"/>
          <w:szCs w:val="32"/>
          <w:lang w:val="en-US" w:eastAsia="zh-CN"/>
        </w:rPr>
      </w:pPr>
    </w:p>
    <w:p>
      <w:pPr>
        <w:pStyle w:val="3"/>
        <w:rPr>
          <w:rFonts w:hint="eastAsia"/>
          <w:lang w:val="en-US" w:eastAsia="zh-CN"/>
        </w:rPr>
      </w:pPr>
    </w:p>
    <w:p>
      <w:pPr>
        <w:ind w:firstLine="640" w:firstLineChars="200"/>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第四部分  202</w:t>
      </w:r>
      <w:r>
        <w:rPr>
          <w:rFonts w:hint="eastAsia" w:asciiTheme="majorEastAsia" w:hAnsiTheme="majorEastAsia" w:eastAsiaTheme="majorEastAsia" w:cstheme="majorEastAsia"/>
          <w:b/>
          <w:bCs/>
          <w:sz w:val="32"/>
          <w:szCs w:val="32"/>
          <w:lang w:val="en-US" w:eastAsia="zh-CN"/>
        </w:rPr>
        <w:t>3</w:t>
      </w:r>
      <w:r>
        <w:rPr>
          <w:rFonts w:hint="eastAsia" w:asciiTheme="majorEastAsia" w:hAnsiTheme="majorEastAsia" w:eastAsiaTheme="majorEastAsia" w:cstheme="majorEastAsia"/>
          <w:b/>
          <w:bCs/>
          <w:sz w:val="32"/>
          <w:szCs w:val="32"/>
        </w:rPr>
        <w:t>年度部门绩效评价情况</w:t>
      </w:r>
    </w:p>
    <w:p>
      <w:pPr>
        <w:ind w:firstLine="560" w:firstLineChars="200"/>
        <w:rPr>
          <w:rFonts w:hint="eastAsia" w:ascii="黑体" w:eastAsia="黑体"/>
          <w:sz w:val="28"/>
          <w:szCs w:val="28"/>
          <w:highlight w:val="yellow"/>
        </w:rPr>
      </w:pPr>
    </w:p>
    <w:p>
      <w:pPr>
        <w:ind w:firstLine="560" w:firstLineChars="200"/>
        <w:rPr>
          <w:rFonts w:hint="eastAsia" w:ascii="黑体" w:eastAsia="黑体"/>
          <w:sz w:val="28"/>
          <w:szCs w:val="28"/>
          <w:lang w:eastAsia="zh-CN"/>
        </w:rPr>
      </w:pPr>
      <w:r>
        <w:rPr>
          <w:rFonts w:hint="eastAsia" w:ascii="黑体" w:eastAsia="黑体"/>
          <w:sz w:val="28"/>
          <w:szCs w:val="28"/>
        </w:rPr>
        <w:t>一、部门整体绩效评价报告</w:t>
      </w:r>
      <w:r>
        <w:rPr>
          <w:rFonts w:hint="eastAsia" w:ascii="黑体" w:eastAsia="黑体"/>
          <w:sz w:val="28"/>
          <w:szCs w:val="28"/>
          <w:lang w:eastAsia="zh-CN"/>
        </w:rPr>
        <w:t>（详见附件）</w:t>
      </w:r>
    </w:p>
    <w:p>
      <w:pPr>
        <w:ind w:firstLine="560" w:firstLineChars="200"/>
        <w:rPr>
          <w:rFonts w:hint="eastAsia" w:ascii="黑体" w:eastAsia="黑体"/>
          <w:sz w:val="28"/>
          <w:szCs w:val="28"/>
        </w:rPr>
      </w:pPr>
      <w:r>
        <w:rPr>
          <w:rFonts w:hint="eastAsia" w:ascii="黑体" w:eastAsia="黑体"/>
          <w:sz w:val="28"/>
          <w:szCs w:val="28"/>
        </w:rPr>
        <w:t>二、项目支出绩效评价报告</w:t>
      </w:r>
      <w:r>
        <w:rPr>
          <w:rFonts w:hint="eastAsia" w:ascii="黑体" w:eastAsia="黑体"/>
          <w:sz w:val="28"/>
          <w:szCs w:val="28"/>
          <w:lang w:eastAsia="zh-CN"/>
        </w:rPr>
        <w:t>（详见附件）</w:t>
      </w:r>
    </w:p>
    <w:p>
      <w:pPr>
        <w:ind w:firstLine="560" w:firstLineChars="200"/>
        <w:rPr>
          <w:rFonts w:ascii="黑体" w:eastAsia="黑体"/>
          <w:sz w:val="28"/>
          <w:szCs w:val="28"/>
        </w:rPr>
      </w:pPr>
      <w:r>
        <w:rPr>
          <w:rFonts w:hint="eastAsia" w:ascii="黑体" w:eastAsia="黑体"/>
          <w:sz w:val="28"/>
          <w:szCs w:val="28"/>
        </w:rPr>
        <w:t>三</w:t>
      </w:r>
      <w:r>
        <w:rPr>
          <w:rFonts w:ascii="黑体" w:eastAsia="黑体"/>
          <w:sz w:val="28"/>
          <w:szCs w:val="28"/>
        </w:rPr>
        <w:t>、</w:t>
      </w:r>
      <w:r>
        <w:rPr>
          <w:rFonts w:hint="eastAsia" w:ascii="黑体" w:eastAsia="黑体"/>
          <w:sz w:val="28"/>
          <w:szCs w:val="28"/>
        </w:rPr>
        <w:t>项目</w:t>
      </w:r>
      <w:r>
        <w:rPr>
          <w:rFonts w:ascii="黑体" w:eastAsia="黑体"/>
          <w:sz w:val="28"/>
          <w:szCs w:val="28"/>
        </w:rPr>
        <w:t>支出绩效自评表</w:t>
      </w:r>
      <w:r>
        <w:rPr>
          <w:rFonts w:hint="eastAsia" w:ascii="黑体" w:eastAsia="黑体"/>
          <w:sz w:val="28"/>
          <w:szCs w:val="28"/>
          <w:lang w:eastAsia="zh-CN"/>
        </w:rPr>
        <w:t>（详见附件）</w:t>
      </w:r>
    </w:p>
    <w:p>
      <w:pPr>
        <w:ind w:firstLine="560" w:firstLineChars="200"/>
        <w:rPr>
          <w:rFonts w:hint="eastAsia" w:ascii="黑体" w:hAnsi="Times New Roman" w:eastAsia="黑体" w:cs="Times New Roman"/>
          <w:sz w:val="28"/>
          <w:szCs w:val="28"/>
          <w:lang w:eastAsia="zh-CN"/>
        </w:rPr>
      </w:pPr>
      <w:r>
        <w:rPr>
          <w:rFonts w:hint="eastAsia" w:ascii="黑体" w:hAnsi="Times New Roman" w:eastAsia="黑体" w:cs="Times New Roman"/>
          <w:sz w:val="28"/>
          <w:szCs w:val="28"/>
          <w:lang w:eastAsia="zh-CN"/>
        </w:rPr>
        <w:t>四、</w:t>
      </w:r>
      <w:r>
        <w:rPr>
          <w:rFonts w:hint="eastAsia" w:ascii="黑体" w:hAnsi="Times New Roman" w:eastAsia="黑体" w:cs="Times New Roman"/>
          <w:sz w:val="28"/>
          <w:szCs w:val="28"/>
          <w:lang w:val="en-US" w:eastAsia="zh-CN"/>
        </w:rPr>
        <w:t>中央对北京XX转移支付预算执行情况绩效自评报告</w:t>
      </w:r>
      <w:r>
        <w:rPr>
          <w:rFonts w:hint="eastAsia" w:ascii="黑体" w:eastAsia="黑体"/>
          <w:sz w:val="28"/>
          <w:szCs w:val="28"/>
          <w:lang w:eastAsia="zh-CN"/>
        </w:rPr>
        <w:t>（详见附件）</w:t>
      </w:r>
    </w:p>
    <w:p>
      <w:pPr>
        <w:spacing w:line="480" w:lineRule="exact"/>
        <w:ind w:firstLine="560"/>
        <w:rPr>
          <w:rFonts w:hint="eastAsia" w:ascii="黑体" w:eastAsia="黑体"/>
          <w:sz w:val="28"/>
          <w:szCs w:val="28"/>
        </w:rPr>
      </w:pPr>
      <w:r>
        <w:rPr>
          <w:rFonts w:hint="eastAsia" w:ascii="黑体" w:eastAsia="黑体"/>
          <w:sz w:val="28"/>
          <w:szCs w:val="28"/>
        </w:rPr>
        <w:t>（注：</w:t>
      </w:r>
      <w:r>
        <w:rPr>
          <w:rFonts w:hint="eastAsia" w:ascii="黑体" w:eastAsia="黑体"/>
          <w:color w:val="auto"/>
          <w:sz w:val="28"/>
          <w:szCs w:val="28"/>
        </w:rPr>
        <w:t>有中央转移支付的一级预算部门，公开“一、二、三、四”；没有中央转移支付的一级预算部门，公开“一、二、三”；</w:t>
      </w:r>
      <w:r>
        <w:rPr>
          <w:rFonts w:hint="eastAsia" w:ascii="黑体" w:eastAsia="黑体"/>
          <w:sz w:val="28"/>
          <w:szCs w:val="28"/>
        </w:rPr>
        <w:t>二级预算单位仅公开“三”</w:t>
      </w:r>
      <w:r>
        <w:rPr>
          <w:rFonts w:hint="eastAsia" w:ascii="黑体" w:eastAsia="黑体"/>
          <w:sz w:val="28"/>
          <w:szCs w:val="28"/>
          <w:lang w:eastAsia="zh-CN"/>
        </w:rPr>
        <w:t>。</w:t>
      </w:r>
      <w:r>
        <w:rPr>
          <w:rFonts w:hint="eastAsia" w:ascii="黑体" w:eastAsia="黑体"/>
          <w:sz w:val="28"/>
          <w:szCs w:val="28"/>
        </w:rPr>
        <w:t>）</w:t>
      </w:r>
    </w:p>
    <w:p>
      <w:pPr>
        <w:pStyle w:val="4"/>
        <w:ind w:firstLine="560"/>
        <w:rPr>
          <w:rFonts w:hint="eastAsia"/>
        </w:rPr>
      </w:pPr>
    </w:p>
    <w:p>
      <w:pPr>
        <w:rPr>
          <w:rFonts w:hint="eastAsia"/>
        </w:rPr>
      </w:pPr>
    </w:p>
    <w:p>
      <w:pPr>
        <w:pStyle w:val="4"/>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ind w:firstLine="0" w:firstLineChars="0"/>
        <w:rPr>
          <w:rFonts w:hint="eastAsia" w:ascii="黑体" w:hAnsi="黑体" w:eastAsia="黑体" w:cs="黑体"/>
          <w:sz w:val="32"/>
          <w:szCs w:val="32"/>
        </w:rPr>
      </w:pPr>
      <w:r>
        <w:rPr>
          <w:rFonts w:hint="eastAsia" w:ascii="黑体" w:hAnsi="黑体" w:eastAsia="黑体" w:cs="黑体"/>
          <w:sz w:val="32"/>
          <w:szCs w:val="32"/>
        </w:rPr>
        <w:t>附件</w:t>
      </w:r>
    </w:p>
    <w:p>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部门整体绩效评价报告</w:t>
      </w:r>
    </w:p>
    <w:p>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（参考模版）</w:t>
      </w:r>
    </w:p>
    <w:p>
      <w:pPr>
        <w:jc w:val="center"/>
        <w:rPr>
          <w:rFonts w:ascii="仿宋_GB2312"/>
          <w:szCs w:val="30"/>
        </w:rPr>
      </w:pPr>
    </w:p>
    <w:p>
      <w:pPr>
        <w:spacing w:line="600" w:lineRule="exact"/>
        <w:ind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（一）机构设置及职责工作任务情况</w:t>
      </w:r>
    </w:p>
    <w:p>
      <w:pPr>
        <w:ind w:firstLine="614" w:firstLineChars="192"/>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我单位严格执行《预算法》，认真落实预算编制和执行的主体责任，完整编报收入，统筹安排支出，统编收支预算，强化预算约束；加强项目支出管理，提高预算执行力。按照财政关于开展绩效自评工作的通知，我单位高度重视，财务科牵头认真组织各预算项目相关业务科室开展绩效自评工作，并做好自评结果汇总，切实增强我单位支出责任和效率意识，深化全成本预算绩效管理，提高财政资金使用效益。</w:t>
      </w:r>
    </w:p>
    <w:p>
      <w:pPr>
        <w:numPr>
          <w:ilvl w:val="0"/>
          <w:numId w:val="2"/>
        </w:num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部门整体绩效目标设立情况（包括绩效目标设立依据、目标</w:t>
      </w:r>
      <w:r>
        <w:rPr>
          <w:rFonts w:ascii="楷体_GB2312" w:eastAsia="楷体_GB2312"/>
          <w:sz w:val="32"/>
          <w:szCs w:val="32"/>
        </w:rPr>
        <w:t>与</w:t>
      </w:r>
      <w:r>
        <w:rPr>
          <w:rFonts w:hint="eastAsia" w:ascii="楷体_GB2312" w:eastAsia="楷体_GB2312"/>
          <w:sz w:val="32"/>
          <w:szCs w:val="32"/>
        </w:rPr>
        <w:t>职责任务匹配情况、目标合理性等）。</w:t>
      </w:r>
    </w:p>
    <w:p>
      <w:pPr>
        <w:spacing w:line="600" w:lineRule="exact"/>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北京市密云区统计局2023年整体绩效目标情况：基本支出：保障单位正常运转。主要包括人员工资和办公费、水、电费、电话费、取暖费、福利费、公务用车运行维护费、差旅费、培训费、会议费、维修费、物业费、租赁费、离退休公用、公务交通补贴、工会经费等合计1663.38万元。</w:t>
      </w:r>
    </w:p>
    <w:p>
      <w:pPr>
        <w:spacing w:line="600" w:lineRule="exact"/>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 xml:space="preserve">项目支出：保障单位统计业务正常开展，为区委区政府提供统计数据决策依据。主要包括保安、保洁水电工项目支出17.82万元；人口抽样调查项目支出10.36万元；统计资料汇编印刷项目支出8.4万元；统计抽样调查项目支出25.00万元。（疏整促20.00万元、生态文明满意度调查5.00万元）；第五次全国经济普查项目支出328.13万元。项目共计支出389.72万元。 </w:t>
      </w: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w:t>
      </w: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当年</w:t>
      </w:r>
      <w:r>
        <w:rPr>
          <w:rFonts w:ascii="黑体" w:hAnsi="黑体" w:eastAsia="黑体" w:cs="宋体"/>
          <w:color w:val="000000"/>
          <w:kern w:val="0"/>
          <w:sz w:val="32"/>
          <w:szCs w:val="32"/>
        </w:rPr>
        <w:t>预算执行情况</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w:t>
      </w: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年</w:t>
      </w:r>
      <w:r>
        <w:rPr>
          <w:rFonts w:ascii="仿宋_GB2312" w:hAnsi="宋体" w:eastAsia="仿宋_GB2312" w:cs="宋体"/>
          <w:color w:val="000000"/>
          <w:kern w:val="0"/>
          <w:sz w:val="32"/>
          <w:szCs w:val="32"/>
        </w:rPr>
        <w:t>全年</w:t>
      </w:r>
      <w:r>
        <w:rPr>
          <w:rFonts w:hint="eastAsia"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2053.10</w:t>
      </w:r>
      <w:r>
        <w:rPr>
          <w:rFonts w:hint="eastAsia" w:ascii="仿宋_GB2312" w:hAnsi="宋体" w:eastAsia="仿宋_GB2312" w:cs="宋体"/>
          <w:color w:val="000000"/>
          <w:kern w:val="0"/>
          <w:sz w:val="32"/>
          <w:szCs w:val="32"/>
        </w:rPr>
        <w:t>万元</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其中</w:t>
      </w:r>
      <w:r>
        <w:rPr>
          <w:rFonts w:ascii="仿宋_GB2312" w:hAnsi="宋体" w:eastAsia="仿宋_GB2312" w:cs="宋体"/>
          <w:color w:val="000000"/>
          <w:kern w:val="0"/>
          <w:sz w:val="32"/>
          <w:szCs w:val="32"/>
        </w:rPr>
        <w:t>，基本</w:t>
      </w:r>
      <w:r>
        <w:rPr>
          <w:rFonts w:hint="eastAsia" w:ascii="仿宋_GB2312" w:hAnsi="宋体" w:eastAsia="仿宋_GB2312" w:cs="宋体"/>
          <w:color w:val="000000"/>
          <w:kern w:val="0"/>
          <w:sz w:val="32"/>
          <w:szCs w:val="32"/>
        </w:rPr>
        <w:t>支出</w:t>
      </w:r>
      <w:r>
        <w:rPr>
          <w:rFonts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1663.38</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项目支出预算数</w:t>
      </w:r>
      <w:r>
        <w:rPr>
          <w:rFonts w:hint="eastAsia" w:ascii="仿宋_GB2312" w:hAnsi="宋体" w:eastAsia="仿宋_GB2312" w:cs="宋体"/>
          <w:color w:val="000000"/>
          <w:kern w:val="0"/>
          <w:sz w:val="32"/>
          <w:szCs w:val="32"/>
          <w:lang w:val="en-US" w:eastAsia="zh-CN"/>
        </w:rPr>
        <w:t>389.72</w:t>
      </w:r>
      <w:r>
        <w:rPr>
          <w:rFonts w:ascii="仿宋_GB2312" w:hAnsi="宋体" w:eastAsia="仿宋_GB2312" w:cs="宋体"/>
          <w:color w:val="000000"/>
          <w:kern w:val="0"/>
          <w:sz w:val="32"/>
          <w:szCs w:val="32"/>
        </w:rPr>
        <w:t>万元，其他支出</w:t>
      </w:r>
      <w:r>
        <w:rPr>
          <w:rFonts w:hint="eastAsia"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0.00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资金总体</w:t>
      </w:r>
      <w:r>
        <w:rPr>
          <w:rFonts w:hint="eastAsia" w:ascii="仿宋_GB2312" w:hAnsi="宋体" w:eastAsia="仿宋_GB2312" w:cs="宋体"/>
          <w:color w:val="000000"/>
          <w:kern w:val="0"/>
          <w:sz w:val="32"/>
          <w:szCs w:val="32"/>
        </w:rPr>
        <w:t>支出</w:t>
      </w:r>
      <w:r>
        <w:rPr>
          <w:rFonts w:hint="eastAsia" w:ascii="仿宋_GB2312" w:hAnsi="宋体" w:eastAsia="仿宋_GB2312" w:cs="宋体"/>
          <w:color w:val="000000"/>
          <w:kern w:val="0"/>
          <w:sz w:val="32"/>
          <w:szCs w:val="32"/>
          <w:lang w:val="en-US" w:eastAsia="zh-CN"/>
        </w:rPr>
        <w:t>2053.10</w:t>
      </w:r>
      <w:r>
        <w:rPr>
          <w:rFonts w:ascii="仿宋_GB2312" w:hAnsi="宋体" w:eastAsia="仿宋_GB2312" w:cs="宋体"/>
          <w:color w:val="000000"/>
          <w:kern w:val="0"/>
          <w:sz w:val="32"/>
          <w:szCs w:val="32"/>
        </w:rPr>
        <w:t>万元，其中，基本支出</w:t>
      </w:r>
      <w:r>
        <w:rPr>
          <w:rFonts w:hint="eastAsia" w:ascii="仿宋_GB2312" w:hAnsi="宋体" w:eastAsia="仿宋_GB2312" w:cs="宋体"/>
          <w:color w:val="000000"/>
          <w:kern w:val="0"/>
          <w:sz w:val="32"/>
          <w:szCs w:val="32"/>
          <w:lang w:val="en-US" w:eastAsia="zh-CN"/>
        </w:rPr>
        <w:t>1663.38</w:t>
      </w:r>
      <w:r>
        <w:rPr>
          <w:rFonts w:ascii="仿宋_GB2312" w:hAnsi="宋体" w:eastAsia="仿宋_GB2312" w:cs="宋体"/>
          <w:color w:val="000000"/>
          <w:kern w:val="0"/>
          <w:sz w:val="32"/>
          <w:szCs w:val="32"/>
        </w:rPr>
        <w:t>万元，项目</w:t>
      </w:r>
      <w:r>
        <w:rPr>
          <w:rFonts w:hint="eastAsia" w:ascii="仿宋_GB2312" w:hAnsi="宋体" w:eastAsia="仿宋_GB2312" w:cs="宋体"/>
          <w:color w:val="000000"/>
          <w:kern w:val="0"/>
          <w:sz w:val="32"/>
          <w:szCs w:val="32"/>
        </w:rPr>
        <w:t>支出</w:t>
      </w:r>
      <w:r>
        <w:rPr>
          <w:rFonts w:hint="eastAsia" w:ascii="仿宋_GB2312" w:hAnsi="宋体" w:eastAsia="仿宋_GB2312" w:cs="宋体"/>
          <w:color w:val="000000"/>
          <w:kern w:val="0"/>
          <w:sz w:val="32"/>
          <w:szCs w:val="32"/>
          <w:lang w:val="en-US" w:eastAsia="zh-CN"/>
        </w:rPr>
        <w:t>389.72</w:t>
      </w:r>
      <w:r>
        <w:rPr>
          <w:rFonts w:ascii="仿宋_GB2312" w:hAnsi="宋体" w:eastAsia="仿宋_GB2312" w:cs="宋体"/>
          <w:color w:val="000000"/>
          <w:kern w:val="0"/>
          <w:sz w:val="32"/>
          <w:szCs w:val="32"/>
        </w:rPr>
        <w:t>万元，其他支出</w:t>
      </w:r>
      <w:r>
        <w:rPr>
          <w:rFonts w:hint="eastAsia" w:ascii="仿宋_GB2312" w:hAnsi="宋体" w:eastAsia="仿宋_GB2312" w:cs="宋体"/>
          <w:color w:val="000000"/>
          <w:kern w:val="0"/>
          <w:sz w:val="32"/>
          <w:szCs w:val="32"/>
          <w:lang w:val="en-US" w:eastAsia="zh-CN"/>
        </w:rPr>
        <w:t>0.00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预算</w:t>
      </w:r>
      <w:r>
        <w:rPr>
          <w:rFonts w:ascii="仿宋_GB2312" w:hAnsi="宋体" w:eastAsia="仿宋_GB2312" w:cs="宋体"/>
          <w:color w:val="000000"/>
          <w:kern w:val="0"/>
          <w:sz w:val="32"/>
          <w:szCs w:val="32"/>
        </w:rPr>
        <w:t>执行率为</w:t>
      </w:r>
      <w:r>
        <w:rPr>
          <w:rFonts w:hint="eastAsia" w:ascii="仿宋_GB2312" w:hAnsi="宋体" w:eastAsia="仿宋_GB2312" w:cs="宋体"/>
          <w:color w:val="000000"/>
          <w:kern w:val="0"/>
          <w:sz w:val="32"/>
          <w:szCs w:val="32"/>
          <w:lang w:val="en-US" w:eastAsia="zh-CN"/>
        </w:rPr>
        <w:t>100%</w:t>
      </w:r>
      <w:r>
        <w:rPr>
          <w:rFonts w:hint="eastAsia" w:ascii="仿宋_GB2312" w:hAnsi="宋体" w:eastAsia="仿宋_GB2312" w:cs="宋体"/>
          <w:color w:val="000000"/>
          <w:kern w:val="0"/>
          <w:sz w:val="32"/>
          <w:szCs w:val="32"/>
        </w:rPr>
        <w:t>。</w:t>
      </w:r>
    </w:p>
    <w:p>
      <w:pPr>
        <w:numPr>
          <w:ilvl w:val="0"/>
          <w:numId w:val="3"/>
        </w:numPr>
        <w:spacing w:line="600" w:lineRule="exact"/>
        <w:ind w:left="105" w:leftChars="50" w:firstLine="480" w:firstLineChars="150"/>
        <w:rPr>
          <w:rFonts w:ascii="黑体" w:hAnsi="黑体" w:eastAsia="黑体" w:cs="宋体"/>
          <w:color w:val="000000"/>
          <w:kern w:val="0"/>
          <w:sz w:val="32"/>
          <w:szCs w:val="32"/>
        </w:rPr>
      </w:pPr>
      <w:r>
        <w:rPr>
          <w:rFonts w:ascii="黑体" w:hAnsi="黑体" w:eastAsia="黑体" w:cs="宋体"/>
          <w:color w:val="000000"/>
          <w:kern w:val="0"/>
          <w:sz w:val="32"/>
          <w:szCs w:val="32"/>
        </w:rPr>
        <w:t>整体绩效目标实现情况</w:t>
      </w:r>
    </w:p>
    <w:p>
      <w:pPr>
        <w:spacing w:line="580" w:lineRule="exact"/>
        <w:ind w:firstLine="560" w:firstLineChars="200"/>
      </w:pPr>
      <w:r>
        <w:rPr>
          <w:rFonts w:hint="eastAsia" w:ascii="仿宋_GB2312" w:hAnsi="仿宋_GB2312" w:eastAsia="仿宋_GB2312" w:cs="仿宋_GB2312"/>
          <w:color w:val="000000"/>
          <w:kern w:val="0"/>
          <w:sz w:val="28"/>
          <w:szCs w:val="28"/>
          <w:highlight w:val="none"/>
          <w:lang w:val="en-US" w:eastAsia="zh-CN"/>
        </w:rPr>
        <w:t>2023年我单位共完成项目6个，重点项目项目1个为全国第五次经济普查。</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（一）产出完成情况分析</w:t>
      </w:r>
    </w:p>
    <w:p>
      <w:pPr>
        <w:spacing w:line="58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1.产出数量</w:t>
      </w:r>
      <w:r>
        <w:rPr>
          <w:rFonts w:hint="eastAsia" w:ascii="仿宋_GB2312" w:hAnsi="宋体" w:eastAsia="仿宋_GB2312" w:cs="宋体"/>
          <w:color w:val="000000"/>
          <w:kern w:val="0"/>
          <w:sz w:val="32"/>
          <w:szCs w:val="32"/>
          <w:lang w:eastAsia="zh-CN"/>
        </w:rPr>
        <w:t>：</w:t>
      </w:r>
      <w:r>
        <w:rPr>
          <w:rFonts w:hint="eastAsia" w:ascii="仿宋_GB2312" w:hAnsi="仿宋_GB2312" w:eastAsia="仿宋_GB2312" w:cs="仿宋_GB2312"/>
          <w:color w:val="000000"/>
          <w:kern w:val="0"/>
          <w:sz w:val="28"/>
          <w:szCs w:val="28"/>
          <w:highlight w:val="none"/>
          <w:lang w:eastAsia="zh-CN"/>
        </w:rPr>
        <w:t>按照年初设定的绩效目标完成</w:t>
      </w:r>
      <w:r>
        <w:rPr>
          <w:rFonts w:hint="eastAsia" w:ascii="仿宋_GB2312" w:hAnsi="仿宋_GB2312" w:eastAsia="仿宋_GB2312" w:cs="仿宋_GB2312"/>
          <w:color w:val="000000"/>
          <w:kern w:val="0"/>
          <w:sz w:val="28"/>
          <w:szCs w:val="28"/>
          <w:highlight w:val="none"/>
          <w:lang w:val="en-US" w:eastAsia="zh-CN"/>
        </w:rPr>
        <w:t>6个项目的实施工作。</w:t>
      </w:r>
    </w:p>
    <w:p>
      <w:p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2.产出</w:t>
      </w:r>
      <w:r>
        <w:rPr>
          <w:rFonts w:ascii="仿宋_GB2312" w:hAnsi="宋体" w:eastAsia="仿宋_GB2312" w:cs="宋体"/>
          <w:color w:val="000000"/>
          <w:kern w:val="0"/>
          <w:sz w:val="32"/>
          <w:szCs w:val="32"/>
        </w:rPr>
        <w:t>质量</w:t>
      </w:r>
      <w:r>
        <w:rPr>
          <w:rFonts w:hint="eastAsia" w:ascii="仿宋_GB2312" w:hAnsi="宋体" w:eastAsia="仿宋_GB2312" w:cs="宋体"/>
          <w:color w:val="000000"/>
          <w:kern w:val="0"/>
          <w:sz w:val="32"/>
          <w:szCs w:val="32"/>
          <w:lang w:eastAsia="zh-CN"/>
        </w:rPr>
        <w:t>：</w:t>
      </w:r>
      <w:r>
        <w:rPr>
          <w:rFonts w:hint="eastAsia" w:ascii="仿宋_GB2312" w:hAnsi="仿宋_GB2312" w:eastAsia="仿宋_GB2312" w:cs="仿宋_GB2312"/>
          <w:color w:val="000000"/>
          <w:kern w:val="0"/>
          <w:sz w:val="28"/>
          <w:szCs w:val="28"/>
          <w:highlight w:val="none"/>
          <w:lang w:eastAsia="zh-CN"/>
        </w:rPr>
        <w:t>按照制定的工作方案结合工作实际保证工作完成质量。</w:t>
      </w:r>
    </w:p>
    <w:p>
      <w:pPr>
        <w:spacing w:line="58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3.产出</w:t>
      </w:r>
      <w:r>
        <w:rPr>
          <w:rFonts w:ascii="仿宋_GB2312" w:hAnsi="宋体" w:eastAsia="仿宋_GB2312" w:cs="宋体"/>
          <w:color w:val="000000"/>
          <w:kern w:val="0"/>
          <w:sz w:val="32"/>
          <w:szCs w:val="32"/>
        </w:rPr>
        <w:t>进度</w:t>
      </w:r>
      <w:r>
        <w:rPr>
          <w:rFonts w:hint="eastAsia" w:ascii="仿宋_GB2312" w:hAnsi="宋体" w:eastAsia="仿宋_GB2312" w:cs="宋体"/>
          <w:color w:val="000000"/>
          <w:kern w:val="0"/>
          <w:sz w:val="32"/>
          <w:szCs w:val="32"/>
          <w:lang w:eastAsia="zh-CN"/>
        </w:rPr>
        <w:t>：</w:t>
      </w:r>
      <w:r>
        <w:rPr>
          <w:rFonts w:hint="eastAsia" w:ascii="仿宋_GB2312" w:eastAsia="仿宋_GB2312"/>
          <w:sz w:val="28"/>
          <w:szCs w:val="28"/>
          <w:lang w:val="en-US" w:eastAsia="zh-CN"/>
        </w:rPr>
        <w:t>按照项目实施方案时间节点完成。</w:t>
      </w:r>
    </w:p>
    <w:p>
      <w:pPr>
        <w:spacing w:line="600" w:lineRule="exact"/>
        <w:ind w:left="105" w:leftChars="50" w:firstLine="480" w:firstLineChars="15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产出</w:t>
      </w:r>
      <w:r>
        <w:rPr>
          <w:rFonts w:ascii="仿宋_GB2312" w:hAnsi="宋体" w:eastAsia="仿宋_GB2312" w:cs="宋体"/>
          <w:color w:val="000000"/>
          <w:kern w:val="0"/>
          <w:sz w:val="32"/>
          <w:szCs w:val="32"/>
        </w:rPr>
        <w:t>成本</w:t>
      </w:r>
      <w:r>
        <w:rPr>
          <w:rFonts w:hint="eastAsia" w:ascii="仿宋_GB2312" w:hAnsi="宋体" w:eastAsia="仿宋_GB2312" w:cs="宋体"/>
          <w:color w:val="000000"/>
          <w:kern w:val="0"/>
          <w:sz w:val="32"/>
          <w:szCs w:val="32"/>
          <w:lang w:eastAsia="zh-CN"/>
        </w:rPr>
        <w:t>：</w:t>
      </w:r>
      <w:r>
        <w:rPr>
          <w:rFonts w:hint="eastAsia" w:ascii="仿宋_GB2312" w:eastAsia="仿宋_GB2312"/>
          <w:sz w:val="28"/>
          <w:szCs w:val="28"/>
          <w:highlight w:val="none"/>
          <w:lang w:val="en-US" w:eastAsia="zh-CN"/>
        </w:rPr>
        <w:t>项目支出按照预算资金安排和结合实际执行。</w:t>
      </w:r>
      <w:r>
        <w:rPr>
          <w:rFonts w:hint="eastAsia" w:ascii="仿宋_GB2312" w:hAnsi="宋体" w:eastAsia="仿宋_GB2312" w:cs="宋体"/>
          <w:color w:val="000000"/>
          <w:kern w:val="0"/>
          <w:sz w:val="32"/>
          <w:szCs w:val="32"/>
        </w:rPr>
        <w:t xml:space="preserve">                                    </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（二）效果</w:t>
      </w:r>
      <w:r>
        <w:rPr>
          <w:rFonts w:ascii="楷体_GB2312" w:eastAsia="楷体_GB2312"/>
          <w:sz w:val="32"/>
          <w:szCs w:val="32"/>
        </w:rPr>
        <w:t>实现情况分析</w:t>
      </w:r>
    </w:p>
    <w:p>
      <w:pPr>
        <w:spacing w:line="580" w:lineRule="exact"/>
        <w:ind w:left="105" w:leftChars="50" w:firstLine="480" w:firstLineChars="15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rPr>
        <w:t>1.经济</w:t>
      </w:r>
      <w:r>
        <w:rPr>
          <w:rFonts w:ascii="仿宋_GB2312" w:hAnsi="宋体" w:eastAsia="仿宋_GB2312" w:cs="宋体"/>
          <w:color w:val="000000"/>
          <w:kern w:val="0"/>
          <w:sz w:val="32"/>
          <w:szCs w:val="32"/>
        </w:rPr>
        <w:t>效益</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不断提升</w:t>
      </w:r>
      <w:r>
        <w:rPr>
          <w:rFonts w:hint="eastAsia" w:ascii="仿宋_GB2312" w:hAnsi="宋体" w:eastAsia="仿宋_GB2312" w:cs="宋体"/>
          <w:color w:val="000000"/>
          <w:kern w:val="0"/>
          <w:sz w:val="32"/>
          <w:szCs w:val="32"/>
          <w:lang w:val="en-US" w:eastAsia="zh-CN"/>
        </w:rPr>
        <w:t>统计调查</w:t>
      </w:r>
      <w:r>
        <w:rPr>
          <w:rFonts w:hint="eastAsia" w:ascii="仿宋_GB2312" w:hAnsi="宋体" w:eastAsia="仿宋_GB2312" w:cs="宋体"/>
          <w:color w:val="000000"/>
          <w:kern w:val="0"/>
          <w:sz w:val="32"/>
          <w:szCs w:val="32"/>
        </w:rPr>
        <w:t>质量，减少政府因不必要支出而造成损失</w:t>
      </w:r>
      <w:r>
        <w:rPr>
          <w:rFonts w:hint="eastAsia" w:ascii="仿宋_GB2312" w:hAnsi="宋体" w:eastAsia="仿宋_GB2312" w:cs="宋体"/>
          <w:color w:val="000000"/>
          <w:kern w:val="0"/>
          <w:sz w:val="32"/>
          <w:szCs w:val="32"/>
          <w:lang w:eastAsia="zh-CN"/>
        </w:rPr>
        <w:t>。</w:t>
      </w:r>
    </w:p>
    <w:p>
      <w:pPr>
        <w:spacing w:line="580" w:lineRule="exact"/>
        <w:ind w:left="105" w:leftChars="50" w:firstLine="480" w:firstLineChars="15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rPr>
        <w:t>2.社会效益</w:t>
      </w:r>
      <w:r>
        <w:rPr>
          <w:rFonts w:hint="eastAsia" w:ascii="仿宋_GB2312" w:hAnsi="宋体" w:eastAsia="仿宋_GB2312" w:cs="宋体"/>
          <w:color w:val="000000"/>
          <w:kern w:val="0"/>
          <w:sz w:val="32"/>
          <w:szCs w:val="32"/>
          <w:lang w:val="en-US" w:eastAsia="zh-CN"/>
        </w:rPr>
        <w:t>:充分发挥统计调查职能，根据调查数据撰写相关报告，为区委区政府决策提供依据。</w:t>
      </w:r>
    </w:p>
    <w:p>
      <w:p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3.环境效益</w:t>
      </w:r>
      <w:r>
        <w:rPr>
          <w:rFonts w:hint="eastAsia" w:ascii="仿宋_GB2312" w:hAnsi="宋体" w:eastAsia="仿宋_GB2312" w:cs="宋体"/>
          <w:color w:val="000000"/>
          <w:kern w:val="0"/>
          <w:sz w:val="32"/>
          <w:szCs w:val="32"/>
          <w:lang w:eastAsia="zh-CN"/>
        </w:rPr>
        <w:t>：通过统计调查，客观反应环境质量及变化趋势。</w:t>
      </w:r>
    </w:p>
    <w:p>
      <w:p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4.可持续</w:t>
      </w:r>
      <w:r>
        <w:rPr>
          <w:rFonts w:ascii="仿宋_GB2312" w:hAnsi="宋体" w:eastAsia="仿宋_GB2312" w:cs="宋体"/>
          <w:color w:val="000000"/>
          <w:kern w:val="0"/>
          <w:sz w:val="32"/>
          <w:szCs w:val="32"/>
        </w:rPr>
        <w:t>性影响</w:t>
      </w:r>
      <w:r>
        <w:rPr>
          <w:rFonts w:hint="eastAsia" w:ascii="仿宋_GB2312" w:hAnsi="宋体" w:eastAsia="仿宋_GB2312" w:cs="宋体"/>
          <w:color w:val="000000"/>
          <w:kern w:val="0"/>
          <w:sz w:val="32"/>
          <w:szCs w:val="32"/>
          <w:lang w:eastAsia="zh-CN"/>
        </w:rPr>
        <w:t>：根据调查结果进行决策，促进成果转化。</w:t>
      </w:r>
    </w:p>
    <w:p>
      <w:p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5.服务对象</w:t>
      </w:r>
      <w:r>
        <w:rPr>
          <w:rFonts w:ascii="仿宋_GB2312" w:hAnsi="宋体" w:eastAsia="仿宋_GB2312" w:cs="宋体"/>
          <w:color w:val="000000"/>
          <w:kern w:val="0"/>
          <w:sz w:val="32"/>
          <w:szCs w:val="32"/>
        </w:rPr>
        <w:t>满意度</w:t>
      </w:r>
      <w:r>
        <w:rPr>
          <w:rFonts w:hint="eastAsia" w:ascii="仿宋_GB2312" w:hAnsi="宋体" w:eastAsia="仿宋_GB2312" w:cs="宋体"/>
          <w:color w:val="000000"/>
          <w:kern w:val="0"/>
          <w:sz w:val="32"/>
          <w:szCs w:val="32"/>
          <w:lang w:eastAsia="zh-CN"/>
        </w:rPr>
        <w:t>：满意。</w:t>
      </w:r>
    </w:p>
    <w:p>
      <w:pPr>
        <w:spacing w:line="600" w:lineRule="exact"/>
        <w:ind w:left="105" w:leftChars="50" w:firstLine="480" w:firstLineChars="15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、预算管理</w:t>
      </w:r>
      <w:r>
        <w:rPr>
          <w:rFonts w:hint="eastAsia" w:ascii="黑体" w:hAnsi="黑体" w:eastAsia="黑体" w:cs="宋体"/>
          <w:color w:val="000000"/>
          <w:kern w:val="0"/>
          <w:sz w:val="32"/>
          <w:szCs w:val="32"/>
        </w:rPr>
        <w:t>情况分</w:t>
      </w:r>
      <w:r>
        <w:rPr>
          <w:rFonts w:ascii="黑体" w:hAnsi="黑体" w:eastAsia="黑体" w:cs="宋体"/>
          <w:color w:val="000000"/>
          <w:kern w:val="0"/>
          <w:sz w:val="32"/>
          <w:szCs w:val="32"/>
        </w:rPr>
        <w:t>析</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（一）财务管理</w:t>
      </w:r>
    </w:p>
    <w:p>
      <w:pPr>
        <w:spacing w:line="58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1.财务</w:t>
      </w:r>
      <w:r>
        <w:rPr>
          <w:rFonts w:ascii="仿宋_GB2312" w:hAnsi="宋体" w:eastAsia="仿宋_GB2312" w:cs="宋体"/>
          <w:color w:val="000000"/>
          <w:kern w:val="0"/>
          <w:sz w:val="32"/>
          <w:szCs w:val="32"/>
        </w:rPr>
        <w:t>管理制度健全性</w:t>
      </w:r>
      <w:r>
        <w:rPr>
          <w:rFonts w:hint="eastAsia" w:ascii="仿宋_GB2312" w:hAnsi="宋体" w:eastAsia="仿宋_GB2312" w:cs="宋体"/>
          <w:color w:val="000000"/>
          <w:kern w:val="0"/>
          <w:sz w:val="32"/>
          <w:szCs w:val="32"/>
          <w:lang w:eastAsia="zh-CN"/>
        </w:rPr>
        <w:t>：</w:t>
      </w:r>
      <w:r>
        <w:rPr>
          <w:rFonts w:hint="eastAsia" w:ascii="仿宋_GB2312" w:hAnsi="仿宋_GB2312" w:eastAsia="仿宋_GB2312" w:cs="仿宋_GB2312"/>
          <w:color w:val="000000"/>
          <w:kern w:val="0"/>
          <w:sz w:val="28"/>
          <w:szCs w:val="28"/>
          <w:lang w:val="en-US" w:eastAsia="zh-CN"/>
        </w:rPr>
        <w:t>按照《密云区统计局队财务管理办法》及《统计局队内部控制规范手册》等实施。</w:t>
      </w:r>
    </w:p>
    <w:p>
      <w:pPr>
        <w:spacing w:line="580" w:lineRule="exact"/>
        <w:ind w:firstLine="640" w:firstLineChars="200"/>
        <w:rPr>
          <w:rFonts w:hint="eastAsia" w:ascii="仿宋_GB2312" w:hAnsi="仿宋_GB2312" w:eastAsia="仿宋_GB2312" w:cs="仿宋_GB2312"/>
          <w:color w:val="000000"/>
          <w:kern w:val="0"/>
          <w:sz w:val="28"/>
          <w:szCs w:val="28"/>
        </w:rPr>
      </w:pPr>
      <w:r>
        <w:rPr>
          <w:rFonts w:hint="eastAsia" w:ascii="仿宋_GB2312" w:hAnsi="宋体" w:eastAsia="仿宋_GB2312" w:cs="宋体"/>
          <w:color w:val="000000"/>
          <w:kern w:val="0"/>
          <w:sz w:val="32"/>
          <w:szCs w:val="32"/>
        </w:rPr>
        <w:t>2.资金使用合规性</w:t>
      </w:r>
      <w:r>
        <w:rPr>
          <w:rFonts w:ascii="仿宋_GB2312" w:hAnsi="宋体" w:eastAsia="仿宋_GB2312" w:cs="宋体"/>
          <w:color w:val="000000"/>
          <w:kern w:val="0"/>
          <w:sz w:val="32"/>
          <w:szCs w:val="32"/>
        </w:rPr>
        <w:t>和安全性</w:t>
      </w:r>
      <w:r>
        <w:rPr>
          <w:rFonts w:hint="eastAsia" w:ascii="仿宋_GB2312" w:hAnsi="宋体" w:eastAsia="仿宋_GB2312" w:cs="宋体"/>
          <w:color w:val="000000"/>
          <w:kern w:val="0"/>
          <w:sz w:val="32"/>
          <w:szCs w:val="32"/>
          <w:lang w:eastAsia="zh-CN"/>
        </w:rPr>
        <w:t>：</w:t>
      </w:r>
      <w:r>
        <w:rPr>
          <w:rFonts w:hint="eastAsia" w:ascii="仿宋_GB2312" w:hAnsi="仿宋_GB2312" w:eastAsia="仿宋_GB2312" w:cs="仿宋_GB2312"/>
          <w:color w:val="000000"/>
          <w:kern w:val="0"/>
          <w:sz w:val="28"/>
          <w:szCs w:val="28"/>
          <w:lang w:val="en-US" w:eastAsia="zh-CN"/>
        </w:rPr>
        <w:t>按照《密云区统计局队财务管理办法》及《统计局队内部控制规范手册》等实施。</w:t>
      </w:r>
    </w:p>
    <w:p>
      <w:pPr>
        <w:spacing w:line="580" w:lineRule="exact"/>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会计</w:t>
      </w:r>
      <w:r>
        <w:rPr>
          <w:rFonts w:ascii="仿宋_GB2312" w:hAnsi="宋体" w:eastAsia="仿宋_GB2312" w:cs="宋体"/>
          <w:color w:val="000000"/>
          <w:kern w:val="0"/>
          <w:sz w:val="32"/>
          <w:szCs w:val="32"/>
        </w:rPr>
        <w:t>基础信息完善性</w:t>
      </w:r>
      <w:r>
        <w:rPr>
          <w:rFonts w:hint="eastAsia" w:ascii="仿宋_GB2312" w:hAnsi="宋体" w:eastAsia="仿宋_GB2312" w:cs="宋体"/>
          <w:color w:val="000000"/>
          <w:kern w:val="0"/>
          <w:sz w:val="32"/>
          <w:szCs w:val="32"/>
          <w:lang w:eastAsia="zh-CN"/>
        </w:rPr>
        <w:t>：</w:t>
      </w:r>
      <w:r>
        <w:rPr>
          <w:rFonts w:hint="eastAsia" w:ascii="仿宋_GB2312" w:hAnsi="仿宋_GB2312" w:eastAsia="仿宋_GB2312" w:cs="仿宋_GB2312"/>
          <w:color w:val="000000"/>
          <w:kern w:val="0"/>
          <w:sz w:val="28"/>
          <w:szCs w:val="28"/>
          <w:lang w:eastAsia="zh-CN"/>
        </w:rPr>
        <w:t>按照实际发生业务核算，数据真实完整。</w:t>
      </w:r>
    </w:p>
    <w:p>
      <w:pPr>
        <w:spacing w:line="58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（二）资产管理</w:t>
      </w:r>
    </w:p>
    <w:p>
      <w:pPr>
        <w:spacing w:line="580" w:lineRule="exact"/>
        <w:ind w:left="105" w:leftChars="50" w:firstLine="420" w:firstLineChars="150"/>
        <w:rPr>
          <w:rFonts w:hint="eastAsia" w:ascii="楷体_GB2312" w:eastAsia="楷体_GB2312"/>
          <w:sz w:val="32"/>
          <w:szCs w:val="32"/>
          <w:lang w:eastAsia="zh-CN"/>
        </w:rPr>
      </w:pPr>
      <w:r>
        <w:rPr>
          <w:rFonts w:hint="eastAsia" w:ascii="仿宋_GB2312" w:hAnsi="仿宋_GB2312" w:eastAsia="仿宋_GB2312" w:cs="仿宋_GB2312"/>
          <w:color w:val="000000"/>
          <w:kern w:val="0"/>
          <w:sz w:val="28"/>
          <w:szCs w:val="28"/>
          <w:lang w:val="en-US" w:eastAsia="zh-CN"/>
        </w:rPr>
        <w:t>按照《密云区统计局队财务管理办法》、《统计局队内部控制规范手册》和《密云区统计局队固定资产管理办法》实施。</w:t>
      </w:r>
    </w:p>
    <w:p>
      <w:pPr>
        <w:numPr>
          <w:ilvl w:val="0"/>
          <w:numId w:val="2"/>
        </w:numPr>
        <w:spacing w:line="600" w:lineRule="exact"/>
        <w:ind w:left="0" w:leftChars="0" w:firstLine="640" w:firstLineChars="200"/>
        <w:rPr>
          <w:rFonts w:ascii="楷体_GB2312" w:eastAsia="楷体_GB2312"/>
          <w:sz w:val="32"/>
          <w:szCs w:val="32"/>
        </w:rPr>
      </w:pPr>
      <w:r>
        <w:rPr>
          <w:rFonts w:hint="eastAsia" w:ascii="楷体_GB2312" w:eastAsia="楷体_GB2312"/>
          <w:sz w:val="32"/>
          <w:szCs w:val="32"/>
        </w:rPr>
        <w:t>绩效</w:t>
      </w:r>
      <w:r>
        <w:rPr>
          <w:rFonts w:ascii="楷体_GB2312" w:eastAsia="楷体_GB2312"/>
          <w:sz w:val="32"/>
          <w:szCs w:val="32"/>
        </w:rPr>
        <w:t>管理</w:t>
      </w:r>
    </w:p>
    <w:p>
      <w:pPr>
        <w:spacing w:line="580" w:lineRule="exact"/>
        <w:ind w:firstLine="560" w:firstLineChars="200"/>
      </w:pPr>
      <w:r>
        <w:rPr>
          <w:rFonts w:hint="eastAsia" w:ascii="仿宋_GB2312" w:hAnsi="仿宋_GB2312" w:eastAsia="仿宋_GB2312" w:cs="仿宋_GB2312"/>
          <w:sz w:val="28"/>
          <w:szCs w:val="28"/>
        </w:rPr>
        <w:t>根据</w:t>
      </w:r>
      <w:r>
        <w:rPr>
          <w:rFonts w:hint="eastAsia" w:ascii="仿宋_GB2312" w:hAnsi="仿宋_GB2312" w:eastAsia="仿宋_GB2312" w:cs="仿宋_GB2312"/>
          <w:sz w:val="28"/>
          <w:szCs w:val="28"/>
          <w:lang w:eastAsia="zh-CN"/>
        </w:rPr>
        <w:t>财政</w:t>
      </w:r>
      <w:r>
        <w:rPr>
          <w:rFonts w:hint="eastAsia" w:ascii="仿宋_GB2312" w:hAnsi="仿宋_GB2312" w:eastAsia="仿宋_GB2312" w:cs="仿宋_GB2312"/>
          <w:sz w:val="28"/>
          <w:szCs w:val="28"/>
        </w:rPr>
        <w:t>绩效</w:t>
      </w:r>
      <w:r>
        <w:rPr>
          <w:rFonts w:hint="eastAsia" w:ascii="仿宋_GB2312" w:hAnsi="仿宋_GB2312" w:eastAsia="仿宋_GB2312" w:cs="仿宋_GB2312"/>
          <w:sz w:val="28"/>
          <w:szCs w:val="28"/>
          <w:lang w:eastAsia="zh-CN"/>
        </w:rPr>
        <w:t>管理</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eastAsia="zh-CN"/>
        </w:rPr>
        <w:t>通知</w:t>
      </w:r>
      <w:r>
        <w:rPr>
          <w:rFonts w:hint="eastAsia" w:ascii="仿宋_GB2312" w:hAnsi="仿宋_GB2312" w:eastAsia="仿宋_GB2312" w:cs="仿宋_GB2312"/>
          <w:sz w:val="28"/>
          <w:szCs w:val="28"/>
        </w:rPr>
        <w:t>要求，对照各实施项目的内容</w:t>
      </w:r>
      <w:r>
        <w:rPr>
          <w:rFonts w:hint="eastAsia" w:ascii="仿宋_GB2312" w:hAnsi="仿宋_GB2312" w:eastAsia="仿宋_GB2312" w:cs="仿宋_GB2312"/>
          <w:sz w:val="28"/>
          <w:szCs w:val="28"/>
          <w:lang w:eastAsia="zh-CN"/>
        </w:rPr>
        <w:t>评价管理</w:t>
      </w:r>
      <w:r>
        <w:rPr>
          <w:rFonts w:hint="eastAsia" w:ascii="仿宋_GB2312" w:hAnsi="仿宋_GB2312" w:eastAsia="仿宋_GB2312" w:cs="仿宋_GB2312"/>
          <w:sz w:val="28"/>
          <w:szCs w:val="28"/>
        </w:rPr>
        <w:t>。在</w:t>
      </w:r>
      <w:r>
        <w:rPr>
          <w:rFonts w:hint="eastAsia" w:ascii="仿宋_GB2312" w:hAnsi="仿宋_GB2312" w:eastAsia="仿宋_GB2312" w:cs="仿宋_GB2312"/>
          <w:sz w:val="28"/>
          <w:szCs w:val="28"/>
          <w:lang w:eastAsia="zh-CN"/>
        </w:rPr>
        <w:t>评价</w:t>
      </w:r>
      <w:r>
        <w:rPr>
          <w:rFonts w:hint="eastAsia" w:ascii="仿宋_GB2312" w:hAnsi="仿宋_GB2312" w:eastAsia="仿宋_GB2312" w:cs="仿宋_GB2312"/>
          <w:sz w:val="28"/>
          <w:szCs w:val="28"/>
        </w:rPr>
        <w:t>过程</w:t>
      </w:r>
      <w:r>
        <w:rPr>
          <w:rFonts w:hint="eastAsia" w:ascii="仿宋_GB2312" w:hAnsi="仿宋_GB2312" w:eastAsia="仿宋_GB2312" w:cs="仿宋_GB2312"/>
          <w:sz w:val="28"/>
          <w:szCs w:val="28"/>
          <w:lang w:eastAsia="zh-CN"/>
        </w:rPr>
        <w:t>中</w:t>
      </w:r>
      <w:r>
        <w:rPr>
          <w:rFonts w:hint="eastAsia" w:ascii="仿宋_GB2312" w:hAnsi="仿宋_GB2312" w:eastAsia="仿宋_GB2312" w:cs="仿宋_GB2312"/>
          <w:sz w:val="28"/>
          <w:szCs w:val="28"/>
        </w:rPr>
        <w:t>发现问题，查找原因，及时纠正偏差，为下一步工作夯实基础。</w:t>
      </w:r>
    </w:p>
    <w:p>
      <w:pPr>
        <w:numPr>
          <w:ilvl w:val="0"/>
          <w:numId w:val="2"/>
        </w:numPr>
        <w:spacing w:line="600" w:lineRule="exact"/>
        <w:ind w:left="0" w:leftChars="0" w:firstLine="640" w:firstLineChars="200"/>
        <w:rPr>
          <w:rFonts w:hint="eastAsia" w:ascii="楷体_GB2312" w:eastAsia="楷体_GB2312"/>
          <w:sz w:val="32"/>
          <w:szCs w:val="32"/>
        </w:rPr>
      </w:pPr>
      <w:r>
        <w:rPr>
          <w:rFonts w:hint="eastAsia" w:ascii="楷体_GB2312" w:eastAsia="楷体_GB2312"/>
          <w:sz w:val="32"/>
          <w:szCs w:val="32"/>
        </w:rPr>
        <w:t>结转结余率</w:t>
      </w:r>
    </w:p>
    <w:p>
      <w:pPr>
        <w:spacing w:line="580" w:lineRule="exact"/>
        <w:ind w:firstLine="560" w:firstLineChars="200"/>
      </w:pPr>
      <w:r>
        <w:rPr>
          <w:rFonts w:hint="eastAsia" w:ascii="仿宋_GB2312" w:hAnsi="仿宋_GB2312" w:eastAsia="仿宋_GB2312" w:cs="仿宋_GB2312"/>
          <w:sz w:val="28"/>
          <w:szCs w:val="28"/>
          <w:lang w:eastAsia="zh-CN"/>
        </w:rPr>
        <w:t>截至</w:t>
      </w:r>
      <w:r>
        <w:rPr>
          <w:rFonts w:hint="eastAsia" w:ascii="仿宋_GB2312" w:hAnsi="仿宋_GB2312" w:eastAsia="仿宋_GB2312" w:cs="仿宋_GB2312"/>
          <w:sz w:val="28"/>
          <w:szCs w:val="28"/>
          <w:lang w:val="en-US" w:eastAsia="zh-CN"/>
        </w:rPr>
        <w:t>2023年12月31日，财政拨款结转0.00万元。</w:t>
      </w:r>
    </w:p>
    <w:p>
      <w:pPr>
        <w:numPr>
          <w:ilvl w:val="0"/>
          <w:numId w:val="2"/>
        </w:numPr>
        <w:spacing w:line="600" w:lineRule="exact"/>
        <w:ind w:left="0" w:leftChars="0" w:firstLine="640" w:firstLineChars="200"/>
        <w:rPr>
          <w:rFonts w:ascii="楷体_GB2312" w:eastAsia="楷体_GB2312"/>
          <w:sz w:val="32"/>
          <w:szCs w:val="32"/>
        </w:rPr>
      </w:pPr>
      <w:r>
        <w:rPr>
          <w:rFonts w:hint="eastAsia" w:ascii="楷体_GB2312" w:eastAsia="楷体_GB2312"/>
          <w:sz w:val="32"/>
          <w:szCs w:val="32"/>
        </w:rPr>
        <w:t>部门</w:t>
      </w:r>
      <w:r>
        <w:rPr>
          <w:rFonts w:ascii="楷体_GB2312" w:eastAsia="楷体_GB2312"/>
          <w:sz w:val="32"/>
          <w:szCs w:val="32"/>
        </w:rPr>
        <w:t>预决算差异率</w:t>
      </w:r>
    </w:p>
    <w:p>
      <w:pPr>
        <w:spacing w:line="580" w:lineRule="exact"/>
        <w:ind w:firstLine="560" w:firstLineChars="200"/>
      </w:pPr>
      <w:r>
        <w:rPr>
          <w:rFonts w:hint="eastAsia" w:ascii="仿宋_GB2312" w:hAnsi="仿宋_GB2312" w:eastAsia="仿宋_GB2312" w:cs="仿宋_GB2312"/>
          <w:sz w:val="28"/>
          <w:szCs w:val="28"/>
          <w:lang w:val="en-US" w:eastAsia="zh-CN"/>
        </w:rPr>
        <w:t>2023年本年收入2024.70万元，比2023年年初预算1724.77万元增加299.93万元；2023年支出2053.10万元，比2023年初预算1724.77万元增加328.33万元。</w:t>
      </w:r>
    </w:p>
    <w:p>
      <w:pPr>
        <w:spacing w:line="600" w:lineRule="exact"/>
        <w:ind w:left="105" w:leftChars="50" w:firstLine="480" w:firstLineChars="150"/>
        <w:rPr>
          <w:rFonts w:ascii="黑体" w:hAnsi="黑体" w:eastAsia="黑体"/>
          <w:sz w:val="32"/>
          <w:szCs w:val="32"/>
        </w:rPr>
      </w:pPr>
      <w:r>
        <w:rPr>
          <w:rFonts w:hint="eastAsia" w:ascii="黑体" w:hAnsi="黑体" w:eastAsia="黑体"/>
          <w:sz w:val="32"/>
          <w:szCs w:val="32"/>
        </w:rPr>
        <w:t>五、总体</w:t>
      </w:r>
      <w:r>
        <w:rPr>
          <w:rFonts w:ascii="黑体" w:hAnsi="黑体" w:eastAsia="黑体"/>
          <w:sz w:val="32"/>
          <w:szCs w:val="32"/>
        </w:rPr>
        <w:t>评价结论</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（一）评价</w:t>
      </w:r>
      <w:r>
        <w:rPr>
          <w:rFonts w:ascii="楷体_GB2312" w:eastAsia="楷体_GB2312"/>
          <w:sz w:val="32"/>
          <w:szCs w:val="32"/>
        </w:rPr>
        <w:t>得分</w:t>
      </w:r>
      <w:r>
        <w:rPr>
          <w:rFonts w:hint="eastAsia" w:ascii="楷体_GB2312" w:eastAsia="楷体_GB2312"/>
          <w:sz w:val="32"/>
          <w:szCs w:val="32"/>
        </w:rPr>
        <w:t>情况</w:t>
      </w:r>
    </w:p>
    <w:p>
      <w:pPr>
        <w:pStyle w:val="3"/>
        <w:keepNext w:val="0"/>
        <w:keepLines w:val="0"/>
        <w:pageBreakBefore w:val="0"/>
        <w:widowControl w:val="0"/>
        <w:kinsoku/>
        <w:wordWrap/>
        <w:overflowPunct/>
        <w:topLinePunct w:val="0"/>
        <w:autoSpaceDE/>
        <w:autoSpaceDN/>
        <w:bidi w:val="0"/>
        <w:adjustRightInd/>
        <w:snapToGrid/>
        <w:ind w:left="108" w:firstLine="560" w:firstLineChars="200"/>
        <w:textAlignment w:val="auto"/>
        <w:outlineLvl w:val="9"/>
        <w:rPr>
          <w:rFonts w:hint="eastAsia"/>
        </w:rPr>
      </w:pPr>
      <w:r>
        <w:rPr>
          <w:rFonts w:hint="eastAsia" w:ascii="仿宋_GB2312" w:hAnsi="仿宋_GB2312" w:eastAsia="仿宋_GB2312" w:cs="仿宋_GB2312"/>
          <w:sz w:val="28"/>
          <w:szCs w:val="28"/>
          <w:lang w:val="en-US" w:eastAsia="zh-CN"/>
        </w:rPr>
        <w:t>区统计局202</w:t>
      </w:r>
      <w:r>
        <w:rPr>
          <w:rFonts w:hint="eastAsia" w:cs="仿宋_GB2312"/>
          <w:sz w:val="28"/>
          <w:szCs w:val="28"/>
          <w:lang w:val="en-US" w:eastAsia="zh-CN"/>
        </w:rPr>
        <w:t>3</w:t>
      </w:r>
      <w:r>
        <w:rPr>
          <w:rFonts w:hint="eastAsia" w:ascii="仿宋_GB2312" w:hAnsi="仿宋_GB2312" w:eastAsia="仿宋_GB2312" w:cs="仿宋_GB2312"/>
          <w:sz w:val="28"/>
          <w:szCs w:val="28"/>
          <w:lang w:val="en-US" w:eastAsia="zh-CN"/>
        </w:rPr>
        <w:t>年度部门整体支出绩效自评得分为优。</w:t>
      </w:r>
    </w:p>
    <w:p>
      <w:pPr>
        <w:numPr>
          <w:ilvl w:val="0"/>
          <w:numId w:val="4"/>
        </w:num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存在的问题及原因分析</w:t>
      </w:r>
    </w:p>
    <w:p>
      <w:pPr>
        <w:pStyle w:val="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rPr>
      </w:pPr>
      <w:r>
        <w:rPr>
          <w:rFonts w:hint="eastAsia" w:hAnsi="Calibri" w:cs="Times New Roman"/>
          <w:kern w:val="2"/>
          <w:sz w:val="28"/>
          <w:szCs w:val="28"/>
          <w:highlight w:val="none"/>
          <w:lang w:val="en-US" w:eastAsia="zh-CN" w:bidi="ar-SA"/>
        </w:rPr>
        <w:t>通过开展绩效自评工作，更加深刻的体会到</w:t>
      </w:r>
      <w:r>
        <w:rPr>
          <w:rFonts w:hint="eastAsia" w:ascii="仿宋_GB2312" w:hAnsi="Calibri" w:eastAsia="仿宋_GB2312" w:cs="Times New Roman"/>
          <w:kern w:val="2"/>
          <w:sz w:val="28"/>
          <w:szCs w:val="28"/>
          <w:highlight w:val="none"/>
          <w:lang w:val="en-US" w:eastAsia="zh-CN" w:bidi="ar-SA"/>
        </w:rPr>
        <w:t>绩效指标的编制</w:t>
      </w:r>
      <w:r>
        <w:rPr>
          <w:rFonts w:hint="eastAsia" w:hAnsi="Calibri" w:cs="Times New Roman"/>
          <w:kern w:val="2"/>
          <w:sz w:val="28"/>
          <w:szCs w:val="28"/>
          <w:highlight w:val="none"/>
          <w:lang w:val="en-US" w:eastAsia="zh-CN" w:bidi="ar-SA"/>
        </w:rPr>
        <w:t>要更加</w:t>
      </w:r>
      <w:r>
        <w:rPr>
          <w:rFonts w:hint="eastAsia" w:ascii="仿宋_GB2312" w:hAnsi="Calibri" w:eastAsia="仿宋_GB2312" w:cs="Times New Roman"/>
          <w:kern w:val="2"/>
          <w:sz w:val="28"/>
          <w:szCs w:val="28"/>
          <w:highlight w:val="none"/>
          <w:lang w:val="en-US" w:eastAsia="zh-CN" w:bidi="ar-SA"/>
        </w:rPr>
        <w:t>精细</w:t>
      </w:r>
      <w:r>
        <w:rPr>
          <w:rFonts w:hint="eastAsia" w:hAnsi="Calibri" w:cs="Times New Roman"/>
          <w:kern w:val="2"/>
          <w:sz w:val="28"/>
          <w:szCs w:val="28"/>
          <w:highlight w:val="none"/>
          <w:lang w:val="en-US" w:eastAsia="zh-CN" w:bidi="ar-SA"/>
        </w:rPr>
        <w:t>、</w:t>
      </w:r>
      <w:r>
        <w:rPr>
          <w:rFonts w:hint="eastAsia" w:ascii="仿宋_GB2312" w:hAnsi="Calibri" w:eastAsia="仿宋_GB2312" w:cs="Times New Roman"/>
          <w:kern w:val="2"/>
          <w:sz w:val="28"/>
          <w:szCs w:val="28"/>
          <w:highlight w:val="none"/>
          <w:lang w:val="en-US" w:eastAsia="zh-CN" w:bidi="ar-SA"/>
        </w:rPr>
        <w:t>量化；数量指标要与项目支出内容和工作任务挂钩</w:t>
      </w:r>
      <w:r>
        <w:rPr>
          <w:rFonts w:hint="eastAsia" w:hAnsi="Calibri" w:cs="Times New Roman"/>
          <w:kern w:val="2"/>
          <w:sz w:val="28"/>
          <w:szCs w:val="28"/>
          <w:highlight w:val="none"/>
          <w:lang w:val="en-US" w:eastAsia="zh-CN" w:bidi="ar-SA"/>
        </w:rPr>
        <w:t>；</w:t>
      </w:r>
      <w:r>
        <w:rPr>
          <w:rFonts w:hint="eastAsia" w:ascii="仿宋_GB2312" w:hAnsi="Calibri" w:eastAsia="仿宋_GB2312" w:cs="Times New Roman"/>
          <w:kern w:val="2"/>
          <w:sz w:val="28"/>
          <w:szCs w:val="28"/>
          <w:highlight w:val="none"/>
          <w:lang w:val="en-US" w:eastAsia="zh-CN" w:bidi="ar-SA"/>
        </w:rPr>
        <w:t>质量指标要通过数据进行量化。</w:t>
      </w:r>
      <w:r>
        <w:rPr>
          <w:rFonts w:hint="eastAsia" w:hAnsi="Calibri" w:cs="Times New Roman"/>
          <w:kern w:val="2"/>
          <w:sz w:val="28"/>
          <w:szCs w:val="28"/>
          <w:highlight w:val="none"/>
          <w:lang w:val="en-US" w:eastAsia="zh-CN" w:bidi="ar-SA"/>
        </w:rPr>
        <w:t>要进一步</w:t>
      </w:r>
      <w:r>
        <w:rPr>
          <w:rFonts w:hint="eastAsia" w:ascii="仿宋_GB2312" w:hAnsi="仿宋_GB2312" w:eastAsia="仿宋_GB2312" w:cs="仿宋_GB2312"/>
          <w:sz w:val="28"/>
          <w:szCs w:val="28"/>
          <w:highlight w:val="none"/>
          <w:lang w:eastAsia="zh-CN"/>
        </w:rPr>
        <w:t>细化预算编制工作，提高部门预算资金绩效管理的责任主体意识，加强对自评结果审核和应用。</w:t>
      </w:r>
    </w:p>
    <w:p>
      <w:pPr>
        <w:spacing w:line="600" w:lineRule="exact"/>
        <w:ind w:firstLine="640" w:firstLineChars="200"/>
        <w:rPr>
          <w:rFonts w:hint="eastAsia" w:ascii="仿宋_GB2312" w:hAnsi="宋体" w:eastAsia="仿宋_GB2312" w:cs="宋体"/>
          <w:color w:val="000000"/>
          <w:kern w:val="0"/>
          <w:sz w:val="32"/>
          <w:szCs w:val="32"/>
        </w:rPr>
      </w:pPr>
      <w:r>
        <w:rPr>
          <w:rFonts w:hint="eastAsia" w:ascii="黑体" w:hAnsi="黑体" w:eastAsia="黑体" w:cs="宋体"/>
          <w:color w:val="000000"/>
          <w:kern w:val="0"/>
          <w:sz w:val="32"/>
          <w:szCs w:val="32"/>
        </w:rPr>
        <w:t>六、措施建议</w:t>
      </w:r>
      <w:r>
        <w:rPr>
          <w:rFonts w:hint="eastAsia" w:ascii="仿宋_GB2312" w:hAnsi="宋体" w:eastAsia="仿宋_GB2312" w:cs="宋体"/>
          <w:color w:val="000000"/>
          <w:kern w:val="0"/>
          <w:sz w:val="32"/>
          <w:szCs w:val="32"/>
        </w:rPr>
        <w:t>（整改措施、下一步工作举措）</w:t>
      </w:r>
    </w:p>
    <w:p>
      <w:pPr>
        <w:pStyle w:val="3"/>
        <w:keepNext w:val="0"/>
        <w:keepLines w:val="0"/>
        <w:pageBreakBefore w:val="0"/>
        <w:widowControl w:val="0"/>
        <w:kinsoku/>
        <w:wordWrap/>
        <w:overflowPunct/>
        <w:topLinePunct w:val="0"/>
        <w:autoSpaceDE/>
        <w:autoSpaceDN/>
        <w:bidi w:val="0"/>
        <w:adjustRightInd/>
        <w:snapToGrid/>
        <w:ind w:left="108" w:firstLine="560" w:firstLineChars="200"/>
        <w:textAlignment w:val="auto"/>
        <w:outlineLvl w:val="9"/>
        <w:rPr>
          <w:rFonts w:hint="eastAsia" w:ascii="仿宋_GB2312" w:hAnsi="仿宋_GB2312" w:eastAsia="仿宋_GB2312" w:cs="仿宋_GB2312"/>
          <w:sz w:val="32"/>
          <w:szCs w:val="32"/>
        </w:rPr>
      </w:pPr>
      <w:r>
        <w:rPr>
          <w:rFonts w:hint="eastAsia" w:cs="Times New Roman"/>
          <w:sz w:val="28"/>
          <w:szCs w:val="28"/>
          <w:lang w:val="en-US" w:eastAsia="zh-CN"/>
        </w:rPr>
        <w:t>下一步我单位将继续做好绩效自评工作，自评中发现的问题要及时进行整改，合理编制预算绩效目标，</w:t>
      </w:r>
      <w:r>
        <w:rPr>
          <w:rFonts w:hint="eastAsia" w:ascii="仿宋_GB2312" w:hAnsi="仿宋_GB2312" w:eastAsia="仿宋_GB2312" w:cs="仿宋_GB2312"/>
          <w:b w:val="0"/>
          <w:kern w:val="2"/>
          <w:sz w:val="28"/>
          <w:szCs w:val="28"/>
          <w:highlight w:val="none"/>
          <w:lang w:val="en-US" w:eastAsia="zh-CN" w:bidi="ar-SA"/>
        </w:rPr>
        <w:t>严格按照预算编制的相关制度和要求，本着</w:t>
      </w:r>
      <w:r>
        <w:rPr>
          <w:rFonts w:hint="default" w:ascii="仿宋_GB2312" w:hAnsi="仿宋_GB2312" w:eastAsia="仿宋_GB2312" w:cs="仿宋_GB2312"/>
          <w:b w:val="0"/>
          <w:kern w:val="2"/>
          <w:sz w:val="28"/>
          <w:szCs w:val="28"/>
          <w:highlight w:val="none"/>
          <w:lang w:val="en-US" w:eastAsia="zh-CN" w:bidi="ar-SA"/>
        </w:rPr>
        <w:t>“</w:t>
      </w:r>
      <w:r>
        <w:rPr>
          <w:rFonts w:hint="eastAsia" w:ascii="仿宋_GB2312" w:hAnsi="仿宋_GB2312" w:eastAsia="仿宋_GB2312" w:cs="仿宋_GB2312"/>
          <w:b w:val="0"/>
          <w:kern w:val="2"/>
          <w:sz w:val="28"/>
          <w:szCs w:val="28"/>
          <w:highlight w:val="none"/>
          <w:lang w:val="en-US" w:eastAsia="zh-CN" w:bidi="ar-SA"/>
        </w:rPr>
        <w:t>勤俭节约、保障运转</w:t>
      </w:r>
      <w:r>
        <w:rPr>
          <w:rFonts w:hint="default" w:ascii="仿宋_GB2312" w:hAnsi="仿宋_GB2312" w:eastAsia="仿宋_GB2312" w:cs="仿宋_GB2312"/>
          <w:b w:val="0"/>
          <w:kern w:val="2"/>
          <w:sz w:val="28"/>
          <w:szCs w:val="28"/>
          <w:highlight w:val="none"/>
          <w:lang w:val="en-US" w:eastAsia="zh-CN" w:bidi="ar-SA"/>
        </w:rPr>
        <w:t>”</w:t>
      </w:r>
      <w:r>
        <w:rPr>
          <w:rFonts w:hint="eastAsia" w:ascii="仿宋_GB2312" w:hAnsi="仿宋_GB2312" w:eastAsia="仿宋_GB2312" w:cs="仿宋_GB2312"/>
          <w:b w:val="0"/>
          <w:kern w:val="2"/>
          <w:sz w:val="28"/>
          <w:szCs w:val="28"/>
          <w:highlight w:val="none"/>
          <w:lang w:val="en-US" w:eastAsia="zh-CN" w:bidi="ar-SA"/>
        </w:rPr>
        <w:t>的原则进行预算的编制。</w:t>
      </w:r>
      <w:r>
        <w:rPr>
          <w:rFonts w:hint="eastAsia" w:cs="Times New Roman"/>
          <w:sz w:val="28"/>
          <w:szCs w:val="28"/>
          <w:lang w:val="en-US" w:eastAsia="zh-CN"/>
        </w:rPr>
        <w:t>进一步加强支出责任和效率意识，</w:t>
      </w:r>
      <w:r>
        <w:rPr>
          <w:rFonts w:hint="eastAsia" w:ascii="仿宋_GB2312" w:hAnsi="仿宋_GB2312" w:eastAsia="仿宋_GB2312" w:cs="仿宋_GB2312"/>
          <w:b w:val="0"/>
          <w:kern w:val="2"/>
          <w:sz w:val="28"/>
          <w:szCs w:val="28"/>
          <w:highlight w:val="none"/>
          <w:lang w:val="en-US" w:eastAsia="zh-CN" w:bidi="ar-SA"/>
        </w:rPr>
        <w:t>深化全成本预算绩效管理，</w:t>
      </w:r>
      <w:r>
        <w:rPr>
          <w:rFonts w:hint="eastAsia" w:cs="Times New Roman"/>
          <w:sz w:val="28"/>
          <w:szCs w:val="28"/>
          <w:lang w:val="en-US" w:eastAsia="zh-CN"/>
        </w:rPr>
        <w:t>提高财政资金使用效益，为区委区政府决策提供数据支撑，做好统计服务工作。</w:t>
      </w:r>
    </w:p>
    <w:p>
      <w:pPr>
        <w:pStyle w:val="2"/>
        <w:ind w:firstLine="420"/>
        <w:rPr>
          <w:rFonts w:hint="eastAsia"/>
        </w:rPr>
      </w:pPr>
    </w:p>
    <w:p>
      <w:pPr>
        <w:pStyle w:val="2"/>
        <w:ind w:firstLine="0" w:firstLineChars="0"/>
        <w:rPr>
          <w:rFonts w:hint="eastAsia" w:ascii="黑体" w:eastAsia="黑体"/>
          <w:sz w:val="32"/>
          <w:szCs w:val="32"/>
        </w:rPr>
      </w:pPr>
    </w:p>
    <w:tbl>
      <w:tblPr>
        <w:tblStyle w:val="16"/>
        <w:tblW w:w="14786" w:type="dxa"/>
        <w:tblInd w:w="0" w:type="dxa"/>
        <w:tblLayout w:type="fixed"/>
        <w:tblCellMar>
          <w:top w:w="0" w:type="dxa"/>
          <w:left w:w="108" w:type="dxa"/>
          <w:bottom w:w="0" w:type="dxa"/>
          <w:right w:w="108" w:type="dxa"/>
        </w:tblCellMar>
      </w:tblPr>
      <w:tblGrid>
        <w:gridCol w:w="1041"/>
        <w:gridCol w:w="1079"/>
        <w:gridCol w:w="2003"/>
        <w:gridCol w:w="1335"/>
        <w:gridCol w:w="840"/>
        <w:gridCol w:w="675"/>
        <w:gridCol w:w="600"/>
        <w:gridCol w:w="2717"/>
        <w:gridCol w:w="4496"/>
      </w:tblGrid>
      <w:tr>
        <w:tblPrEx>
          <w:tblLayout w:type="fixed"/>
          <w:tblCellMar>
            <w:top w:w="0" w:type="dxa"/>
            <w:left w:w="108" w:type="dxa"/>
            <w:bottom w:w="0" w:type="dxa"/>
            <w:right w:w="108" w:type="dxa"/>
          </w:tblCellMar>
        </w:tblPrEx>
        <w:trPr>
          <w:trHeight w:val="499" w:hRule="atLeast"/>
        </w:trPr>
        <w:tc>
          <w:tcPr>
            <w:tcW w:w="14786" w:type="dxa"/>
            <w:gridSpan w:val="9"/>
            <w:tcBorders>
              <w:top w:val="nil"/>
              <w:left w:val="nil"/>
              <w:bottom w:val="single" w:color="auto" w:sz="4" w:space="0"/>
              <w:right w:val="nil"/>
            </w:tcBorders>
            <w:vAlign w:val="bottom"/>
          </w:tcPr>
          <w:p>
            <w:pPr>
              <w:widowControl/>
              <w:jc w:val="center"/>
              <w:rPr>
                <w:rFonts w:hint="eastAsia" w:ascii="方正小标宋简体" w:hAnsi="黑体" w:eastAsia="方正小标宋简体" w:cs="宋体"/>
                <w:color w:val="000000"/>
                <w:kern w:val="0"/>
                <w:sz w:val="44"/>
                <w:szCs w:val="44"/>
              </w:rPr>
            </w:pPr>
            <w:r>
              <w:rPr>
                <w:rFonts w:hint="eastAsia" w:ascii="方正小标宋简体" w:hAnsi="黑体" w:eastAsia="方正小标宋简体" w:cs="宋体"/>
                <w:color w:val="000000"/>
                <w:kern w:val="0"/>
                <w:sz w:val="44"/>
                <w:szCs w:val="44"/>
              </w:rPr>
              <w:t>202</w:t>
            </w:r>
            <w:r>
              <w:rPr>
                <w:rFonts w:hint="eastAsia" w:ascii="方正小标宋简体" w:hAnsi="黑体" w:eastAsia="方正小标宋简体" w:cs="宋体"/>
                <w:color w:val="000000"/>
                <w:kern w:val="0"/>
                <w:sz w:val="44"/>
                <w:szCs w:val="44"/>
                <w:lang w:val="en-US" w:eastAsia="zh-CN"/>
              </w:rPr>
              <w:t>3</w:t>
            </w:r>
            <w:r>
              <w:rPr>
                <w:rFonts w:hint="eastAsia" w:ascii="方正小标宋简体" w:hAnsi="黑体" w:eastAsia="方正小标宋简体" w:cs="宋体"/>
                <w:color w:val="000000"/>
                <w:kern w:val="0"/>
                <w:sz w:val="44"/>
                <w:szCs w:val="44"/>
              </w:rPr>
              <w:t>年部门整体绩效评价指标体系评分表</w:t>
            </w:r>
          </w:p>
        </w:tc>
      </w:tr>
      <w:tr>
        <w:tblPrEx>
          <w:tblLayout w:type="fixed"/>
          <w:tblCellMar>
            <w:top w:w="0" w:type="dxa"/>
            <w:left w:w="108" w:type="dxa"/>
            <w:bottom w:w="0" w:type="dxa"/>
            <w:right w:w="108" w:type="dxa"/>
          </w:tblCellMar>
        </w:tblPrEx>
        <w:trPr>
          <w:trHeight w:val="470" w:hRule="atLeast"/>
        </w:trPr>
        <w:tc>
          <w:tcPr>
            <w:tcW w:w="14786" w:type="dxa"/>
            <w:gridSpan w:val="9"/>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一、</w:t>
            </w:r>
            <w:r>
              <w:rPr>
                <w:rFonts w:hint="eastAsia" w:ascii="宋体" w:hAnsi="宋体" w:cs="宋体"/>
                <w:color w:val="000000"/>
                <w:kern w:val="0"/>
                <w:sz w:val="20"/>
                <w:szCs w:val="20"/>
              </w:rPr>
              <w:t>当年预算执行情况（20分）</w:t>
            </w:r>
          </w:p>
        </w:tc>
      </w:tr>
      <w:tr>
        <w:tblPrEx>
          <w:tblLayout w:type="fixed"/>
          <w:tblCellMar>
            <w:top w:w="0" w:type="dxa"/>
            <w:left w:w="108" w:type="dxa"/>
            <w:bottom w:w="0" w:type="dxa"/>
            <w:right w:w="108" w:type="dxa"/>
          </w:tblCellMar>
        </w:tblPrEx>
        <w:trPr>
          <w:trHeight w:val="660" w:hRule="atLeast"/>
        </w:trPr>
        <w:tc>
          <w:tcPr>
            <w:tcW w:w="10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20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预算数（万元）</w:t>
            </w:r>
          </w:p>
        </w:tc>
        <w:tc>
          <w:tcPr>
            <w:tcW w:w="13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执行数（万元）</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预算执行率</w:t>
            </w: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27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指标解释</w:t>
            </w:r>
          </w:p>
        </w:tc>
        <w:tc>
          <w:tcPr>
            <w:tcW w:w="449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评分标准</w:t>
            </w:r>
          </w:p>
        </w:tc>
      </w:tr>
      <w:tr>
        <w:tblPrEx>
          <w:tblLayout w:type="fixed"/>
          <w:tblCellMar>
            <w:top w:w="0" w:type="dxa"/>
            <w:left w:w="108" w:type="dxa"/>
            <w:bottom w:w="0" w:type="dxa"/>
            <w:right w:w="108" w:type="dxa"/>
          </w:tblCellMar>
        </w:tblPrEx>
        <w:trPr>
          <w:trHeight w:val="630" w:hRule="atLeast"/>
        </w:trPr>
        <w:tc>
          <w:tcPr>
            <w:tcW w:w="1041"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当年预算执行情况（20）</w:t>
            </w: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资金总体</w:t>
            </w:r>
          </w:p>
        </w:tc>
        <w:tc>
          <w:tcPr>
            <w:tcW w:w="20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1727.77</w:t>
            </w:r>
            <w:r>
              <w:rPr>
                <w:rFonts w:hint="eastAsia" w:ascii="宋体" w:hAnsi="宋体" w:cs="宋体"/>
                <w:color w:val="000000"/>
                <w:kern w:val="0"/>
                <w:sz w:val="20"/>
                <w:szCs w:val="20"/>
              </w:rPr>
              <w:t>　</w:t>
            </w:r>
          </w:p>
        </w:tc>
        <w:tc>
          <w:tcPr>
            <w:tcW w:w="13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2053.10</w:t>
            </w:r>
            <w:r>
              <w:rPr>
                <w:rFonts w:hint="eastAsia" w:ascii="宋体" w:hAnsi="宋体" w:cs="宋体"/>
                <w:color w:val="000000"/>
                <w:kern w:val="0"/>
                <w:sz w:val="20"/>
                <w:szCs w:val="20"/>
              </w:rPr>
              <w:t>　</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118.83%</w:t>
            </w:r>
            <w:r>
              <w:rPr>
                <w:rFonts w:hint="eastAsia" w:ascii="宋体" w:hAnsi="宋体" w:cs="宋体"/>
                <w:color w:val="000000"/>
                <w:kern w:val="0"/>
                <w:sz w:val="20"/>
                <w:szCs w:val="20"/>
              </w:rPr>
              <w:t>　</w:t>
            </w: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w:t>
            </w:r>
          </w:p>
        </w:tc>
        <w:tc>
          <w:tcPr>
            <w:tcW w:w="6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717"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部门全年执行数与全年预算数的比率。资金总体=基本支出+项目支出+其他</w:t>
            </w:r>
          </w:p>
        </w:tc>
        <w:tc>
          <w:tcPr>
            <w:tcW w:w="4496" w:type="dxa"/>
            <w:vMerge w:val="restart"/>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①得分一档最高不能超过该指标分值上限（20分）。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该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tc>
      </w:tr>
      <w:tr>
        <w:tblPrEx>
          <w:tblLayout w:type="fixed"/>
          <w:tblCellMar>
            <w:top w:w="0" w:type="dxa"/>
            <w:left w:w="108" w:type="dxa"/>
            <w:bottom w:w="0" w:type="dxa"/>
            <w:right w:w="108" w:type="dxa"/>
          </w:tblCellMar>
        </w:tblPrEx>
        <w:trPr>
          <w:trHeight w:val="60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single" w:color="auto" w:sz="4" w:space="0"/>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基本支出</w:t>
            </w:r>
          </w:p>
        </w:tc>
        <w:tc>
          <w:tcPr>
            <w:tcW w:w="20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1621.00</w:t>
            </w:r>
            <w:r>
              <w:rPr>
                <w:rFonts w:hint="eastAsia" w:ascii="宋体" w:hAnsi="宋体" w:cs="宋体"/>
                <w:color w:val="000000"/>
                <w:kern w:val="0"/>
                <w:sz w:val="20"/>
                <w:szCs w:val="20"/>
              </w:rPr>
              <w:t>　</w:t>
            </w:r>
          </w:p>
        </w:tc>
        <w:tc>
          <w:tcPr>
            <w:tcW w:w="133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1663.38</w:t>
            </w:r>
            <w:r>
              <w:rPr>
                <w:rFonts w:hint="eastAsia" w:ascii="宋体" w:hAnsi="宋体" w:cs="宋体"/>
                <w:color w:val="000000"/>
                <w:kern w:val="0"/>
                <w:sz w:val="20"/>
                <w:szCs w:val="20"/>
              </w:rPr>
              <w:t>　</w:t>
            </w: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00" w:type="dxa"/>
            <w:vMerge w:val="continue"/>
            <w:tcBorders>
              <w:top w:val="single" w:color="auto" w:sz="4" w:space="0"/>
              <w:left w:val="nil"/>
              <w:bottom w:val="single" w:color="auto" w:sz="4" w:space="0"/>
              <w:right w:val="nil"/>
            </w:tcBorders>
            <w:vAlign w:val="center"/>
          </w:tcPr>
          <w:p>
            <w:pPr>
              <w:widowControl/>
              <w:jc w:val="left"/>
              <w:rPr>
                <w:rFonts w:ascii="宋体" w:hAnsi="宋体" w:cs="宋体"/>
                <w:color w:val="000000"/>
                <w:kern w:val="0"/>
                <w:sz w:val="20"/>
                <w:szCs w:val="20"/>
              </w:rPr>
            </w:pPr>
          </w:p>
        </w:tc>
        <w:tc>
          <w:tcPr>
            <w:tcW w:w="27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15"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single" w:color="auto" w:sz="4" w:space="0"/>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项目支出</w:t>
            </w:r>
          </w:p>
        </w:tc>
        <w:tc>
          <w:tcPr>
            <w:tcW w:w="20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103.77</w:t>
            </w:r>
            <w:r>
              <w:rPr>
                <w:rFonts w:hint="eastAsia" w:ascii="宋体" w:hAnsi="宋体" w:cs="宋体"/>
                <w:color w:val="000000"/>
                <w:kern w:val="0"/>
                <w:sz w:val="20"/>
                <w:szCs w:val="20"/>
              </w:rPr>
              <w:t>　</w:t>
            </w:r>
          </w:p>
        </w:tc>
        <w:tc>
          <w:tcPr>
            <w:tcW w:w="133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389.72</w:t>
            </w:r>
            <w:r>
              <w:rPr>
                <w:rFonts w:hint="eastAsia" w:ascii="宋体" w:hAnsi="宋体" w:cs="宋体"/>
                <w:color w:val="000000"/>
                <w:kern w:val="0"/>
                <w:sz w:val="20"/>
                <w:szCs w:val="20"/>
              </w:rPr>
              <w:t>　</w:t>
            </w: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00" w:type="dxa"/>
            <w:vMerge w:val="continue"/>
            <w:tcBorders>
              <w:top w:val="single" w:color="auto" w:sz="4" w:space="0"/>
              <w:left w:val="nil"/>
              <w:bottom w:val="single" w:color="auto" w:sz="4" w:space="0"/>
              <w:right w:val="nil"/>
            </w:tcBorders>
            <w:vAlign w:val="center"/>
          </w:tcPr>
          <w:p>
            <w:pPr>
              <w:widowControl/>
              <w:jc w:val="left"/>
              <w:rPr>
                <w:rFonts w:ascii="宋体" w:hAnsi="宋体" w:cs="宋体"/>
                <w:color w:val="000000"/>
                <w:kern w:val="0"/>
                <w:sz w:val="20"/>
                <w:szCs w:val="20"/>
              </w:rPr>
            </w:pPr>
          </w:p>
        </w:tc>
        <w:tc>
          <w:tcPr>
            <w:tcW w:w="27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151"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其他</w:t>
            </w:r>
          </w:p>
        </w:tc>
        <w:tc>
          <w:tcPr>
            <w:tcW w:w="200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33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00" w:type="dxa"/>
            <w:vMerge w:val="continue"/>
            <w:tcBorders>
              <w:top w:val="single" w:color="auto" w:sz="4" w:space="0"/>
              <w:left w:val="nil"/>
              <w:bottom w:val="single" w:color="auto" w:sz="4" w:space="0"/>
              <w:right w:val="nil"/>
            </w:tcBorders>
            <w:vAlign w:val="center"/>
          </w:tcPr>
          <w:p>
            <w:pPr>
              <w:widowControl/>
              <w:jc w:val="left"/>
              <w:rPr>
                <w:rFonts w:ascii="宋体" w:hAnsi="宋体" w:cs="宋体"/>
                <w:color w:val="000000"/>
                <w:kern w:val="0"/>
                <w:sz w:val="20"/>
                <w:szCs w:val="20"/>
              </w:rPr>
            </w:pPr>
          </w:p>
        </w:tc>
        <w:tc>
          <w:tcPr>
            <w:tcW w:w="27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69" w:hRule="atLeast"/>
        </w:trPr>
        <w:tc>
          <w:tcPr>
            <w:tcW w:w="14786" w:type="dxa"/>
            <w:gridSpan w:val="9"/>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二</w:t>
            </w:r>
            <w:r>
              <w:rPr>
                <w:rFonts w:ascii="宋体" w:hAnsi="宋体" w:cs="宋体"/>
                <w:color w:val="000000"/>
                <w:kern w:val="0"/>
                <w:sz w:val="18"/>
                <w:szCs w:val="18"/>
              </w:rPr>
              <w:t>、</w:t>
            </w:r>
            <w:r>
              <w:rPr>
                <w:rFonts w:hint="eastAsia" w:ascii="宋体" w:hAnsi="宋体" w:cs="宋体"/>
                <w:color w:val="000000"/>
                <w:kern w:val="0"/>
                <w:sz w:val="20"/>
                <w:szCs w:val="20"/>
              </w:rPr>
              <w:t>整体绩效目标实现情况（60分）</w:t>
            </w:r>
          </w:p>
        </w:tc>
      </w:tr>
      <w:tr>
        <w:tblPrEx>
          <w:tblLayout w:type="fixed"/>
          <w:tblCellMar>
            <w:top w:w="0" w:type="dxa"/>
            <w:left w:w="108" w:type="dxa"/>
            <w:bottom w:w="0" w:type="dxa"/>
            <w:right w:w="108" w:type="dxa"/>
          </w:tblCellMar>
        </w:tblPrEx>
        <w:trPr>
          <w:trHeight w:val="499" w:hRule="atLeast"/>
        </w:trPr>
        <w:tc>
          <w:tcPr>
            <w:tcW w:w="10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10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200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三</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133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指标值</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完成值</w:t>
            </w:r>
          </w:p>
        </w:tc>
        <w:tc>
          <w:tcPr>
            <w:tcW w:w="67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600"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27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44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Layout w:type="fixed"/>
          <w:tblCellMar>
            <w:top w:w="0" w:type="dxa"/>
            <w:left w:w="108" w:type="dxa"/>
            <w:bottom w:w="0" w:type="dxa"/>
            <w:right w:w="108" w:type="dxa"/>
          </w:tblCellMar>
        </w:tblPrEx>
        <w:trPr>
          <w:trHeight w:val="1196" w:hRule="atLeast"/>
        </w:trPr>
        <w:tc>
          <w:tcPr>
            <w:tcW w:w="104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整体绩效目标实现情况（60）</w:t>
            </w:r>
          </w:p>
        </w:tc>
        <w:tc>
          <w:tcPr>
            <w:tcW w:w="1079" w:type="dxa"/>
            <w:vMerge w:val="restart"/>
            <w:tcBorders>
              <w:top w:val="single" w:color="auto" w:sz="4" w:space="0"/>
              <w:left w:val="nil"/>
              <w:right w:val="single" w:color="auto" w:sz="4" w:space="0"/>
            </w:tcBorders>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产出（30）</w:t>
            </w:r>
          </w:p>
        </w:tc>
        <w:tc>
          <w:tcPr>
            <w:tcW w:w="20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四名警卫人员全年服务费三名保洁人员全年服务费一名水、电维护人员全年服务费</w:t>
            </w:r>
          </w:p>
        </w:tc>
        <w:tc>
          <w:tcPr>
            <w:tcW w:w="133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17.82</w:t>
            </w:r>
            <w:r>
              <w:rPr>
                <w:rFonts w:hint="eastAsia" w:ascii="宋体" w:hAnsi="宋体" w:cs="宋体"/>
                <w:color w:val="000000"/>
                <w:kern w:val="0"/>
                <w:sz w:val="20"/>
                <w:szCs w:val="20"/>
              </w:rPr>
              <w:t>　</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17.82</w:t>
            </w:r>
            <w:r>
              <w:rPr>
                <w:rFonts w:hint="eastAsia" w:ascii="宋体" w:hAnsi="宋体" w:cs="宋体"/>
                <w:color w:val="000000"/>
                <w:kern w:val="0"/>
                <w:sz w:val="20"/>
                <w:szCs w:val="20"/>
              </w:rPr>
              <w:t>　</w:t>
            </w:r>
          </w:p>
        </w:tc>
        <w:tc>
          <w:tcPr>
            <w:tcW w:w="675"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c>
          <w:tcPr>
            <w:tcW w:w="600" w:type="dxa"/>
            <w:tcBorders>
              <w:top w:val="single" w:color="auto" w:sz="4" w:space="0"/>
              <w:left w:val="nil"/>
              <w:bottom w:val="single" w:color="auto" w:sz="4" w:space="0"/>
              <w:right w:val="nil"/>
            </w:tcBorders>
            <w:vAlign w:val="center"/>
          </w:tcPr>
          <w:p>
            <w:pPr>
              <w:widowControl/>
              <w:jc w:val="center"/>
              <w:rPr>
                <w:rFonts w:ascii="宋体" w:hAnsi="宋体" w:cs="宋体"/>
                <w:color w:val="000000"/>
                <w:kern w:val="0"/>
                <w:sz w:val="20"/>
                <w:szCs w:val="20"/>
              </w:rPr>
            </w:pPr>
          </w:p>
          <w:p>
            <w:pPr>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20</w:t>
            </w:r>
          </w:p>
        </w:tc>
        <w:tc>
          <w:tcPr>
            <w:tcW w:w="2717"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产出数量</w:t>
            </w:r>
            <w:r>
              <w:rPr>
                <w:rFonts w:hint="eastAsia" w:ascii="宋体" w:hAnsi="宋体" w:cs="宋体"/>
                <w:color w:val="000000"/>
                <w:kern w:val="0"/>
                <w:sz w:val="18"/>
                <w:szCs w:val="18"/>
              </w:rPr>
              <w:t>：计划完成率=（实际完成工作数/计划工作数）×100%。实际完成工作数：一定时期（年度或规划期）内部门（单位）实际完成工作任务的数量。计划工作数：部门（单位）整体绩效目标确定的一定时期（年度或规划期）内预计完成工作任务的数量。</w:t>
            </w:r>
            <w:r>
              <w:rPr>
                <w:rFonts w:hint="eastAsia" w:ascii="宋体" w:hAnsi="宋体" w:cs="宋体"/>
                <w:b/>
                <w:bCs/>
                <w:color w:val="000000"/>
                <w:kern w:val="0"/>
                <w:sz w:val="18"/>
                <w:szCs w:val="18"/>
              </w:rPr>
              <w:t>产出质量</w:t>
            </w:r>
            <w:r>
              <w:rPr>
                <w:rFonts w:hint="eastAsia" w:ascii="宋体" w:hAnsi="宋体" w:cs="宋体"/>
                <w:color w:val="000000"/>
                <w:kern w:val="0"/>
                <w:sz w:val="18"/>
                <w:szCs w:val="18"/>
              </w:rPr>
              <w:t>：质量达标率=质量达标工作数/实际完成工作数×100%。质量达标工作数：一定时期（年度或规划期）内部门（单位）实际完成工作数中达到部门绩效目标要求（绩效标准值）的工作任务数量。</w:t>
            </w:r>
            <w:r>
              <w:rPr>
                <w:rFonts w:hint="eastAsia" w:ascii="宋体" w:hAnsi="宋体" w:cs="宋体"/>
                <w:b/>
                <w:bCs/>
                <w:color w:val="000000"/>
                <w:kern w:val="0"/>
                <w:sz w:val="18"/>
                <w:szCs w:val="18"/>
              </w:rPr>
              <w:t>产出进度：</w:t>
            </w:r>
            <w:r>
              <w:rPr>
                <w:rFonts w:hint="eastAsia" w:ascii="宋体" w:hAnsi="宋体" w:cs="宋体"/>
                <w:color w:val="000000"/>
                <w:kern w:val="0"/>
                <w:sz w:val="18"/>
                <w:szCs w:val="18"/>
              </w:rPr>
              <w:t>按时完成率=（按时完成工作数/实际完成工作数）×100%。按时完成工作数：部门（单位）按照整体绩效目标确定的时限实际完成的工作任务数量。</w:t>
            </w:r>
            <w:r>
              <w:rPr>
                <w:rFonts w:hint="eastAsia" w:ascii="宋体" w:hAnsi="宋体" w:cs="宋体"/>
                <w:b/>
                <w:bCs/>
                <w:color w:val="000000"/>
                <w:kern w:val="0"/>
                <w:sz w:val="18"/>
                <w:szCs w:val="18"/>
              </w:rPr>
              <w:t>产出成本</w:t>
            </w:r>
            <w:r>
              <w:rPr>
                <w:rFonts w:hint="eastAsia" w:ascii="宋体" w:hAnsi="宋体" w:cs="宋体"/>
                <w:color w:val="000000"/>
                <w:kern w:val="0"/>
                <w:sz w:val="18"/>
                <w:szCs w:val="18"/>
              </w:rPr>
              <w:t>：单位产出相对于上一年度的节约额；②单位产出相对于市场同类产出的节约额；③部门公用经费的控制情况。</w:t>
            </w:r>
          </w:p>
        </w:tc>
        <w:tc>
          <w:tcPr>
            <w:tcW w:w="449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部门根据本单位情况自行确定并选择产出指标，合理确定各项指标权重。可量化的指标按照比率*单项指标分值即为该指标得分。如果不能定量评价，则以定性的方式进行自评。</w:t>
            </w:r>
          </w:p>
        </w:tc>
      </w:tr>
      <w:tr>
        <w:tblPrEx>
          <w:tblLayout w:type="fixed"/>
          <w:tblCellMar>
            <w:top w:w="0" w:type="dxa"/>
            <w:left w:w="108" w:type="dxa"/>
            <w:bottom w:w="0" w:type="dxa"/>
            <w:right w:w="108" w:type="dxa"/>
          </w:tblCellMar>
        </w:tblPrEx>
        <w:trPr>
          <w:trHeight w:val="113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00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人口抽样调查</w:t>
            </w:r>
          </w:p>
        </w:tc>
        <w:tc>
          <w:tcPr>
            <w:tcW w:w="133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10.6</w:t>
            </w:r>
            <w:r>
              <w:rPr>
                <w:rFonts w:hint="eastAsia" w:ascii="宋体" w:hAnsi="宋体" w:cs="宋体"/>
                <w:color w:val="000000"/>
                <w:kern w:val="0"/>
                <w:sz w:val="20"/>
                <w:szCs w:val="20"/>
              </w:rPr>
              <w:t>　</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10.6</w:t>
            </w:r>
          </w:p>
        </w:tc>
        <w:tc>
          <w:tcPr>
            <w:tcW w:w="675" w:type="dxa"/>
            <w:vMerge w:val="continue"/>
            <w:tcBorders>
              <w:top w:val="single" w:color="auto" w:sz="4" w:space="0"/>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00"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30</w:t>
            </w:r>
            <w:r>
              <w:rPr>
                <w:rFonts w:hint="eastAsia" w:ascii="宋体" w:hAnsi="宋体" w:cs="宋体"/>
                <w:color w:val="000000"/>
                <w:kern w:val="0"/>
                <w:sz w:val="20"/>
                <w:szCs w:val="20"/>
              </w:rPr>
              <w:t>　</w:t>
            </w:r>
          </w:p>
        </w:tc>
        <w:tc>
          <w:tcPr>
            <w:tcW w:w="27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258"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00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疏整促</w:t>
            </w:r>
          </w:p>
        </w:tc>
        <w:tc>
          <w:tcPr>
            <w:tcW w:w="133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20.00</w:t>
            </w:r>
          </w:p>
        </w:tc>
        <w:tc>
          <w:tcPr>
            <w:tcW w:w="8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20.00</w:t>
            </w:r>
          </w:p>
        </w:tc>
        <w:tc>
          <w:tcPr>
            <w:tcW w:w="675"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00"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30</w:t>
            </w:r>
            <w:r>
              <w:rPr>
                <w:rFonts w:hint="eastAsia" w:ascii="宋体" w:hAnsi="宋体" w:cs="宋体"/>
                <w:color w:val="000000"/>
                <w:kern w:val="0"/>
                <w:sz w:val="20"/>
                <w:szCs w:val="20"/>
              </w:rPr>
              <w:t>　</w:t>
            </w:r>
          </w:p>
        </w:tc>
        <w:tc>
          <w:tcPr>
            <w:tcW w:w="27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975"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003"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生态文明满意度</w:t>
            </w:r>
          </w:p>
        </w:tc>
        <w:tc>
          <w:tcPr>
            <w:tcW w:w="133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5.00</w:t>
            </w:r>
          </w:p>
        </w:tc>
        <w:tc>
          <w:tcPr>
            <w:tcW w:w="8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5.00</w:t>
            </w:r>
          </w:p>
        </w:tc>
        <w:tc>
          <w:tcPr>
            <w:tcW w:w="67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00" w:type="dxa"/>
            <w:tcBorders>
              <w:top w:val="nil"/>
              <w:left w:val="nil"/>
              <w:bottom w:val="single" w:color="auto" w:sz="4" w:space="0"/>
              <w:right w:val="nil"/>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w:t>
            </w:r>
          </w:p>
        </w:tc>
        <w:tc>
          <w:tcPr>
            <w:tcW w:w="27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975"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00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全国第五次经济普查</w:t>
            </w:r>
          </w:p>
        </w:tc>
        <w:tc>
          <w:tcPr>
            <w:tcW w:w="133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367.00</w:t>
            </w:r>
          </w:p>
        </w:tc>
        <w:tc>
          <w:tcPr>
            <w:tcW w:w="8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328.13</w:t>
            </w:r>
          </w:p>
        </w:tc>
        <w:tc>
          <w:tcPr>
            <w:tcW w:w="67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00" w:type="dxa"/>
            <w:tcBorders>
              <w:top w:val="nil"/>
              <w:left w:val="nil"/>
              <w:bottom w:val="single" w:color="auto" w:sz="4" w:space="0"/>
              <w:right w:val="nil"/>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25</w:t>
            </w:r>
          </w:p>
        </w:tc>
        <w:tc>
          <w:tcPr>
            <w:tcW w:w="27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975"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003"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统计资料印刷</w:t>
            </w:r>
          </w:p>
        </w:tc>
        <w:tc>
          <w:tcPr>
            <w:tcW w:w="133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8.40</w:t>
            </w: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8.40</w:t>
            </w:r>
            <w:r>
              <w:rPr>
                <w:rFonts w:hint="eastAsia" w:ascii="宋体" w:hAnsi="宋体" w:cs="宋体"/>
                <w:color w:val="000000"/>
                <w:kern w:val="0"/>
                <w:sz w:val="20"/>
                <w:szCs w:val="20"/>
              </w:rPr>
              <w:t>　</w:t>
            </w:r>
          </w:p>
        </w:tc>
        <w:tc>
          <w:tcPr>
            <w:tcW w:w="67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00"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30</w:t>
            </w:r>
            <w:r>
              <w:rPr>
                <w:rFonts w:hint="eastAsia" w:ascii="宋体" w:hAnsi="宋体" w:cs="宋体"/>
                <w:color w:val="000000"/>
                <w:kern w:val="0"/>
                <w:sz w:val="20"/>
                <w:szCs w:val="20"/>
              </w:rPr>
              <w:t>　</w:t>
            </w:r>
          </w:p>
        </w:tc>
        <w:tc>
          <w:tcPr>
            <w:tcW w:w="27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75"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效果（30）</w:t>
            </w:r>
          </w:p>
        </w:tc>
        <w:tc>
          <w:tcPr>
            <w:tcW w:w="200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四名警卫人员全年服务费三名保洁人员全年服务费一名水、电维护人员全年服务费</w:t>
            </w:r>
          </w:p>
        </w:tc>
        <w:tc>
          <w:tcPr>
            <w:tcW w:w="133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维持机关正常运转</w:t>
            </w: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已完成</w:t>
            </w:r>
            <w:r>
              <w:rPr>
                <w:rFonts w:hint="eastAsia" w:ascii="宋体" w:hAnsi="宋体" w:cs="宋体"/>
                <w:color w:val="000000"/>
                <w:kern w:val="0"/>
                <w:sz w:val="20"/>
                <w:szCs w:val="20"/>
              </w:rPr>
              <w:t>　</w:t>
            </w:r>
          </w:p>
        </w:tc>
        <w:tc>
          <w:tcPr>
            <w:tcW w:w="675"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c>
          <w:tcPr>
            <w:tcW w:w="600"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30</w:t>
            </w:r>
            <w:r>
              <w:rPr>
                <w:rFonts w:hint="eastAsia" w:ascii="宋体" w:hAnsi="宋体" w:cs="宋体"/>
                <w:color w:val="000000"/>
                <w:kern w:val="0"/>
                <w:sz w:val="20"/>
                <w:szCs w:val="20"/>
              </w:rPr>
              <w:t>　</w:t>
            </w:r>
          </w:p>
        </w:tc>
        <w:tc>
          <w:tcPr>
            <w:tcW w:w="2717" w:type="dxa"/>
            <w:vMerge w:val="restart"/>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经济效益</w:t>
            </w:r>
            <w:r>
              <w:rPr>
                <w:rFonts w:hint="eastAsia" w:ascii="宋体" w:hAnsi="宋体" w:cs="宋体"/>
                <w:color w:val="000000"/>
                <w:kern w:val="0"/>
                <w:sz w:val="18"/>
                <w:szCs w:val="18"/>
              </w:rPr>
              <w:t>：部门（单位）履行职责对经济发展所带来的直接或间接影响。</w:t>
            </w:r>
            <w:r>
              <w:rPr>
                <w:rFonts w:hint="eastAsia" w:ascii="宋体" w:hAnsi="宋体" w:cs="宋体"/>
                <w:b/>
                <w:bCs/>
                <w:color w:val="000000"/>
                <w:kern w:val="0"/>
                <w:sz w:val="18"/>
                <w:szCs w:val="18"/>
              </w:rPr>
              <w:t>社会效益</w:t>
            </w:r>
            <w:r>
              <w:rPr>
                <w:rFonts w:hint="eastAsia" w:ascii="宋体" w:hAnsi="宋体" w:cs="宋体"/>
                <w:color w:val="000000"/>
                <w:kern w:val="0"/>
                <w:sz w:val="18"/>
                <w:szCs w:val="18"/>
              </w:rPr>
              <w:t>：部门（单位）履行职责对社会发展所带来的直接或间接影响。</w:t>
            </w:r>
            <w:r>
              <w:rPr>
                <w:rFonts w:hint="eastAsia" w:ascii="宋体" w:hAnsi="宋体" w:cs="宋体"/>
                <w:b/>
                <w:bCs/>
                <w:color w:val="000000"/>
                <w:kern w:val="0"/>
                <w:sz w:val="18"/>
                <w:szCs w:val="18"/>
              </w:rPr>
              <w:t>环境效益</w:t>
            </w:r>
            <w:r>
              <w:rPr>
                <w:rFonts w:hint="eastAsia" w:ascii="宋体" w:hAnsi="宋体" w:cs="宋体"/>
                <w:color w:val="000000"/>
                <w:kern w:val="0"/>
                <w:sz w:val="18"/>
                <w:szCs w:val="18"/>
              </w:rPr>
              <w:t>：部门（单位）履行职责对环境所带来的直接或间接影响。</w:t>
            </w:r>
            <w:r>
              <w:rPr>
                <w:rFonts w:hint="eastAsia" w:ascii="宋体" w:hAnsi="宋体" w:cs="宋体"/>
                <w:b/>
                <w:bCs/>
                <w:color w:val="000000"/>
                <w:kern w:val="0"/>
                <w:sz w:val="18"/>
                <w:szCs w:val="18"/>
              </w:rPr>
              <w:t>可持续性影响：</w:t>
            </w:r>
            <w:r>
              <w:rPr>
                <w:rFonts w:hint="eastAsia" w:ascii="宋体" w:hAnsi="宋体" w:cs="宋体"/>
                <w:color w:val="000000"/>
                <w:kern w:val="0"/>
                <w:sz w:val="18"/>
                <w:szCs w:val="18"/>
              </w:rPr>
              <w:t>部门绩效目标实现的长效机制建设情况，部门工作效率提升措施的创新。</w:t>
            </w:r>
            <w:r>
              <w:rPr>
                <w:rFonts w:hint="eastAsia" w:ascii="宋体" w:hAnsi="宋体" w:cs="宋体"/>
                <w:b/>
                <w:bCs/>
                <w:color w:val="000000"/>
                <w:kern w:val="0"/>
                <w:sz w:val="18"/>
                <w:szCs w:val="18"/>
              </w:rPr>
              <w:t>服务对象满意度</w:t>
            </w:r>
            <w:r>
              <w:rPr>
                <w:rFonts w:hint="eastAsia" w:ascii="宋体" w:hAnsi="宋体" w:cs="宋体"/>
                <w:color w:val="000000"/>
                <w:kern w:val="0"/>
                <w:sz w:val="18"/>
                <w:szCs w:val="18"/>
              </w:rPr>
              <w:t>：部门（单位）的服务对象对部门履职效果的满意程度。</w:t>
            </w:r>
          </w:p>
        </w:tc>
        <w:tc>
          <w:tcPr>
            <w:tcW w:w="4496" w:type="dxa"/>
            <w:vMerge w:val="restart"/>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部门根据实际情况选择指标进行填写，并将其细化为相应的个性化指标。对于效益类指标可从受益对象瞄准度、受益广度和受益深度上进行设计分析。</w:t>
            </w:r>
          </w:p>
        </w:tc>
      </w:tr>
      <w:tr>
        <w:tblPrEx>
          <w:tblLayout w:type="fixed"/>
          <w:tblCellMar>
            <w:top w:w="0" w:type="dxa"/>
            <w:left w:w="108" w:type="dxa"/>
            <w:bottom w:w="0" w:type="dxa"/>
            <w:right w:w="108" w:type="dxa"/>
          </w:tblCellMar>
        </w:tblPrEx>
        <w:trPr>
          <w:trHeight w:val="63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00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人口抽样调查</w:t>
            </w:r>
          </w:p>
        </w:tc>
        <w:tc>
          <w:tcPr>
            <w:tcW w:w="1335"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20"/>
                <w:szCs w:val="20"/>
              </w:rPr>
            </w:pPr>
            <w:r>
              <w:rPr>
                <w:rFonts w:hint="eastAsia" w:ascii="宋体" w:hAnsi="宋体" w:cs="宋体"/>
                <w:color w:val="000000"/>
                <w:kern w:val="0"/>
                <w:sz w:val="20"/>
                <w:szCs w:val="20"/>
                <w:lang w:eastAsia="zh-CN"/>
              </w:rPr>
              <w:t>按时完成了调查登记、数据质量评估工作</w:t>
            </w:r>
          </w:p>
        </w:tc>
        <w:tc>
          <w:tcPr>
            <w:tcW w:w="84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按时完成各项工作</w:t>
            </w:r>
            <w:r>
              <w:rPr>
                <w:rFonts w:hint="eastAsia" w:ascii="宋体" w:hAnsi="宋体" w:cs="宋体"/>
                <w:color w:val="000000"/>
                <w:kern w:val="0"/>
                <w:sz w:val="20"/>
                <w:szCs w:val="20"/>
              </w:rPr>
              <w:t>　</w:t>
            </w: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00"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30</w:t>
            </w:r>
            <w:r>
              <w:rPr>
                <w:rFonts w:hint="eastAsia" w:ascii="宋体" w:hAnsi="宋体" w:cs="宋体"/>
                <w:color w:val="000000"/>
                <w:kern w:val="0"/>
                <w:sz w:val="20"/>
                <w:szCs w:val="20"/>
              </w:rPr>
              <w:t>　</w:t>
            </w:r>
          </w:p>
        </w:tc>
        <w:tc>
          <w:tcPr>
            <w:tcW w:w="27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9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00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疏整促</w:t>
            </w:r>
          </w:p>
        </w:tc>
        <w:tc>
          <w:tcPr>
            <w:tcW w:w="133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撰写的调查报告以专报形式报送区委区政府及相关部门</w:t>
            </w:r>
          </w:p>
        </w:tc>
        <w:tc>
          <w:tcPr>
            <w:tcW w:w="8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按时按质完成调查工作</w:t>
            </w: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00" w:type="dxa"/>
            <w:tcBorders>
              <w:top w:val="nil"/>
              <w:left w:val="nil"/>
              <w:bottom w:val="single" w:color="auto" w:sz="4" w:space="0"/>
              <w:right w:val="nil"/>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w:t>
            </w:r>
          </w:p>
        </w:tc>
        <w:tc>
          <w:tcPr>
            <w:tcW w:w="27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9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00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生态文明</w:t>
            </w:r>
          </w:p>
        </w:tc>
        <w:tc>
          <w:tcPr>
            <w:tcW w:w="133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撰写的调查报告以专报形式报送区委区政府及相关部门</w:t>
            </w:r>
          </w:p>
        </w:tc>
        <w:tc>
          <w:tcPr>
            <w:tcW w:w="8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按时按质完成调查工作</w:t>
            </w: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00" w:type="dxa"/>
            <w:tcBorders>
              <w:top w:val="nil"/>
              <w:left w:val="nil"/>
              <w:bottom w:val="single" w:color="auto" w:sz="4" w:space="0"/>
              <w:right w:val="nil"/>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w:t>
            </w:r>
          </w:p>
        </w:tc>
        <w:tc>
          <w:tcPr>
            <w:tcW w:w="27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9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00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全国第五次经济普查</w:t>
            </w:r>
          </w:p>
        </w:tc>
        <w:tc>
          <w:tcPr>
            <w:tcW w:w="133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eastAsia="宋体" w:cs="宋体"/>
                <w:color w:val="000000"/>
                <w:kern w:val="0"/>
                <w:sz w:val="20"/>
                <w:szCs w:val="20"/>
                <w:lang w:eastAsia="zh-CN"/>
              </w:rPr>
              <w:t>按普查方案规定，按时2023年各阶段工作任务。</w:t>
            </w: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按时完成工作任务</w:t>
            </w: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00"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25</w:t>
            </w:r>
            <w:r>
              <w:rPr>
                <w:rFonts w:hint="eastAsia" w:ascii="宋体" w:hAnsi="宋体" w:cs="宋体"/>
                <w:color w:val="000000"/>
                <w:kern w:val="0"/>
                <w:sz w:val="20"/>
                <w:szCs w:val="20"/>
              </w:rPr>
              <w:t>　</w:t>
            </w:r>
          </w:p>
        </w:tc>
        <w:tc>
          <w:tcPr>
            <w:tcW w:w="27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75" w:hRule="atLeast"/>
        </w:trPr>
        <w:tc>
          <w:tcPr>
            <w:tcW w:w="10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003"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统计资料印刷</w:t>
            </w:r>
          </w:p>
        </w:tc>
        <w:tc>
          <w:tcPr>
            <w:tcW w:w="133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eastAsia="宋体" w:cs="宋体"/>
                <w:color w:val="000000"/>
                <w:kern w:val="0"/>
                <w:sz w:val="20"/>
                <w:szCs w:val="20"/>
                <w:lang w:eastAsia="zh-CN"/>
              </w:rPr>
              <w:t>为区委区政府领导、各部门、社会公众提供统计服务。　</w:t>
            </w:r>
          </w:p>
        </w:tc>
        <w:tc>
          <w:tcPr>
            <w:tcW w:w="84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按时完成工作任务</w:t>
            </w:r>
            <w:r>
              <w:rPr>
                <w:rFonts w:hint="eastAsia" w:ascii="宋体" w:hAnsi="宋体" w:cs="宋体"/>
                <w:color w:val="000000"/>
                <w:kern w:val="0"/>
                <w:sz w:val="20"/>
                <w:szCs w:val="20"/>
              </w:rPr>
              <w:t>　</w:t>
            </w: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00"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30</w:t>
            </w:r>
            <w:r>
              <w:rPr>
                <w:rFonts w:hint="eastAsia" w:ascii="宋体" w:hAnsi="宋体" w:cs="宋体"/>
                <w:color w:val="000000"/>
                <w:kern w:val="0"/>
                <w:sz w:val="20"/>
                <w:szCs w:val="20"/>
              </w:rPr>
              <w:t>　</w:t>
            </w:r>
          </w:p>
        </w:tc>
        <w:tc>
          <w:tcPr>
            <w:tcW w:w="27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99" w:hRule="atLeast"/>
        </w:trPr>
        <w:tc>
          <w:tcPr>
            <w:tcW w:w="14786"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三</w:t>
            </w:r>
            <w:r>
              <w:rPr>
                <w:rFonts w:ascii="宋体" w:hAnsi="宋体" w:cs="宋体"/>
                <w:color w:val="000000"/>
                <w:kern w:val="0"/>
                <w:sz w:val="18"/>
                <w:szCs w:val="18"/>
              </w:rPr>
              <w:t>、</w:t>
            </w:r>
            <w:r>
              <w:rPr>
                <w:rFonts w:hint="eastAsia" w:ascii="宋体" w:hAnsi="宋体" w:cs="宋体"/>
                <w:color w:val="000000"/>
                <w:kern w:val="0"/>
                <w:sz w:val="20"/>
                <w:szCs w:val="20"/>
              </w:rPr>
              <w:t>预算管理情况（20分）</w:t>
            </w:r>
          </w:p>
        </w:tc>
      </w:tr>
      <w:tr>
        <w:tblPrEx>
          <w:tblLayout w:type="fixed"/>
          <w:tblCellMar>
            <w:top w:w="0" w:type="dxa"/>
            <w:left w:w="108" w:type="dxa"/>
            <w:bottom w:w="0" w:type="dxa"/>
            <w:right w:w="108" w:type="dxa"/>
          </w:tblCellMar>
        </w:tblPrEx>
        <w:trPr>
          <w:trHeight w:val="702" w:hRule="atLeast"/>
        </w:trPr>
        <w:tc>
          <w:tcPr>
            <w:tcW w:w="10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p>
        </w:tc>
        <w:tc>
          <w:tcPr>
            <w:tcW w:w="200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三</w:t>
            </w:r>
            <w:r>
              <w:rPr>
                <w:rFonts w:ascii="宋体" w:hAnsi="宋体" w:cs="宋体"/>
                <w:color w:val="000000"/>
                <w:kern w:val="0"/>
                <w:sz w:val="20"/>
                <w:szCs w:val="20"/>
              </w:rPr>
              <w:t>级指标</w:t>
            </w:r>
          </w:p>
        </w:tc>
        <w:tc>
          <w:tcPr>
            <w:tcW w:w="133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w:t>
            </w:r>
            <w:r>
              <w:rPr>
                <w:rFonts w:ascii="宋体" w:hAnsi="宋体" w:cs="宋体"/>
                <w:color w:val="000000"/>
                <w:kern w:val="0"/>
                <w:sz w:val="20"/>
                <w:szCs w:val="20"/>
              </w:rPr>
              <w:t>值</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完成</w:t>
            </w:r>
            <w:r>
              <w:rPr>
                <w:rFonts w:ascii="宋体" w:hAnsi="宋体" w:cs="宋体"/>
                <w:color w:val="000000"/>
                <w:kern w:val="0"/>
                <w:sz w:val="20"/>
                <w:szCs w:val="20"/>
              </w:rPr>
              <w:t>值</w:t>
            </w:r>
          </w:p>
        </w:tc>
        <w:tc>
          <w:tcPr>
            <w:tcW w:w="67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w:t>
            </w:r>
            <w:r>
              <w:rPr>
                <w:rFonts w:ascii="宋体" w:hAnsi="宋体" w:cs="宋体"/>
                <w:color w:val="000000"/>
                <w:kern w:val="0"/>
                <w:sz w:val="20"/>
                <w:szCs w:val="20"/>
              </w:rPr>
              <w:t>值</w:t>
            </w:r>
          </w:p>
        </w:tc>
        <w:tc>
          <w:tcPr>
            <w:tcW w:w="600"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w:t>
            </w:r>
            <w:r>
              <w:rPr>
                <w:rFonts w:ascii="宋体" w:hAnsi="宋体" w:cs="宋体"/>
                <w:color w:val="000000"/>
                <w:kern w:val="0"/>
                <w:sz w:val="20"/>
                <w:szCs w:val="20"/>
              </w:rPr>
              <w:t>分</w:t>
            </w:r>
          </w:p>
        </w:tc>
        <w:tc>
          <w:tcPr>
            <w:tcW w:w="27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18"/>
                <w:szCs w:val="18"/>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449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Layout w:type="fixed"/>
          <w:tblCellMar>
            <w:top w:w="0" w:type="dxa"/>
            <w:left w:w="108" w:type="dxa"/>
            <w:bottom w:w="0" w:type="dxa"/>
            <w:right w:w="108" w:type="dxa"/>
          </w:tblCellMar>
        </w:tblPrEx>
        <w:trPr>
          <w:trHeight w:val="1230" w:hRule="atLeast"/>
        </w:trPr>
        <w:tc>
          <w:tcPr>
            <w:tcW w:w="104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预算管理情况（20）</w:t>
            </w:r>
          </w:p>
        </w:tc>
        <w:tc>
          <w:tcPr>
            <w:tcW w:w="107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财务管理（4）</w:t>
            </w:r>
          </w:p>
        </w:tc>
        <w:tc>
          <w:tcPr>
            <w:tcW w:w="200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财务管理制度健全性</w:t>
            </w:r>
          </w:p>
        </w:tc>
        <w:tc>
          <w:tcPr>
            <w:tcW w:w="133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eastAsia="宋体" w:cs="宋体"/>
                <w:color w:val="000000"/>
                <w:kern w:val="0"/>
                <w:sz w:val="20"/>
                <w:szCs w:val="20"/>
                <w:lang w:eastAsia="zh-CN"/>
              </w:rPr>
              <w:t>财务管理制度。各项资金的使用办法、会计核算制</w:t>
            </w:r>
            <w:r>
              <w:rPr>
                <w:rFonts w:hint="eastAsia" w:ascii="仿宋_GB2312" w:hAnsi="宋体" w:eastAsia="仿宋_GB2312" w:cs="仿宋_GB2312"/>
                <w:color w:val="000000"/>
                <w:szCs w:val="21"/>
                <w:lang w:eastAsia="zh-CN"/>
              </w:rPr>
              <w:t>度</w:t>
            </w:r>
            <w:r>
              <w:rPr>
                <w:rFonts w:hint="eastAsia" w:ascii="宋体" w:hAnsi="宋体" w:cs="宋体"/>
                <w:color w:val="000000"/>
                <w:kern w:val="0"/>
                <w:sz w:val="20"/>
                <w:szCs w:val="20"/>
              </w:rPr>
              <w:t>　</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eastAsia="宋体" w:cs="宋体"/>
                <w:color w:val="000000"/>
                <w:kern w:val="0"/>
                <w:sz w:val="20"/>
                <w:szCs w:val="20"/>
                <w:lang w:eastAsia="zh-CN"/>
              </w:rPr>
              <w:t>各项制度健全</w:t>
            </w:r>
            <w:r>
              <w:rPr>
                <w:rFonts w:hint="eastAsia" w:ascii="宋体" w:hAnsi="宋体" w:cs="宋体"/>
                <w:color w:val="000000"/>
                <w:kern w:val="0"/>
                <w:sz w:val="20"/>
                <w:szCs w:val="20"/>
              </w:rPr>
              <w:t>　</w:t>
            </w:r>
          </w:p>
        </w:tc>
        <w:tc>
          <w:tcPr>
            <w:tcW w:w="67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600" w:type="dxa"/>
            <w:tcBorders>
              <w:top w:val="single" w:color="auto" w:sz="4" w:space="0"/>
              <w:left w:val="nil"/>
              <w:bottom w:val="single" w:color="auto" w:sz="4" w:space="0"/>
              <w:right w:val="nil"/>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w:t>
            </w:r>
          </w:p>
        </w:tc>
        <w:tc>
          <w:tcPr>
            <w:tcW w:w="271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财务管理制度健全性:</w:t>
            </w:r>
            <w:r>
              <w:rPr>
                <w:rFonts w:hint="eastAsia" w:ascii="宋体" w:hAnsi="宋体" w:cs="宋体"/>
                <w:color w:val="000000"/>
                <w:kern w:val="0"/>
                <w:sz w:val="18"/>
                <w:szCs w:val="18"/>
              </w:rPr>
              <w:t>部门（单位）为加强财务管理、规范财务行为而制定的管理制度。</w:t>
            </w:r>
          </w:p>
        </w:tc>
        <w:tc>
          <w:tcPr>
            <w:tcW w:w="449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①预算资金管理办法、绩效跟踪管理办法、资产管理办法等各项制度是否健全；②部门内部财务管理制度是否完整、合规；③会计核算制度是否完整、合规。每有一项不合格扣0.5分，扣完为止。</w:t>
            </w:r>
          </w:p>
        </w:tc>
      </w:tr>
      <w:tr>
        <w:tblPrEx>
          <w:tblLayout w:type="fixed"/>
          <w:tblCellMar>
            <w:top w:w="0" w:type="dxa"/>
            <w:left w:w="108" w:type="dxa"/>
            <w:bottom w:w="0" w:type="dxa"/>
            <w:right w:w="108" w:type="dxa"/>
          </w:tblCellMar>
        </w:tblPrEx>
        <w:trPr>
          <w:trHeight w:val="2220" w:hRule="atLeast"/>
        </w:trPr>
        <w:tc>
          <w:tcPr>
            <w:tcW w:w="104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00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资金使用合规性和安全性</w:t>
            </w:r>
          </w:p>
        </w:tc>
        <w:tc>
          <w:tcPr>
            <w:tcW w:w="133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eastAsia="zh-CN"/>
              </w:rPr>
              <w:t>资金使用合规性和安全性</w:t>
            </w:r>
            <w:r>
              <w:rPr>
                <w:rFonts w:hint="eastAsia" w:ascii="宋体" w:hAnsi="宋体" w:cs="宋体"/>
                <w:color w:val="000000"/>
                <w:kern w:val="0"/>
                <w:sz w:val="20"/>
                <w:szCs w:val="20"/>
              </w:rPr>
              <w:t>　</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eastAsia="zh-CN"/>
              </w:rPr>
              <w:t>资金的使用</w:t>
            </w:r>
            <w:r>
              <w:rPr>
                <w:rFonts w:hint="eastAsia" w:ascii="仿宋_GB2312" w:hAnsi="宋体" w:eastAsia="仿宋_GB2312" w:cs="仿宋_GB2312"/>
                <w:color w:val="000000"/>
                <w:szCs w:val="21"/>
              </w:rPr>
              <w:t>符合国家财经法规和财务管理制度规定以及有关专项资金管理办法的规定；资金的拨付是有完整的审批程序和手续；项目的重大开支经过评估论证；符合部门预算批复的用途；</w:t>
            </w:r>
            <w:r>
              <w:rPr>
                <w:rFonts w:hint="eastAsia" w:ascii="仿宋_GB2312" w:hAnsi="宋体" w:eastAsia="仿宋_GB2312" w:cs="仿宋_GB2312"/>
                <w:color w:val="000000"/>
                <w:szCs w:val="21"/>
                <w:lang w:eastAsia="zh-CN"/>
              </w:rPr>
              <w:t>不存在</w:t>
            </w:r>
            <w:r>
              <w:rPr>
                <w:rFonts w:hint="eastAsia" w:ascii="仿宋_GB2312" w:hAnsi="宋体" w:eastAsia="仿宋_GB2312" w:cs="仿宋_GB2312"/>
                <w:color w:val="000000"/>
                <w:szCs w:val="21"/>
              </w:rPr>
              <w:t>存在截留、挤占、挪用情况；资金使用符合政府采购的程序和流程；资金使用符合公务卡结算相关制度和规定</w:t>
            </w:r>
            <w:r>
              <w:rPr>
                <w:rFonts w:hint="eastAsia" w:ascii="宋体" w:hAnsi="宋体" w:cs="宋体"/>
                <w:color w:val="000000"/>
                <w:kern w:val="0"/>
                <w:sz w:val="20"/>
                <w:szCs w:val="20"/>
              </w:rPr>
              <w:t>　</w:t>
            </w:r>
          </w:p>
        </w:tc>
        <w:tc>
          <w:tcPr>
            <w:tcW w:w="67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600"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　</w:t>
            </w:r>
          </w:p>
        </w:tc>
        <w:tc>
          <w:tcPr>
            <w:tcW w:w="271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资金使用合规性和安全性:</w:t>
            </w:r>
            <w:r>
              <w:rPr>
                <w:rFonts w:hint="eastAsia" w:ascii="宋体" w:hAnsi="宋体" w:cs="宋体"/>
                <w:color w:val="000000"/>
                <w:kern w:val="0"/>
                <w:sz w:val="18"/>
                <w:szCs w:val="18"/>
              </w:rPr>
              <w:t>部门（单位）使用预算资金是否符合相关的预算财务管理制度的规定，是否符合相关规定的开支范围，用以反映考核部门（单位）预算资金的规范运行和安全运行情况。</w:t>
            </w:r>
          </w:p>
        </w:tc>
        <w:tc>
          <w:tcPr>
            <w:tcW w:w="449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是否符合国家财经法规和财务管理制度规定以及有关专项资金管理办法的规定；②资金的拨付是否有完整的审批程序和手续；③项目的重大开支是否经过评估论证；④是否符合部门预算批复的用途；⑤是否存在截留、挤占、挪用情况；⑥资金使用是否符合政府采购的程序和流程；⑦资金使用是否符合公务卡结算相关制度和规定。每有一项不合格扣0.5分，扣完为止。</w:t>
            </w:r>
          </w:p>
        </w:tc>
      </w:tr>
      <w:tr>
        <w:tblPrEx>
          <w:tblLayout w:type="fixed"/>
          <w:tblCellMar>
            <w:top w:w="0" w:type="dxa"/>
            <w:left w:w="108" w:type="dxa"/>
            <w:bottom w:w="0" w:type="dxa"/>
            <w:right w:w="108" w:type="dxa"/>
          </w:tblCellMar>
        </w:tblPrEx>
        <w:trPr>
          <w:trHeight w:val="1035"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00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会计基础信息完善性</w:t>
            </w:r>
          </w:p>
        </w:tc>
        <w:tc>
          <w:tcPr>
            <w:tcW w:w="133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会计基础信息</w:t>
            </w: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eastAsia="zh-CN"/>
              </w:rPr>
              <w:t>会计基础信息真实、完整</w:t>
            </w:r>
            <w:r>
              <w:rPr>
                <w:rFonts w:hint="eastAsia" w:ascii="宋体" w:hAnsi="宋体" w:cs="宋体"/>
                <w:color w:val="000000"/>
                <w:kern w:val="0"/>
                <w:sz w:val="20"/>
                <w:szCs w:val="20"/>
              </w:rPr>
              <w:t>　</w:t>
            </w:r>
          </w:p>
        </w:tc>
        <w:tc>
          <w:tcPr>
            <w:tcW w:w="67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600"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　</w:t>
            </w:r>
          </w:p>
        </w:tc>
        <w:tc>
          <w:tcPr>
            <w:tcW w:w="2717"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会计基础信息完善性:</w:t>
            </w:r>
            <w:r>
              <w:rPr>
                <w:rFonts w:hint="eastAsia" w:ascii="宋体" w:hAnsi="宋体" w:cs="宋体"/>
                <w:color w:val="000000"/>
                <w:kern w:val="0"/>
                <w:sz w:val="18"/>
                <w:szCs w:val="18"/>
              </w:rPr>
              <w:t>部门（单位）会计基础信息情况。</w:t>
            </w:r>
          </w:p>
        </w:tc>
        <w:tc>
          <w:tcPr>
            <w:tcW w:w="449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①基础数据信息和会计信息资料是否真实；②基础数据信息和会计信息资料是否完整；③基础数据信息和会计信息资料是否准确。每有一项不合格扣0.5分，扣完为止。</w:t>
            </w:r>
          </w:p>
        </w:tc>
      </w:tr>
      <w:tr>
        <w:tblPrEx>
          <w:tblLayout w:type="fixed"/>
          <w:tblCellMar>
            <w:top w:w="0" w:type="dxa"/>
            <w:left w:w="108" w:type="dxa"/>
            <w:bottom w:w="0" w:type="dxa"/>
            <w:right w:w="108" w:type="dxa"/>
          </w:tblCellMar>
        </w:tblPrEx>
        <w:trPr>
          <w:trHeight w:val="222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资产管理（4）</w:t>
            </w:r>
          </w:p>
        </w:tc>
        <w:tc>
          <w:tcPr>
            <w:tcW w:w="20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资产管理规范性</w:t>
            </w:r>
          </w:p>
        </w:tc>
        <w:tc>
          <w:tcPr>
            <w:tcW w:w="133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仿宋_GB2312" w:hAnsi="宋体" w:eastAsia="仿宋_GB2312" w:cs="仿宋_GB2312"/>
                <w:color w:val="000000"/>
                <w:szCs w:val="21"/>
                <w:lang w:eastAsia="zh-CN"/>
              </w:rPr>
              <w:t>资产的完全完整、使用的规范性</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仿宋_GB2312" w:hAnsi="宋体" w:eastAsia="仿宋_GB2312" w:cs="仿宋_GB2312"/>
                <w:color w:val="000000"/>
                <w:szCs w:val="21"/>
                <w:lang w:eastAsia="zh-CN"/>
              </w:rPr>
              <w:t>资产保持完全完整、配置合理</w:t>
            </w: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　</w:t>
            </w:r>
          </w:p>
        </w:tc>
        <w:tc>
          <w:tcPr>
            <w:tcW w:w="271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资产管理规范性:</w:t>
            </w:r>
            <w:r>
              <w:rPr>
                <w:rFonts w:hint="eastAsia" w:ascii="宋体" w:hAnsi="宋体" w:cs="宋体"/>
                <w:color w:val="000000"/>
                <w:kern w:val="0"/>
                <w:sz w:val="18"/>
                <w:szCs w:val="18"/>
              </w:rPr>
              <w:t>部门（单位）的资产是否保持安全完整，资产配置是否合理，资产使用和资产处理是否规范，用以反映和考核部门（单位）资产管理的整体水平。</w:t>
            </w:r>
          </w:p>
        </w:tc>
        <w:tc>
          <w:tcPr>
            <w:tcW w:w="44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对外投资行为是否经审批，是否存在投资亏损；②是否有因管理不当发生严重资产损失和丢失情况；③是否存在超标准配置资产；④资产使用是否规范，是否存在未经批准擅自出租、出借资产行为；⑤资产处置是否规范，是否存在不按要求进行报批或资产不公开处置行为；⑥其它资产管理制度办法执行情况。每有一项不合格扣0.8分，扣完为止。</w:t>
            </w:r>
          </w:p>
        </w:tc>
      </w:tr>
      <w:tr>
        <w:tblPrEx>
          <w:tblLayout w:type="fixed"/>
          <w:tblCellMar>
            <w:top w:w="0" w:type="dxa"/>
            <w:left w:w="108" w:type="dxa"/>
            <w:bottom w:w="0" w:type="dxa"/>
            <w:right w:w="108" w:type="dxa"/>
          </w:tblCellMar>
        </w:tblPrEx>
        <w:trPr>
          <w:trHeight w:val="175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绩效管理（4）</w:t>
            </w:r>
          </w:p>
        </w:tc>
        <w:tc>
          <w:tcPr>
            <w:tcW w:w="200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绩效管理情况</w:t>
            </w:r>
          </w:p>
        </w:tc>
        <w:tc>
          <w:tcPr>
            <w:tcW w:w="133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仿宋_GB2312" w:hAnsi="宋体" w:eastAsia="仿宋_GB2312" w:cs="仿宋_GB2312"/>
                <w:color w:val="000000"/>
                <w:szCs w:val="21"/>
                <w:lang w:eastAsia="zh-CN"/>
              </w:rPr>
              <w:t>绩效信息的汇总和应用</w:t>
            </w:r>
          </w:p>
        </w:tc>
        <w:tc>
          <w:tcPr>
            <w:tcW w:w="84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仿宋_GB2312" w:hAnsi="宋体" w:eastAsia="仿宋_GB2312" w:cs="仿宋_GB2312"/>
                <w:color w:val="000000"/>
                <w:szCs w:val="21"/>
                <w:lang w:eastAsia="zh-CN"/>
              </w:rPr>
              <w:t>及时对绩效信息进行汇总整理</w:t>
            </w:r>
          </w:p>
        </w:tc>
        <w:tc>
          <w:tcPr>
            <w:tcW w:w="67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600"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　</w:t>
            </w:r>
          </w:p>
        </w:tc>
        <w:tc>
          <w:tcPr>
            <w:tcW w:w="271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绩效管理情况:</w:t>
            </w:r>
            <w:r>
              <w:rPr>
                <w:rFonts w:hint="eastAsia" w:ascii="宋体" w:hAnsi="宋体" w:cs="宋体"/>
                <w:color w:val="000000"/>
                <w:kern w:val="0"/>
                <w:sz w:val="18"/>
                <w:szCs w:val="18"/>
              </w:rPr>
              <w:t>考核部门（单位）在绩效管理信息的汇总和应用情况。</w:t>
            </w:r>
          </w:p>
        </w:tc>
        <w:tc>
          <w:tcPr>
            <w:tcW w:w="449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①部门（单位）是否及时对绩效信息进行汇总分析整理；②部门（单位）是否对绩效目标偏离情况及时进行矫正。每有一项不合格扣2分。</w:t>
            </w:r>
          </w:p>
        </w:tc>
      </w:tr>
      <w:tr>
        <w:tblPrEx>
          <w:tblLayout w:type="fixed"/>
          <w:tblCellMar>
            <w:top w:w="0" w:type="dxa"/>
            <w:left w:w="108" w:type="dxa"/>
            <w:bottom w:w="0" w:type="dxa"/>
            <w:right w:w="108" w:type="dxa"/>
          </w:tblCellMar>
        </w:tblPrEx>
        <w:trPr>
          <w:trHeight w:val="394"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　</w:t>
            </w:r>
          </w:p>
        </w:tc>
        <w:tc>
          <w:tcPr>
            <w:tcW w:w="33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202</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年</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202</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年</w:t>
            </w:r>
          </w:p>
        </w:tc>
        <w:tc>
          <w:tcPr>
            <w:tcW w:w="67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6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27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4496"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0"/>
                <w:szCs w:val="20"/>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Layout w:type="fixed"/>
          <w:tblCellMar>
            <w:top w:w="0" w:type="dxa"/>
            <w:left w:w="108" w:type="dxa"/>
            <w:bottom w:w="0" w:type="dxa"/>
            <w:right w:w="108" w:type="dxa"/>
          </w:tblCellMar>
        </w:tblPrEx>
        <w:trPr>
          <w:trHeight w:val="1365"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结转结余率（4）</w:t>
            </w:r>
          </w:p>
        </w:tc>
        <w:tc>
          <w:tcPr>
            <w:tcW w:w="33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c>
          <w:tcPr>
            <w:tcW w:w="84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c>
          <w:tcPr>
            <w:tcW w:w="67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600"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　</w:t>
            </w:r>
          </w:p>
        </w:tc>
        <w:tc>
          <w:tcPr>
            <w:tcW w:w="271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结转结余率=结转结余总额/支出预算数×100%。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结转结余总额：部门（单位）本年度的结转资金与结余资金之和。</w:t>
            </w:r>
          </w:p>
        </w:tc>
        <w:tc>
          <w:tcPr>
            <w:tcW w:w="449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结转结余率低于上年的不扣分；高于上年结余率，每高出1个百分点扣0.4分，扣完为止。（说明：预算调整和结转结余指标，如非预算部门主观因素导致扣分的，在评分结果征求意见环节，经与相关部门预算主管处室共同研究，可作为例外情况酌情考虑。）</w:t>
            </w:r>
          </w:p>
        </w:tc>
      </w:tr>
      <w:tr>
        <w:tblPrEx>
          <w:tblLayout w:type="fixed"/>
          <w:tblCellMar>
            <w:top w:w="0" w:type="dxa"/>
            <w:left w:w="108" w:type="dxa"/>
            <w:bottom w:w="0" w:type="dxa"/>
            <w:right w:w="108" w:type="dxa"/>
          </w:tblCellMar>
        </w:tblPrEx>
        <w:trPr>
          <w:trHeight w:val="9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nil"/>
              <w:left w:val="nil"/>
              <w:bottom w:val="single" w:color="auto" w:sz="4" w:space="0"/>
              <w:right w:val="single" w:color="auto" w:sz="4" w:space="0"/>
            </w:tcBorders>
            <w:vAlign w:val="center"/>
          </w:tcPr>
          <w:p>
            <w:pPr>
              <w:widowControl/>
              <w:rPr>
                <w:rFonts w:hint="eastAsia" w:ascii="宋体" w:hAnsi="宋体" w:cs="宋体"/>
                <w:color w:val="000000"/>
                <w:kern w:val="0"/>
                <w:sz w:val="20"/>
                <w:szCs w:val="20"/>
              </w:rPr>
            </w:pPr>
            <w:r>
              <w:rPr>
                <w:rFonts w:hint="eastAsia" w:ascii="宋体" w:hAnsi="宋体" w:cs="宋体"/>
                <w:color w:val="000000"/>
                <w:kern w:val="0"/>
                <w:sz w:val="20"/>
                <w:szCs w:val="20"/>
              </w:rPr>
              <w:t>部门预决算差异率（4）</w:t>
            </w:r>
          </w:p>
        </w:tc>
        <w:tc>
          <w:tcPr>
            <w:tcW w:w="3338" w:type="dxa"/>
            <w:gridSpan w:val="2"/>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4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17.39</w:t>
            </w:r>
          </w:p>
        </w:tc>
        <w:tc>
          <w:tcPr>
            <w:tcW w:w="67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600"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　</w:t>
            </w:r>
          </w:p>
        </w:tc>
        <w:tc>
          <w:tcPr>
            <w:tcW w:w="2717"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通过年度部门决算与年初部门预算对比，对部门的年度支出情况进行考核，衡量部门预算的约束力。</w:t>
            </w:r>
          </w:p>
        </w:tc>
        <w:tc>
          <w:tcPr>
            <w:tcW w:w="449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部门预决算差异率高于市级平均差异率（28.3%）的，每高出10%（含），扣0.4分，扣完为止。</w:t>
            </w:r>
          </w:p>
        </w:tc>
      </w:tr>
      <w:tr>
        <w:tblPrEx>
          <w:tblLayout w:type="fixed"/>
          <w:tblCellMar>
            <w:top w:w="0" w:type="dxa"/>
            <w:left w:w="108" w:type="dxa"/>
            <w:bottom w:w="0" w:type="dxa"/>
            <w:right w:w="108" w:type="dxa"/>
          </w:tblCellMar>
        </w:tblPrEx>
        <w:trPr>
          <w:trHeight w:val="404" w:hRule="atLeast"/>
        </w:trPr>
        <w:tc>
          <w:tcPr>
            <w:tcW w:w="6298"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合计</w:t>
            </w:r>
          </w:p>
        </w:tc>
        <w:tc>
          <w:tcPr>
            <w:tcW w:w="67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w:t>
            </w:r>
          </w:p>
        </w:tc>
        <w:tc>
          <w:tcPr>
            <w:tcW w:w="600"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96</w:t>
            </w:r>
            <w:r>
              <w:rPr>
                <w:rFonts w:hint="eastAsia" w:ascii="宋体" w:hAnsi="宋体" w:cs="宋体"/>
                <w:color w:val="000000"/>
                <w:kern w:val="0"/>
                <w:sz w:val="20"/>
                <w:szCs w:val="20"/>
              </w:rPr>
              <w:t>　</w:t>
            </w:r>
          </w:p>
        </w:tc>
        <w:tc>
          <w:tcPr>
            <w:tcW w:w="721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bl>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项目支出绩效评价报告</w:t>
      </w:r>
    </w:p>
    <w:p>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（参考模板）</w:t>
      </w:r>
    </w:p>
    <w:p>
      <w:pPr>
        <w:jc w:val="center"/>
        <w:rPr>
          <w:rFonts w:hint="eastAsia" w:ascii="仿宋_GB2312" w:eastAsia="仿宋_GB2312"/>
          <w:sz w:val="32"/>
          <w:szCs w:val="32"/>
        </w:rPr>
      </w:pP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一、基本情况</w:t>
      </w:r>
    </w:p>
    <w:p>
      <w:p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（一）项目概况。包括项目背景、主要内容及实施情况、资金投入和使用情况等。</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项目背景：</w:t>
      </w:r>
      <w:r>
        <w:rPr>
          <w:rFonts w:hint="eastAsia" w:ascii="仿宋_GB2312" w:hAnsi="仿宋_GB2312" w:eastAsia="仿宋_GB2312" w:cs="仿宋_GB2312"/>
          <w:sz w:val="32"/>
          <w:szCs w:val="32"/>
        </w:rPr>
        <w:t>根据《全国经济普查条例》《国务院关于开展第五次全国经济普查的通知》（国发〔2022〕22号）和《北京市人民政府关于开展第五次全国经济普查的通知》（京政发〔2023〕2号）要求，</w:t>
      </w:r>
      <w:r>
        <w:rPr>
          <w:rFonts w:hint="eastAsia" w:ascii="仿宋_GB2312" w:hAnsi="仿宋_GB2312" w:eastAsia="仿宋_GB2312" w:cs="仿宋_GB2312"/>
          <w:sz w:val="32"/>
          <w:szCs w:val="32"/>
          <w:lang w:val="en-US" w:eastAsia="zh-CN"/>
        </w:rPr>
        <w:t>2023年，区政府</w:t>
      </w:r>
      <w:r>
        <w:rPr>
          <w:rFonts w:hint="eastAsia" w:ascii="仿宋_GB2312" w:hAnsi="仿宋_GB2312" w:eastAsia="仿宋_GB2312" w:cs="仿宋_GB2312"/>
          <w:sz w:val="32"/>
          <w:szCs w:val="32"/>
        </w:rPr>
        <w:t>印发《北京市密云区人民政府关于开展第五次全国经济普查的通知》（密政发〔2023〕13号）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决定在全区开展第五次全国经济普查</w:t>
      </w:r>
      <w:r>
        <w:rPr>
          <w:rFonts w:hint="eastAsia" w:ascii="仿宋_GB2312" w:hAnsi="仿宋_GB2312" w:eastAsia="仿宋_GB2312" w:cs="仿宋_GB2312"/>
          <w:sz w:val="32"/>
          <w:szCs w:val="32"/>
        </w:rPr>
        <w:t>。为加强对密云区第五次全国经济普查工作的领导，区政府决定成立北京市密云区第五次全国经济普查领导小组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领导小组负责全区经济普查的组织和实施，协调解决普查中的重大问题。普查领导小组由区政府领导同志任组长，成员单位包括区统计局、国家统计局密云调查队等有关部门和单位30多家。领导小组办公室设在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统计局，承担全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经济普查的日常工作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主要内容：</w:t>
      </w:r>
      <w:r>
        <w:rPr>
          <w:rFonts w:hint="eastAsia" w:ascii="仿宋_GB2312" w:hAnsi="仿宋_GB2312" w:eastAsia="仿宋_GB2312" w:cs="仿宋_GB2312"/>
          <w:sz w:val="32"/>
          <w:szCs w:val="32"/>
        </w:rPr>
        <w:t>该项目</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为了全面调查我区第二产业和第三产业的发展规模、布局和效益，摸清各类单位基本情况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根据国务院经普办总体工作部署，经济普查工作分成4个阶段进行。</w:t>
      </w:r>
      <w:r>
        <w:rPr>
          <w:rFonts w:hint="eastAsia" w:ascii="仿宋_GB2312" w:hAnsi="仿宋_GB2312" w:eastAsia="仿宋_GB2312" w:cs="仿宋_GB2312"/>
          <w:sz w:val="32"/>
          <w:szCs w:val="32"/>
          <w:lang w:eastAsia="zh-CN"/>
        </w:rPr>
        <w:t>第一个阶段是</w:t>
      </w:r>
      <w:r>
        <w:rPr>
          <w:rFonts w:hint="eastAsia" w:ascii="仿宋_GB2312" w:hAnsi="仿宋_GB2312" w:eastAsia="仿宋_GB2312" w:cs="仿宋_GB2312"/>
          <w:sz w:val="32"/>
          <w:szCs w:val="32"/>
        </w:rPr>
        <w:t>普查准备阶段（2023年12月31日前）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这一阶段的主要工作是：组建各级普查机构,落实普查所需人、财、物等保障工作，制定普查方案及相关工作细则，普查区划分与绘图，普查指导员、普查员（以下简称“两员”）选聘与培训，实施单位清查，配备数据处理设备，组织宣传动员等工作</w:t>
      </w:r>
      <w:r>
        <w:rPr>
          <w:rFonts w:hint="eastAsia" w:ascii="仿宋_GB2312" w:hAnsi="仿宋_GB2312" w:eastAsia="仿宋_GB2312" w:cs="仿宋_GB2312"/>
          <w:sz w:val="32"/>
          <w:szCs w:val="32"/>
          <w:lang w:eastAsia="zh-CN"/>
        </w:rPr>
        <w:t>；第二个阶段是</w:t>
      </w:r>
      <w:r>
        <w:rPr>
          <w:rFonts w:hint="eastAsia" w:ascii="仿宋_GB2312" w:hAnsi="仿宋_GB2312" w:eastAsia="仿宋_GB2312" w:cs="仿宋_GB2312"/>
          <w:sz w:val="32"/>
          <w:szCs w:val="32"/>
        </w:rPr>
        <w:t>普查登记验收阶段（2024年1－8月）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这一阶段的主要任务是：组织开展普查登记，并对普查数据进行审核、检查和验收工作</w:t>
      </w:r>
      <w:r>
        <w:rPr>
          <w:rFonts w:hint="eastAsia" w:ascii="仿宋_GB2312" w:hAnsi="仿宋_GB2312" w:eastAsia="仿宋_GB2312" w:cs="仿宋_GB2312"/>
          <w:sz w:val="32"/>
          <w:szCs w:val="32"/>
          <w:lang w:eastAsia="zh-CN"/>
        </w:rPr>
        <w:t>；第三个阶段是</w:t>
      </w:r>
      <w:r>
        <w:rPr>
          <w:rFonts w:hint="eastAsia" w:ascii="仿宋_GB2312" w:hAnsi="仿宋_GB2312" w:eastAsia="仿宋_GB2312" w:cs="仿宋_GB2312"/>
          <w:sz w:val="32"/>
          <w:szCs w:val="32"/>
        </w:rPr>
        <w:t>普查数据汇总与评估阶段（2024年6－12月）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这一阶段的主要任务是：组织开展普查登记数据的事后质量抽查、汇总和数据评估</w:t>
      </w:r>
      <w:r>
        <w:rPr>
          <w:rFonts w:hint="eastAsia" w:ascii="仿宋_GB2312" w:hAnsi="仿宋_GB2312" w:eastAsia="仿宋_GB2312" w:cs="仿宋_GB2312"/>
          <w:sz w:val="32"/>
          <w:szCs w:val="32"/>
          <w:lang w:eastAsia="zh-CN"/>
        </w:rPr>
        <w:t>；第四个阶段是</w:t>
      </w:r>
      <w:r>
        <w:rPr>
          <w:rFonts w:hint="eastAsia" w:ascii="仿宋_GB2312" w:hAnsi="仿宋_GB2312" w:eastAsia="仿宋_GB2312" w:cs="仿宋_GB2312"/>
          <w:sz w:val="32"/>
          <w:szCs w:val="32"/>
        </w:rPr>
        <w:t>数据发布</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资料开发阶段（2024年10月－2025年12月）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这一阶段的主要任务是：发布普查主要数据，开展研究分析、建立健全覆盖国民经济各个行业的基本单位名录库，建立普查数据库，编印普查资料，普查资料整理与归档等。</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hint="eastAsia" w:ascii="仿宋_GB2312" w:hAnsi="宋体" w:eastAsia="仿宋_GB2312" w:cs="Arial"/>
          <w:sz w:val="32"/>
          <w:szCs w:val="32"/>
          <w:highlight w:val="none"/>
        </w:rPr>
      </w:pPr>
      <w:r>
        <w:rPr>
          <w:rFonts w:hint="eastAsia" w:ascii="仿宋_GB2312" w:hAnsi="仿宋_GB2312" w:eastAsia="仿宋_GB2312" w:cs="仿宋_GB2312"/>
          <w:b/>
          <w:bCs/>
          <w:sz w:val="32"/>
          <w:szCs w:val="32"/>
          <w:lang w:val="en-US" w:eastAsia="zh-CN"/>
        </w:rPr>
        <w:t>资金投入及使用情况：</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北京市密云区人民政府关于开展第五次全国经济普查的通知</w:t>
      </w:r>
      <w:r>
        <w:rPr>
          <w:rFonts w:hint="eastAsia" w:ascii="仿宋_GB2312" w:hAnsi="仿宋_GB2312" w:eastAsia="仿宋_GB2312" w:cs="仿宋_GB2312"/>
          <w:sz w:val="32"/>
          <w:szCs w:val="32"/>
        </w:rPr>
        <w:t>》（密政发〔2023〕13号）文件要求，普查所需经费由市、区、镇街三级共同负担，并列入相应年度财政预算，按时拨付到位，保障普查工作顺利开展。我单位向区政府申请</w:t>
      </w:r>
      <w:r>
        <w:rPr>
          <w:rFonts w:hint="eastAsia" w:ascii="仿宋_GB2312" w:eastAsia="仿宋_GB2312" w:cs="仿宋_GB2312"/>
          <w:sz w:val="32"/>
          <w:szCs w:val="32"/>
        </w:rPr>
        <w:t>区</w:t>
      </w:r>
      <w:r>
        <w:rPr>
          <w:rFonts w:hint="eastAsia" w:ascii="仿宋_GB2312" w:eastAsia="仿宋_GB2312" w:cs="仿宋_GB2312"/>
          <w:sz w:val="32"/>
          <w:szCs w:val="32"/>
          <w:lang w:eastAsia="zh-CN"/>
        </w:rPr>
        <w:t>级</w:t>
      </w:r>
      <w:r>
        <w:rPr>
          <w:rFonts w:hint="eastAsia" w:ascii="仿宋_GB2312" w:eastAsia="仿宋_GB2312" w:cs="仿宋_GB2312"/>
          <w:sz w:val="32"/>
          <w:szCs w:val="32"/>
        </w:rPr>
        <w:t>负担范围的</w:t>
      </w:r>
      <w:r>
        <w:rPr>
          <w:rFonts w:hint="eastAsia" w:ascii="仿宋_GB2312" w:eastAsia="仿宋_GB2312" w:cs="仿宋_GB2312"/>
          <w:sz w:val="32"/>
          <w:szCs w:val="32"/>
          <w:lang w:eastAsia="zh-CN"/>
        </w:rPr>
        <w:t>五经普</w:t>
      </w:r>
      <w:r>
        <w:rPr>
          <w:rFonts w:hint="eastAsia" w:ascii="仿宋_GB2312" w:eastAsia="仿宋_GB2312" w:cs="仿宋_GB2312"/>
          <w:sz w:val="32"/>
          <w:szCs w:val="32"/>
        </w:rPr>
        <w:t>经费项目</w:t>
      </w:r>
      <w:r>
        <w:rPr>
          <w:rFonts w:hint="eastAsia" w:ascii="仿宋_GB2312" w:eastAsia="仿宋_GB2312" w:cs="仿宋_GB2312"/>
          <w:sz w:val="32"/>
          <w:szCs w:val="32"/>
          <w:lang w:eastAsia="zh-CN"/>
        </w:rPr>
        <w:t>预算</w:t>
      </w:r>
      <w:r>
        <w:rPr>
          <w:rFonts w:hint="eastAsia" w:ascii="仿宋_GB2312" w:hAnsi="仿宋_GB2312" w:eastAsia="仿宋_GB2312" w:cs="仿宋_GB2312"/>
          <w:sz w:val="32"/>
          <w:szCs w:val="32"/>
          <w:lang w:eastAsia="zh-CN"/>
        </w:rPr>
        <w:t>经费</w:t>
      </w:r>
      <w:r>
        <w:rPr>
          <w:rFonts w:hint="eastAsia" w:ascii="仿宋_GB2312" w:eastAsia="仿宋_GB2312" w:cs="仿宋_GB2312"/>
          <w:sz w:val="32"/>
          <w:szCs w:val="32"/>
          <w:lang w:val="en-US" w:eastAsia="zh-CN"/>
        </w:rPr>
        <w:t>1304.06</w:t>
      </w:r>
      <w:r>
        <w:rPr>
          <w:rFonts w:hint="eastAsia" w:ascii="仿宋_GB2312" w:eastAsia="仿宋_GB2312" w:cs="仿宋_GB2312"/>
          <w:sz w:val="32"/>
          <w:szCs w:val="32"/>
        </w:rPr>
        <w:t>万元</w:t>
      </w:r>
      <w:r>
        <w:rPr>
          <w:rFonts w:hint="eastAsia" w:ascii="仿宋_GB2312" w:eastAsia="仿宋_GB2312" w:cs="仿宋_GB2312"/>
          <w:sz w:val="32"/>
          <w:szCs w:val="32"/>
          <w:lang w:eastAsia="zh-CN"/>
        </w:rPr>
        <w:t>，经区财政评审通过</w:t>
      </w:r>
      <w:r>
        <w:rPr>
          <w:rFonts w:hint="eastAsia" w:ascii="仿宋_GB2312" w:hAnsi="宋体" w:eastAsia="仿宋_GB2312" w:cs="Arial"/>
          <w:sz w:val="32"/>
          <w:szCs w:val="32"/>
          <w:lang w:val="en-US" w:eastAsia="zh-CN"/>
        </w:rPr>
        <w:t>1154.14</w:t>
      </w:r>
      <w:r>
        <w:rPr>
          <w:rFonts w:hint="eastAsia" w:ascii="仿宋_GB2312" w:eastAsia="仿宋_GB2312" w:cs="仿宋_GB2312"/>
          <w:sz w:val="32"/>
          <w:szCs w:val="32"/>
        </w:rPr>
        <w:t>万元</w:t>
      </w:r>
      <w:r>
        <w:rPr>
          <w:rFonts w:hint="eastAsia" w:ascii="仿宋_GB2312" w:hAnsi="宋体" w:eastAsia="仿宋_GB2312" w:cs="Arial"/>
          <w:sz w:val="32"/>
          <w:szCs w:val="32"/>
          <w:lang w:eastAsia="zh-CN"/>
        </w:rPr>
        <w:t>，其中</w:t>
      </w:r>
      <w:r>
        <w:rPr>
          <w:rFonts w:hint="eastAsia" w:ascii="仿宋_GB2312" w:hAnsi="宋体" w:eastAsia="仿宋_GB2312" w:cs="Arial"/>
          <w:sz w:val="32"/>
          <w:szCs w:val="32"/>
          <w:highlight w:val="none"/>
        </w:rPr>
        <w:t>20</w:t>
      </w:r>
      <w:r>
        <w:rPr>
          <w:rFonts w:hint="eastAsia" w:ascii="仿宋_GB2312" w:hAnsi="宋体" w:eastAsia="仿宋_GB2312" w:cs="Arial"/>
          <w:sz w:val="32"/>
          <w:szCs w:val="32"/>
          <w:highlight w:val="none"/>
          <w:lang w:val="en-US" w:eastAsia="zh-CN"/>
        </w:rPr>
        <w:t>23</w:t>
      </w:r>
      <w:r>
        <w:rPr>
          <w:rFonts w:hint="eastAsia" w:ascii="仿宋_GB2312" w:hAnsi="宋体" w:eastAsia="仿宋_GB2312" w:cs="Arial"/>
          <w:sz w:val="32"/>
          <w:szCs w:val="32"/>
          <w:highlight w:val="none"/>
        </w:rPr>
        <w:t>年</w:t>
      </w:r>
      <w:r>
        <w:rPr>
          <w:rFonts w:hint="eastAsia" w:ascii="仿宋_GB2312" w:hAnsi="宋体" w:eastAsia="仿宋_GB2312" w:cs="Arial"/>
          <w:sz w:val="32"/>
          <w:szCs w:val="32"/>
          <w:highlight w:val="none"/>
          <w:lang w:eastAsia="zh-CN"/>
        </w:rPr>
        <w:t>为</w:t>
      </w:r>
      <w:r>
        <w:rPr>
          <w:rFonts w:hint="eastAsia" w:ascii="仿宋_GB2312" w:hAnsi="宋体" w:eastAsia="仿宋_GB2312" w:cs="Arial"/>
          <w:sz w:val="32"/>
          <w:szCs w:val="32"/>
          <w:highlight w:val="none"/>
          <w:lang w:val="en-US" w:eastAsia="zh-CN"/>
        </w:rPr>
        <w:t>637.00</w:t>
      </w:r>
      <w:r>
        <w:rPr>
          <w:rFonts w:hint="eastAsia" w:ascii="仿宋_GB2312" w:hAnsi="宋体" w:eastAsia="仿宋_GB2312" w:cs="Arial"/>
          <w:sz w:val="32"/>
          <w:szCs w:val="32"/>
          <w:highlight w:val="none"/>
        </w:rPr>
        <w:t>万元，20</w:t>
      </w:r>
      <w:r>
        <w:rPr>
          <w:rFonts w:hint="eastAsia" w:ascii="仿宋_GB2312" w:hAnsi="宋体" w:eastAsia="仿宋_GB2312" w:cs="Arial"/>
          <w:sz w:val="32"/>
          <w:szCs w:val="32"/>
          <w:highlight w:val="none"/>
          <w:lang w:val="en-US" w:eastAsia="zh-CN"/>
        </w:rPr>
        <w:t>24</w:t>
      </w:r>
      <w:r>
        <w:rPr>
          <w:rFonts w:hint="eastAsia" w:ascii="仿宋_GB2312" w:hAnsi="宋体" w:eastAsia="仿宋_GB2312" w:cs="Arial"/>
          <w:sz w:val="32"/>
          <w:szCs w:val="32"/>
          <w:highlight w:val="none"/>
        </w:rPr>
        <w:t>年</w:t>
      </w:r>
      <w:r>
        <w:rPr>
          <w:rFonts w:hint="eastAsia" w:ascii="仿宋_GB2312" w:hAnsi="宋体" w:eastAsia="仿宋_GB2312" w:cs="Arial"/>
          <w:sz w:val="32"/>
          <w:szCs w:val="32"/>
          <w:highlight w:val="none"/>
          <w:lang w:eastAsia="zh-CN"/>
        </w:rPr>
        <w:t>为</w:t>
      </w:r>
      <w:r>
        <w:rPr>
          <w:rFonts w:hint="eastAsia" w:ascii="仿宋_GB2312" w:hAnsi="宋体" w:eastAsia="仿宋_GB2312" w:cs="Arial"/>
          <w:sz w:val="32"/>
          <w:szCs w:val="32"/>
          <w:highlight w:val="none"/>
          <w:lang w:val="en-US" w:eastAsia="zh-CN"/>
        </w:rPr>
        <w:t>486.14</w:t>
      </w:r>
      <w:r>
        <w:rPr>
          <w:rFonts w:hint="eastAsia" w:ascii="仿宋_GB2312" w:hAnsi="宋体" w:eastAsia="仿宋_GB2312" w:cs="Arial"/>
          <w:sz w:val="32"/>
          <w:szCs w:val="32"/>
          <w:highlight w:val="none"/>
        </w:rPr>
        <w:t>万元，20</w:t>
      </w:r>
      <w:r>
        <w:rPr>
          <w:rFonts w:hint="eastAsia" w:ascii="仿宋_GB2312" w:hAnsi="宋体" w:eastAsia="仿宋_GB2312" w:cs="Arial"/>
          <w:sz w:val="32"/>
          <w:szCs w:val="32"/>
          <w:highlight w:val="none"/>
          <w:lang w:val="en-US" w:eastAsia="zh-CN"/>
        </w:rPr>
        <w:t>25</w:t>
      </w:r>
      <w:r>
        <w:rPr>
          <w:rFonts w:hint="eastAsia" w:ascii="仿宋_GB2312" w:hAnsi="宋体" w:eastAsia="仿宋_GB2312" w:cs="Arial"/>
          <w:sz w:val="32"/>
          <w:szCs w:val="32"/>
          <w:highlight w:val="none"/>
        </w:rPr>
        <w:t>年</w:t>
      </w:r>
      <w:r>
        <w:rPr>
          <w:rFonts w:hint="eastAsia" w:ascii="仿宋_GB2312" w:hAnsi="宋体" w:eastAsia="仿宋_GB2312" w:cs="Arial"/>
          <w:sz w:val="32"/>
          <w:szCs w:val="32"/>
          <w:highlight w:val="none"/>
          <w:lang w:eastAsia="zh-CN"/>
        </w:rPr>
        <w:t>为</w:t>
      </w:r>
      <w:r>
        <w:rPr>
          <w:rFonts w:hint="eastAsia" w:ascii="仿宋_GB2312" w:hAnsi="宋体" w:eastAsia="仿宋_GB2312" w:cs="Arial"/>
          <w:sz w:val="32"/>
          <w:szCs w:val="32"/>
          <w:highlight w:val="none"/>
          <w:lang w:val="en-US" w:eastAsia="zh-CN"/>
        </w:rPr>
        <w:t>31.00</w:t>
      </w:r>
      <w:r>
        <w:rPr>
          <w:rFonts w:hint="eastAsia" w:ascii="仿宋_GB2312" w:hAnsi="宋体" w:eastAsia="仿宋_GB2312" w:cs="Arial"/>
          <w:sz w:val="32"/>
          <w:szCs w:val="32"/>
          <w:highlight w:val="none"/>
        </w:rPr>
        <w:t>万元。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hint="eastAsia"/>
        </w:rPr>
      </w:pPr>
      <w:r>
        <w:rPr>
          <w:rFonts w:hint="eastAsia" w:ascii="仿宋_GB2312" w:hAnsi="宋体" w:eastAsia="仿宋_GB2312" w:cs="Arial"/>
          <w:sz w:val="32"/>
          <w:szCs w:val="32"/>
          <w:highlight w:val="none"/>
          <w:lang w:eastAsia="zh-CN"/>
        </w:rPr>
        <w:t>从</w:t>
      </w:r>
      <w:r>
        <w:rPr>
          <w:rFonts w:hint="eastAsia" w:ascii="仿宋_GB2312" w:hAnsi="宋体" w:eastAsia="仿宋_GB2312" w:cs="Arial"/>
          <w:sz w:val="32"/>
          <w:szCs w:val="32"/>
          <w:highlight w:val="none"/>
          <w:lang w:val="en-US" w:eastAsia="zh-CN"/>
        </w:rPr>
        <w:t>2023年预算项目看，具体包括印刷费4.55万元、办公设备及业务保障费46.75万元、培训费52.63万元、人员聘用费369.00万元、数据采集终端设备租赁运行维护及相关费用115.32万元、宣传费33.00万元、投入产出调查费用1.40万元、其他费用14.35万元,共计637.00万元。若剔除270.00万元普查员聘用费（由区财政直接向各镇街拨付），2023年预算为367.00万元，全年执行数为328.13万元，执行率为89.00%。</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（二）项目绩效目标。包括总体目标和阶段性目标。</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总目标：</w:t>
      </w:r>
      <w:r>
        <w:rPr>
          <w:rFonts w:hint="eastAsia" w:ascii="仿宋_GB2312" w:hAnsi="仿宋_GB2312" w:eastAsia="仿宋_GB2312" w:cs="仿宋_GB2312"/>
          <w:sz w:val="32"/>
          <w:szCs w:val="32"/>
        </w:rPr>
        <w:t>第五次全国经济普查是一项重大的国情国力调查，将首次统筹开展投入产出调查，全面调查全区第二产业和第三产业发展规模、布局和效益，摸清各类单位基本情况，掌握国民经济行业间经济联系，客观反映在巩固提升生态涵养区战略定位、推动绿色高质量发展、融入“两区”和国际消费中心城市建设、重点园区经济建设，以及数字经济发展、创新驱动发展、供给侧结构性改革、生态文明建设、健全基本公共服务体系等方面取得的新进展。通过普查，进一步夯实统计基础，推进符合首都特点的统计现代化改革，为加强和改善宏观经济治理、科学制定中长期发展规划、推动新时代密云发展提供科学准确的统计信息支持，为建设美丽北京、谱写现代化建设密云篇章提供坚强的统计保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2023年阶段性目标主要是：</w:t>
      </w:r>
      <w:r>
        <w:rPr>
          <w:rFonts w:hint="eastAsia" w:ascii="仿宋_GB2312" w:hAnsi="仿宋_GB2312" w:eastAsia="仿宋_GB2312" w:cs="仿宋_GB2312"/>
          <w:sz w:val="32"/>
          <w:szCs w:val="32"/>
          <w:lang w:val="en-US" w:eastAsia="zh-CN"/>
        </w:rPr>
        <w:t>组建各级普查机构,落实普查所需人、财、物等保障工作，制定相关工作细则，普查区划分与绘图，普查指导员、普查员选聘与培训，实施单位清查，配备数据处理设备，组织宣传动员等。</w:t>
      </w:r>
    </w:p>
    <w:p>
      <w:pPr>
        <w:keepNext w:val="0"/>
        <w:keepLines w:val="0"/>
        <w:pageBreakBefore w:val="0"/>
        <w:widowControl w:val="0"/>
        <w:numPr>
          <w:ilvl w:val="0"/>
          <w:numId w:val="5"/>
        </w:numPr>
        <w:kinsoku/>
        <w:wordWrap/>
        <w:overflowPunct/>
        <w:topLinePunct w:val="0"/>
        <w:autoSpaceDE/>
        <w:autoSpaceDN/>
        <w:bidi w:val="0"/>
        <w:adjustRightInd/>
        <w:spacing w:line="560" w:lineRule="exact"/>
        <w:ind w:firstLine="640" w:firstLineChars="200"/>
        <w:textAlignment w:val="auto"/>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项目完成情况（</w:t>
      </w:r>
      <w:r>
        <w:rPr>
          <w:rFonts w:hint="eastAsia" w:ascii="楷体_GB2312" w:hAnsi="楷体_GB2312" w:eastAsia="楷体_GB2312" w:cs="楷体_GB2312"/>
          <w:sz w:val="32"/>
          <w:szCs w:val="32"/>
          <w:lang w:val="en-US" w:eastAsia="zh-CN"/>
        </w:rPr>
        <w:t>2023年度</w:t>
      </w:r>
      <w:r>
        <w:rPr>
          <w:rFonts w:hint="eastAsia" w:ascii="楷体_GB2312" w:hAnsi="楷体_GB2312" w:eastAsia="楷体_GB2312" w:cs="楷体_GB2312"/>
          <w:sz w:val="32"/>
          <w:szCs w:val="32"/>
          <w:lang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通过精心组织实施，密云区圆满完成了2023年度普查准备阶段各项工作任务，具体完成情况如下：</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Calibri"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sz w:val="32"/>
          <w:szCs w:val="32"/>
          <w:lang w:val="en-US" w:eastAsia="zh-CN"/>
        </w:rPr>
        <w:t>一是完成机构组建。2023年区政府印发了《北京市密云区人民政府关于开展第五次全国经济普查的通知》，成立了以区委常委、常务副区长王永浩为组长、全区30余家单位组成的密云区五经普领导小组及办公室，负责组织实施全区五经普工作。全区21个镇街、中关村密云园管委会以及下辖村（居）均成立了相应的普查机构</w:t>
      </w:r>
      <w:r>
        <w:rPr>
          <w:rFonts w:hint="eastAsia" w:ascii="仿宋_GB2312" w:hAnsi="Calibri" w:eastAsia="仿宋_GB2312" w:cs="仿宋_GB2312"/>
          <w:i w:val="0"/>
          <w:caps w:val="0"/>
          <w:color w:val="000000"/>
          <w:spacing w:val="0"/>
          <w:kern w:val="0"/>
          <w:sz w:val="32"/>
          <w:szCs w:val="32"/>
          <w:shd w:val="clear" w:fill="FFFFFF"/>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Calibri" w:eastAsia="仿宋_GB2312" w:cs="Times New Roman"/>
          <w:b w:val="0"/>
          <w:bCs w:val="0"/>
          <w:sz w:val="32"/>
          <w:szCs w:val="32"/>
          <w:lang w:val="en-US" w:eastAsia="zh-CN"/>
        </w:rPr>
      </w:pPr>
      <w:r>
        <w:rPr>
          <w:rFonts w:hint="eastAsia" w:ascii="仿宋_GB2312" w:hAnsi="Calibri" w:eastAsia="仿宋_GB2312" w:cs="仿宋_GB2312"/>
          <w:i w:val="0"/>
          <w:caps w:val="0"/>
          <w:color w:val="000000"/>
          <w:spacing w:val="0"/>
          <w:kern w:val="0"/>
          <w:sz w:val="32"/>
          <w:szCs w:val="32"/>
          <w:shd w:val="clear" w:fill="FFFFFF"/>
          <w:lang w:val="en-US" w:eastAsia="zh-CN" w:bidi="ar"/>
        </w:rPr>
        <w:t>二是落实各项保障工作。</w:t>
      </w:r>
      <w:r>
        <w:rPr>
          <w:rFonts w:hint="eastAsia" w:ascii="仿宋_GB2312" w:hAnsi="Calibri" w:eastAsia="仿宋_GB2312" w:cs="Times New Roman"/>
          <w:b w:val="0"/>
          <w:bCs w:val="0"/>
          <w:sz w:val="32"/>
          <w:szCs w:val="32"/>
          <w:lang w:val="en-US" w:eastAsia="zh-CN"/>
        </w:rPr>
        <w:t>落实经费保障</w:t>
      </w:r>
      <w:r>
        <w:rPr>
          <w:rFonts w:hint="eastAsia" w:ascii="仿宋_GB2312" w:eastAsia="仿宋_GB2312" w:cs="Times New Roman"/>
          <w:b w:val="0"/>
          <w:bCs w:val="0"/>
          <w:sz w:val="32"/>
          <w:szCs w:val="32"/>
          <w:lang w:val="en-US" w:eastAsia="zh-CN"/>
        </w:rPr>
        <w:t>，</w:t>
      </w:r>
      <w:r>
        <w:rPr>
          <w:rFonts w:hint="eastAsia" w:ascii="仿宋_GB2312" w:hAnsi="仿宋_GB2312" w:eastAsia="仿宋_GB2312" w:cs="仿宋_GB2312"/>
          <w:sz w:val="32"/>
          <w:szCs w:val="32"/>
          <w:lang w:val="en-US" w:eastAsia="zh-CN"/>
        </w:rPr>
        <w:t>制定</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密云区</w:t>
      </w:r>
      <w:r>
        <w:rPr>
          <w:rFonts w:hint="eastAsia" w:ascii="仿宋_GB2312" w:hAnsi="仿宋_GB2312" w:eastAsia="仿宋_GB2312" w:cs="仿宋_GB2312"/>
          <w:b w:val="0"/>
          <w:bCs/>
          <w:sz w:val="32"/>
          <w:szCs w:val="32"/>
        </w:rPr>
        <w:t>第五次全国经济普查专项经费管理办法》</w:t>
      </w:r>
      <w:r>
        <w:rPr>
          <w:rFonts w:hint="eastAsia" w:ascii="仿宋_GB2312" w:hAnsi="仿宋_GB2312" w:eastAsia="仿宋_GB2312" w:cs="仿宋_GB2312"/>
          <w:b w:val="0"/>
          <w:bCs/>
          <w:sz w:val="32"/>
          <w:szCs w:val="32"/>
          <w:lang w:eastAsia="zh-CN"/>
        </w:rPr>
        <w:t>，并</w:t>
      </w:r>
      <w:r>
        <w:rPr>
          <w:rFonts w:hint="eastAsia" w:ascii="仿宋_GB2312" w:hAnsi="仿宋_GB2312" w:eastAsia="仿宋_GB2312" w:cs="仿宋_GB2312"/>
          <w:sz w:val="32"/>
          <w:szCs w:val="32"/>
          <w:lang w:eastAsia="zh-CN"/>
        </w:rPr>
        <w:t>与区财政局、区人保局专题研究五经普选调兼职“两员”补助标准，按时发放“两员”经费；</w:t>
      </w:r>
      <w:r>
        <w:rPr>
          <w:rFonts w:hint="eastAsia" w:ascii="仿宋_GB2312" w:hAnsi="Calibri" w:eastAsia="仿宋_GB2312" w:cs="Times New Roman"/>
          <w:b w:val="0"/>
          <w:bCs w:val="0"/>
          <w:sz w:val="32"/>
          <w:szCs w:val="32"/>
          <w:lang w:val="en-US" w:eastAsia="zh-CN"/>
        </w:rPr>
        <w:t>做好物资管理</w:t>
      </w:r>
      <w:r>
        <w:rPr>
          <w:rFonts w:hint="eastAsia" w:ascii="仿宋_GB2312" w:eastAsia="仿宋_GB2312" w:cs="Times New Roman"/>
          <w:b w:val="0"/>
          <w:bCs w:val="0"/>
          <w:sz w:val="32"/>
          <w:szCs w:val="32"/>
          <w:lang w:val="en-US" w:eastAsia="zh-CN"/>
        </w:rPr>
        <w:t>，</w:t>
      </w:r>
      <w:r>
        <w:rPr>
          <w:rFonts w:hint="eastAsia" w:ascii="仿宋_GB2312" w:hAnsi="Calibri" w:eastAsia="仿宋_GB2312" w:cs="Times New Roman"/>
          <w:b w:val="0"/>
          <w:bCs w:val="0"/>
          <w:sz w:val="32"/>
          <w:szCs w:val="32"/>
          <w:lang w:val="en-US" w:eastAsia="zh-CN"/>
        </w:rPr>
        <w:t>科学分配物资数量，通过“快递”、“会议下发”、“乡镇领取”等方式结合，最大限度提高发放效率；统筹安排高效用车</w:t>
      </w:r>
      <w:r>
        <w:rPr>
          <w:rFonts w:hint="eastAsia" w:ascii="仿宋_GB2312" w:eastAsia="仿宋_GB2312" w:cs="Times New Roman"/>
          <w:b w:val="0"/>
          <w:bCs w:val="0"/>
          <w:sz w:val="32"/>
          <w:szCs w:val="32"/>
          <w:lang w:val="en-US" w:eastAsia="zh-CN"/>
        </w:rPr>
        <w:t>，</w:t>
      </w:r>
      <w:r>
        <w:rPr>
          <w:rFonts w:hint="eastAsia" w:ascii="仿宋_GB2312" w:hAnsi="Calibri" w:eastAsia="仿宋_GB2312" w:cs="Times New Roman"/>
          <w:b w:val="0"/>
          <w:bCs w:val="0"/>
          <w:sz w:val="32"/>
          <w:szCs w:val="32"/>
          <w:lang w:val="en-US" w:eastAsia="zh-CN"/>
        </w:rPr>
        <w:t>规范用车要求及流程，将普查租车纳入单位用车统一管理，确保高质量完成经济普查各项出行任务。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sz w:val="32"/>
          <w:szCs w:val="32"/>
        </w:rPr>
      </w:pPr>
      <w:r>
        <w:rPr>
          <w:rFonts w:hint="eastAsia" w:ascii="仿宋_GB2312" w:hAnsi="仿宋_GB2312" w:eastAsia="仿宋_GB2312" w:cs="仿宋_GB2312"/>
          <w:b w:val="0"/>
          <w:bCs w:val="0"/>
          <w:sz w:val="32"/>
          <w:szCs w:val="32"/>
          <w:lang w:val="en-US" w:eastAsia="zh-CN"/>
        </w:rPr>
        <w:t>三是加强设备管理。</w:t>
      </w:r>
      <w:r>
        <w:rPr>
          <w:rFonts w:hint="eastAsia" w:ascii="仿宋_GB2312" w:hAnsi="仿宋_GB2312" w:eastAsia="仿宋_GB2312" w:cs="仿宋_GB2312"/>
          <w:sz w:val="32"/>
          <w:szCs w:val="32"/>
          <w:lang w:val="en-US" w:eastAsia="zh-CN"/>
        </w:rPr>
        <w:t>区经普办共租赁手持电子终端设备930台，制定印发了《北京市密云区第五次全国经济普查手持电子终端设备管理办法》，对手持电子终端设备的配发、使用、管理、维修、回收等方面进行具体规定。</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Calibri" w:eastAsia="仿宋_GB2312" w:cs="Times New Roman"/>
          <w:b w:val="0"/>
          <w:bCs w:val="0"/>
          <w:sz w:val="32"/>
          <w:szCs w:val="32"/>
          <w:lang w:val="en-US" w:eastAsia="zh-CN"/>
        </w:rPr>
      </w:pPr>
      <w:r>
        <w:rPr>
          <w:rFonts w:hint="eastAsia" w:ascii="仿宋_GB2312" w:eastAsia="仿宋_GB2312" w:cs="Times New Roman"/>
          <w:b w:val="0"/>
          <w:bCs w:val="0"/>
          <w:sz w:val="32"/>
          <w:szCs w:val="32"/>
          <w:lang w:val="en-US" w:eastAsia="zh-CN"/>
        </w:rPr>
        <w:t>四</w:t>
      </w:r>
      <w:r>
        <w:rPr>
          <w:rFonts w:hint="eastAsia" w:ascii="仿宋_GB2312" w:hAnsi="Calibri" w:eastAsia="仿宋_GB2312" w:cs="Times New Roman"/>
          <w:b w:val="0"/>
          <w:bCs w:val="0"/>
          <w:sz w:val="32"/>
          <w:szCs w:val="32"/>
          <w:lang w:val="en-US" w:eastAsia="zh-CN"/>
        </w:rPr>
        <w:t>是完善工作机制。制定</w:t>
      </w:r>
      <w:r>
        <w:rPr>
          <w:rFonts w:hint="eastAsia" w:ascii="仿宋_GB2312" w:eastAsia="仿宋_GB2312" w:cs="Times New Roman"/>
          <w:b w:val="0"/>
          <w:bCs w:val="0"/>
          <w:sz w:val="32"/>
          <w:szCs w:val="32"/>
          <w:lang w:val="en-US" w:eastAsia="zh-CN"/>
        </w:rPr>
        <w:t>并印发</w:t>
      </w:r>
      <w:r>
        <w:rPr>
          <w:rFonts w:hint="eastAsia" w:ascii="仿宋_GB2312" w:hAnsi="Calibri" w:eastAsia="仿宋_GB2312" w:cs="Times New Roman"/>
          <w:b w:val="0"/>
          <w:bCs w:val="0"/>
          <w:sz w:val="32"/>
          <w:szCs w:val="32"/>
          <w:lang w:val="en-US" w:eastAsia="zh-CN"/>
        </w:rPr>
        <w:t>《密云区第五次全国经济普查领导小组办公室工作制度》《北京市密云区第五次全国经济普查工作安排》《北京市密云区第五次全国经济普查手持电子终端设备管理办法》等管理类</w:t>
      </w:r>
      <w:r>
        <w:rPr>
          <w:rFonts w:hint="eastAsia" w:ascii="仿宋_GB2312" w:eastAsia="仿宋_GB2312" w:cs="Times New Roman"/>
          <w:b w:val="0"/>
          <w:bCs w:val="0"/>
          <w:sz w:val="32"/>
          <w:szCs w:val="32"/>
          <w:lang w:val="en-US" w:eastAsia="zh-CN"/>
        </w:rPr>
        <w:t>、</w:t>
      </w:r>
      <w:r>
        <w:rPr>
          <w:rFonts w:hint="eastAsia" w:ascii="仿宋_GB2312" w:hAnsi="Calibri" w:eastAsia="仿宋_GB2312" w:cs="Times New Roman"/>
          <w:b w:val="0"/>
          <w:bCs w:val="0"/>
          <w:sz w:val="32"/>
          <w:szCs w:val="32"/>
          <w:lang w:val="en-US" w:eastAsia="zh-CN"/>
        </w:rPr>
        <w:t>业务类文件</w:t>
      </w:r>
      <w:r>
        <w:rPr>
          <w:rFonts w:hint="eastAsia" w:ascii="仿宋_GB2312" w:eastAsia="仿宋_GB2312" w:cs="Times New Roman"/>
          <w:b w:val="0"/>
          <w:bCs w:val="0"/>
          <w:sz w:val="32"/>
          <w:szCs w:val="32"/>
          <w:lang w:val="en-US" w:eastAsia="zh-CN"/>
        </w:rPr>
        <w:t>共20余项，</w:t>
      </w:r>
      <w:r>
        <w:rPr>
          <w:rFonts w:hint="eastAsia" w:ascii="仿宋_GB2312" w:hAnsi="Calibri" w:eastAsia="仿宋_GB2312" w:cs="Times New Roman"/>
          <w:b w:val="0"/>
          <w:bCs w:val="0"/>
          <w:sz w:val="32"/>
          <w:szCs w:val="32"/>
          <w:lang w:val="en-US" w:eastAsia="zh-CN"/>
        </w:rPr>
        <w:t>明确工作流程和普查整体工作安排。</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eastAsia="仿宋_GB2312" w:cs="仿宋_GB2312"/>
          <w:i w:val="0"/>
          <w:caps w:val="0"/>
          <w:color w:val="000000"/>
          <w:spacing w:val="0"/>
          <w:kern w:val="0"/>
          <w:sz w:val="32"/>
          <w:szCs w:val="32"/>
          <w:shd w:val="clear" w:fill="FFFFFF"/>
          <w:lang w:val="en-US" w:eastAsia="zh-CN" w:bidi="ar"/>
        </w:rPr>
        <w:t>五</w:t>
      </w:r>
      <w:r>
        <w:rPr>
          <w:rFonts w:hint="eastAsia" w:ascii="仿宋_GB2312" w:hAnsi="Calibri" w:eastAsia="仿宋_GB2312" w:cs="仿宋_GB2312"/>
          <w:i w:val="0"/>
          <w:caps w:val="0"/>
          <w:color w:val="000000"/>
          <w:spacing w:val="0"/>
          <w:kern w:val="0"/>
          <w:sz w:val="32"/>
          <w:szCs w:val="32"/>
          <w:shd w:val="clear" w:fill="FFFFFF"/>
          <w:lang w:val="en-US" w:eastAsia="zh-CN" w:bidi="ar"/>
        </w:rPr>
        <w:t>是完成“两员”选聘及管理。</w:t>
      </w:r>
      <w:r>
        <w:rPr>
          <w:rFonts w:hint="eastAsia" w:ascii="仿宋_GB2312" w:hAnsi="仿宋_GB2312" w:eastAsia="仿宋_GB2312" w:cs="仿宋_GB2312"/>
          <w:sz w:val="32"/>
          <w:szCs w:val="32"/>
          <w:lang w:eastAsia="zh-CN"/>
        </w:rPr>
        <w:t>区经普办结合工作实际制定并下发《指导员和普查员选聘及管理工作方案》，明确两员选聘及管理具体要求，组织开展了普查机构人员及两员的</w:t>
      </w:r>
      <w:r>
        <w:rPr>
          <w:rFonts w:hint="eastAsia" w:ascii="仿宋_GB2312" w:hAnsi="仿宋_GB2312" w:eastAsia="仿宋_GB2312" w:cs="仿宋_GB2312"/>
          <w:sz w:val="32"/>
          <w:szCs w:val="32"/>
        </w:rPr>
        <w:t>培训、考试</w:t>
      </w:r>
      <w:r>
        <w:rPr>
          <w:rFonts w:hint="eastAsia" w:ascii="仿宋_GB2312" w:hAnsi="仿宋_GB2312" w:eastAsia="仿宋_GB2312" w:cs="仿宋_GB2312"/>
          <w:sz w:val="32"/>
          <w:szCs w:val="32"/>
          <w:lang w:eastAsia="zh-CN"/>
        </w:rPr>
        <w:t>、制证，</w:t>
      </w:r>
      <w:r>
        <w:rPr>
          <w:rFonts w:hint="eastAsia" w:ascii="仿宋_GB2312" w:hAnsi="Calibri" w:eastAsia="仿宋_GB2312" w:cs="Times New Roman"/>
          <w:sz w:val="32"/>
          <w:szCs w:val="32"/>
          <w:lang w:val="en-US" w:eastAsia="zh-CN"/>
        </w:rPr>
        <w:t>2023年各级普查机构参与普查人员共计2700余人，其中</w:t>
      </w:r>
      <w:r>
        <w:rPr>
          <w:rFonts w:hint="eastAsia" w:ascii="仿宋_GB2312" w:hAnsi="仿宋_GB2312" w:eastAsia="仿宋_GB2312" w:cs="仿宋_GB2312"/>
          <w:sz w:val="32"/>
          <w:szCs w:val="32"/>
          <w:highlight w:val="none"/>
          <w:lang w:eastAsia="zh-CN"/>
        </w:rPr>
        <w:t>普查指导员和普查员</w:t>
      </w:r>
      <w:r>
        <w:rPr>
          <w:rFonts w:hint="eastAsia" w:ascii="仿宋_GB2312" w:hAnsi="仿宋_GB2312" w:eastAsia="仿宋_GB2312" w:cs="仿宋_GB2312"/>
          <w:sz w:val="32"/>
          <w:szCs w:val="32"/>
          <w:highlight w:val="none"/>
          <w:lang w:val="en-US" w:eastAsia="zh-CN"/>
        </w:rPr>
        <w:t>1200余人。</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六是完成普查区划分与绘图。</w:t>
      </w:r>
      <w:r>
        <w:rPr>
          <w:rFonts w:hint="eastAsia" w:ascii="仿宋_GB2312" w:hAnsi="仿宋_GB2312" w:eastAsia="仿宋_GB2312" w:cs="仿宋_GB2312"/>
          <w:sz w:val="32"/>
          <w:szCs w:val="32"/>
          <w:lang w:eastAsia="zh-CN"/>
        </w:rPr>
        <w:t>召开密云区五经普人员管理系统及普查区划分工作培训会对普查区划分及绘图工作进行了培训，现场实操完成了大部分镇街普查区边界确认及划分，并</w:t>
      </w:r>
      <w:r>
        <w:rPr>
          <w:rFonts w:hint="eastAsia" w:ascii="仿宋_GB2312" w:eastAsia="仿宋_GB2312"/>
          <w:sz w:val="32"/>
          <w:szCs w:val="32"/>
          <w:lang w:val="en-US" w:eastAsia="zh-CN"/>
        </w:rPr>
        <w:t>在规定时限内</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lang w:val="en-US" w:eastAsia="zh-CN"/>
        </w:rPr>
        <w:t>了所有</w:t>
      </w:r>
      <w:r>
        <w:rPr>
          <w:rFonts w:hint="eastAsia" w:ascii="仿宋_GB2312" w:hAnsi="仿宋_GB2312" w:eastAsia="仿宋_GB2312" w:cs="仿宋_GB2312"/>
          <w:sz w:val="32"/>
          <w:szCs w:val="32"/>
          <w:lang w:eastAsia="zh-CN"/>
        </w:rPr>
        <w:t>普查区划分与建筑物信息采集工作，共划分普查区</w:t>
      </w:r>
      <w:r>
        <w:rPr>
          <w:rFonts w:hint="eastAsia" w:ascii="仿宋_GB2312" w:hAnsi="仿宋_GB2312" w:eastAsia="仿宋_GB2312" w:cs="仿宋_GB2312"/>
          <w:sz w:val="32"/>
          <w:szCs w:val="32"/>
          <w:lang w:val="en-US" w:eastAsia="zh-CN"/>
        </w:rPr>
        <w:t>429个、普查小区756个、建筑物12169个。</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七是做好全方位宣传动员。</w:t>
      </w:r>
      <w:r>
        <w:rPr>
          <w:rFonts w:hint="eastAsia" w:ascii="仿宋_GB2312" w:hAnsi="仿宋_GB2312" w:eastAsia="仿宋_GB2312" w:cs="仿宋_GB2312"/>
          <w:sz w:val="32"/>
          <w:szCs w:val="32"/>
        </w:rPr>
        <w:t>与区委宣传部</w:t>
      </w:r>
      <w:r>
        <w:rPr>
          <w:rFonts w:hint="eastAsia" w:ascii="仿宋_GB2312" w:hAnsi="仿宋_GB2312" w:eastAsia="仿宋_GB2312" w:cs="仿宋_GB2312"/>
          <w:sz w:val="32"/>
          <w:szCs w:val="32"/>
          <w:lang w:eastAsia="zh-CN"/>
        </w:rPr>
        <w:t>联合印发了</w:t>
      </w:r>
      <w:r>
        <w:rPr>
          <w:rFonts w:hint="eastAsia" w:ascii="仿宋_GB2312" w:hAnsi="仿宋_GB2312" w:eastAsia="仿宋_GB2312" w:cs="仿宋_GB2312"/>
          <w:sz w:val="32"/>
          <w:szCs w:val="32"/>
        </w:rPr>
        <w:t>《关于做好北京市密云区第五次全国经济普查宣传动员工作的通知》，对五经普宣传工作进行全面部署和推进。</w:t>
      </w:r>
      <w:r>
        <w:rPr>
          <w:rFonts w:hint="eastAsia" w:ascii="仿宋_GB2312" w:hAnsi="仿宋_GB2312" w:eastAsia="仿宋_GB2312" w:cs="仿宋_GB2312"/>
          <w:sz w:val="32"/>
          <w:szCs w:val="32"/>
          <w:lang w:eastAsia="zh-CN"/>
        </w:rPr>
        <w:t>坚持上下联动，开展线上、线下多种宣传活动，并</w:t>
      </w:r>
      <w:r>
        <w:rPr>
          <w:rFonts w:hint="eastAsia" w:ascii="仿宋_GB2312" w:hAnsi="仿宋_GB2312" w:eastAsia="仿宋_GB2312" w:cs="仿宋_GB2312"/>
          <w:sz w:val="32"/>
          <w:szCs w:val="32"/>
        </w:rPr>
        <w:t>积极挖掘各类人物事迹和典型经验做法</w:t>
      </w:r>
      <w:r>
        <w:rPr>
          <w:rFonts w:hint="eastAsia" w:ascii="仿宋_GB2312" w:hAnsi="仿宋_GB2312" w:eastAsia="仿宋_GB2312" w:cs="仿宋_GB2312"/>
          <w:sz w:val="32"/>
          <w:szCs w:val="32"/>
          <w:lang w:eastAsia="zh-CN"/>
        </w:rPr>
        <w:t>向市经普办报送</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rPr>
      </w:pPr>
      <w:r>
        <w:rPr>
          <w:rFonts w:hint="eastAsia" w:ascii="仿宋_GB2312" w:hAnsi="仿宋_GB2312" w:eastAsia="仿宋_GB2312" w:cs="仿宋_GB2312"/>
          <w:sz w:val="32"/>
          <w:szCs w:val="32"/>
          <w:lang w:val="en-US" w:eastAsia="zh-CN"/>
        </w:rPr>
        <w:t>八是高质完成单位清查工作。坚持高位推动、统筹谋划，严格落实方案要求，开展“地毯式”清查工作，</w:t>
      </w:r>
      <w:r>
        <w:rPr>
          <w:rFonts w:hint="eastAsia" w:ascii="仿宋_GB2312" w:hAnsi="仿宋_GB2312" w:eastAsia="仿宋_GB2312" w:cs="仿宋_GB2312"/>
          <w:sz w:val="32"/>
          <w:szCs w:val="32"/>
        </w:rPr>
        <w:t>建立定期通报机制</w:t>
      </w:r>
      <w:r>
        <w:rPr>
          <w:rFonts w:hint="eastAsia" w:ascii="仿宋_GB2312" w:hAnsi="仿宋_GB2312" w:eastAsia="仿宋_GB2312" w:cs="仿宋_GB2312"/>
          <w:sz w:val="32"/>
          <w:szCs w:val="32"/>
          <w:lang w:eastAsia="zh-CN"/>
        </w:rPr>
        <w:t>，深入一线督导检查，坚持问题导向，遇到问题快速解决，切实确保工作进度。从清查结果看，</w:t>
      </w:r>
      <w:r>
        <w:rPr>
          <w:rFonts w:hint="eastAsia" w:ascii="仿宋_GB2312" w:hAnsi="仿宋_GB2312" w:eastAsia="仿宋_GB2312" w:cs="仿宋_GB2312"/>
          <w:sz w:val="32"/>
          <w:szCs w:val="32"/>
        </w:rPr>
        <w:t>全区共清查单位5.76万余家，个体经营户1.79万余家</w:t>
      </w:r>
      <w:r>
        <w:rPr>
          <w:rFonts w:hint="eastAsia" w:ascii="仿宋_GB2312" w:hAnsi="仿宋_GB2312" w:eastAsia="仿宋_GB2312" w:cs="仿宋_GB2312"/>
          <w:sz w:val="32"/>
          <w:szCs w:val="32"/>
          <w:lang w:eastAsia="zh-CN"/>
        </w:rPr>
        <w:t>。</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二、绩效评价工作开展情况</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（一）绩效评价目的、对象和范围。</w:t>
      </w:r>
    </w:p>
    <w:p>
      <w:pPr>
        <w:pStyle w:val="3"/>
        <w:keepNext w:val="0"/>
        <w:keepLines w:val="0"/>
        <w:pageBreakBefore w:val="0"/>
        <w:widowControl w:val="0"/>
        <w:kinsoku/>
        <w:wordWrap/>
        <w:overflowPunct/>
        <w:topLinePunct w:val="0"/>
        <w:autoSpaceDE/>
        <w:autoSpaceDN/>
        <w:bidi w:val="0"/>
        <w:adjustRightInd/>
        <w:snapToGrid/>
        <w:spacing w:line="560" w:lineRule="exact"/>
        <w:ind w:left="108" w:firstLine="641"/>
        <w:textAlignment w:val="auto"/>
        <w:rPr>
          <w:rFonts w:hint="eastAsia"/>
          <w:color w:val="auto"/>
          <w:highlight w:val="none"/>
          <w:lang w:val="en-US" w:eastAsia="zh-CN"/>
        </w:rPr>
      </w:pPr>
      <w:r>
        <w:rPr>
          <w:rFonts w:hint="eastAsia"/>
          <w:color w:val="auto"/>
          <w:highlight w:val="none"/>
          <w:lang w:val="en-US" w:eastAsia="zh-CN"/>
        </w:rPr>
        <w:t>绩效评价工作能够起到对单位项目预算、支出等情况作出自我评价，同时也是一个自查、总结工作经验与不足，为今后更好的做好经济普查项目，使用好项目资金奠定坚实的基础，不断的完善管理制度，改善工作预算方案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jc w:val="left"/>
        <w:textAlignment w:val="auto"/>
        <w:outlineLvl w:val="9"/>
        <w:rPr>
          <w:rFonts w:hint="eastAsia" w:ascii="仿宋_GB2312" w:hAnsi="Times New Roman" w:eastAsia="仿宋_GB2312" w:cs="Times New Roman"/>
          <w:sz w:val="32"/>
          <w:szCs w:val="32"/>
          <w:lang w:val="en-US" w:eastAsia="zh-CN"/>
        </w:rPr>
      </w:pPr>
      <w:r>
        <w:rPr>
          <w:rFonts w:hint="eastAsia" w:ascii="仿宋_GB2312" w:eastAsia="仿宋_GB2312"/>
          <w:b/>
          <w:bCs/>
          <w:sz w:val="32"/>
          <w:szCs w:val="32"/>
          <w:lang w:val="en-US" w:eastAsia="zh-CN"/>
        </w:rPr>
        <w:t>目的：</w:t>
      </w:r>
      <w:r>
        <w:rPr>
          <w:rFonts w:hint="eastAsia" w:ascii="仿宋_GB2312" w:hAnsi="Times New Roman" w:eastAsia="仿宋_GB2312" w:cs="Times New Roman"/>
          <w:sz w:val="32"/>
          <w:szCs w:val="32"/>
          <w:lang w:val="en-US" w:eastAsia="zh-CN"/>
        </w:rPr>
        <w:t>按照《密云区第五次全国经济普查专项经费管理办法》，规范使用普查经费，完成普查工作任务。</w:t>
      </w:r>
    </w:p>
    <w:p>
      <w:pPr>
        <w:pStyle w:val="8"/>
        <w:keepNext w:val="0"/>
        <w:keepLines w:val="0"/>
        <w:pageBreakBefore w:val="0"/>
        <w:widowControl w:val="0"/>
        <w:kinsoku/>
        <w:wordWrap/>
        <w:overflowPunct/>
        <w:topLinePunct w:val="0"/>
        <w:autoSpaceDE/>
        <w:autoSpaceDN/>
        <w:bidi w:val="0"/>
        <w:adjustRightInd/>
        <w:spacing w:line="560" w:lineRule="exact"/>
        <w:ind w:left="0" w:leftChars="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b/>
          <w:bCs/>
          <w:sz w:val="32"/>
          <w:szCs w:val="32"/>
          <w:lang w:val="en-US" w:eastAsia="zh-CN"/>
        </w:rPr>
        <w:t>对象：</w:t>
      </w:r>
      <w:r>
        <w:rPr>
          <w:rFonts w:hint="eastAsia" w:ascii="仿宋_GB2312" w:hAnsi="Times New Roman" w:eastAsia="仿宋_GB2312" w:cs="Times New Roman"/>
          <w:b w:val="0"/>
          <w:bCs w:val="0"/>
          <w:sz w:val="32"/>
          <w:szCs w:val="32"/>
          <w:lang w:val="en-US" w:eastAsia="zh-CN"/>
        </w:rPr>
        <w:t>密云区</w:t>
      </w:r>
      <w:r>
        <w:rPr>
          <w:rFonts w:hint="eastAsia" w:ascii="仿宋_GB2312" w:hAnsi="Times New Roman" w:eastAsia="仿宋_GB2312" w:cs="Times New Roman"/>
          <w:sz w:val="32"/>
          <w:szCs w:val="32"/>
          <w:lang w:val="en-US" w:eastAsia="zh-CN"/>
        </w:rPr>
        <w:t>第五次全国经济普查工作。</w:t>
      </w:r>
    </w:p>
    <w:p>
      <w:pPr>
        <w:pStyle w:val="3"/>
        <w:keepNext w:val="0"/>
        <w:keepLines w:val="0"/>
        <w:pageBreakBefore w:val="0"/>
        <w:widowControl w:val="0"/>
        <w:kinsoku/>
        <w:wordWrap/>
        <w:overflowPunct/>
        <w:topLinePunct w:val="0"/>
        <w:autoSpaceDE/>
        <w:autoSpaceDN/>
        <w:bidi w:val="0"/>
        <w:adjustRightInd/>
        <w:snapToGrid/>
        <w:spacing w:line="560" w:lineRule="exact"/>
        <w:ind w:left="108" w:firstLine="641"/>
        <w:textAlignment w:val="auto"/>
        <w:rPr>
          <w:rFonts w:hint="eastAsia"/>
          <w:color w:val="auto"/>
          <w:highlight w:val="none"/>
          <w:lang w:val="en-US" w:eastAsia="zh-CN"/>
        </w:rPr>
      </w:pPr>
      <w:r>
        <w:rPr>
          <w:rFonts w:hint="eastAsia" w:ascii="仿宋_GB2312" w:hAnsi="Times New Roman" w:eastAsia="仿宋_GB2312" w:cs="Times New Roman"/>
          <w:b/>
          <w:bCs/>
          <w:sz w:val="32"/>
          <w:szCs w:val="32"/>
          <w:lang w:val="en-US" w:eastAsia="zh-CN"/>
        </w:rPr>
        <w:t>范围：</w:t>
      </w:r>
      <w:r>
        <w:rPr>
          <w:rFonts w:hint="eastAsia" w:ascii="仿宋_GB2312" w:hAnsi="Times New Roman" w:eastAsia="仿宋_GB2312" w:cs="Times New Roman"/>
          <w:b w:val="0"/>
          <w:bCs w:val="0"/>
          <w:sz w:val="32"/>
          <w:szCs w:val="32"/>
          <w:lang w:val="en-US" w:eastAsia="zh-CN"/>
        </w:rPr>
        <w:t>密云区第五次</w:t>
      </w:r>
      <w:r>
        <w:rPr>
          <w:rFonts w:hint="eastAsia" w:ascii="仿宋_GB2312" w:hAnsi="Times New Roman" w:eastAsia="仿宋_GB2312" w:cs="Times New Roman"/>
          <w:sz w:val="32"/>
          <w:szCs w:val="32"/>
          <w:lang w:val="en-US" w:eastAsia="zh-CN"/>
        </w:rPr>
        <w:t>全国经济普查经费（2023年度）。</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（二）绩效评价原则、评价指标体系（附表说明）、评价方法、评价标准等。</w:t>
      </w:r>
    </w:p>
    <w:p>
      <w:pPr>
        <w:pStyle w:val="3"/>
        <w:keepNext w:val="0"/>
        <w:keepLines w:val="0"/>
        <w:pageBreakBefore w:val="0"/>
        <w:widowControl w:val="0"/>
        <w:kinsoku/>
        <w:wordWrap/>
        <w:overflowPunct/>
        <w:topLinePunct w:val="0"/>
        <w:autoSpaceDE/>
        <w:autoSpaceDN/>
        <w:bidi w:val="0"/>
        <w:adjustRightInd/>
        <w:snapToGrid/>
        <w:spacing w:line="560" w:lineRule="exact"/>
        <w:ind w:left="108" w:firstLine="641"/>
        <w:textAlignment w:val="auto"/>
        <w:rPr>
          <w:rFonts w:hint="eastAsia"/>
          <w:color w:val="auto"/>
          <w:highlight w:val="none"/>
          <w:lang w:val="en-US" w:eastAsia="zh-CN"/>
        </w:rPr>
      </w:pPr>
      <w:r>
        <w:rPr>
          <w:rFonts w:hint="eastAsia"/>
          <w:color w:val="auto"/>
          <w:highlight w:val="none"/>
          <w:lang w:val="en-US" w:eastAsia="zh-CN"/>
        </w:rPr>
        <w:t>绩效评价的原则和标准是按照区财政部门设定的统一指标体系并结合经济普查实际情况进行绩效评价，评价方法通过《项目支出绩效自评表 （2023年度）》进行综合评价。</w:t>
      </w:r>
    </w:p>
    <w:p>
      <w:pPr>
        <w:pStyle w:val="2"/>
        <w:rPr>
          <w:rFonts w:hint="eastAsia"/>
        </w:rPr>
      </w:pPr>
    </w:p>
    <w:p>
      <w:pPr>
        <w:numPr>
          <w:ilvl w:val="0"/>
          <w:numId w:val="5"/>
        </w:numPr>
        <w:spacing w:line="600" w:lineRule="exact"/>
        <w:ind w:left="0" w:leftChars="0"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绩效评价工作过程。</w:t>
      </w:r>
    </w:p>
    <w:p>
      <w:pPr>
        <w:pStyle w:val="3"/>
        <w:keepNext w:val="0"/>
        <w:keepLines w:val="0"/>
        <w:pageBreakBefore w:val="0"/>
        <w:widowControl w:val="0"/>
        <w:kinsoku/>
        <w:wordWrap/>
        <w:overflowPunct/>
        <w:topLinePunct w:val="0"/>
        <w:autoSpaceDE/>
        <w:autoSpaceDN/>
        <w:bidi w:val="0"/>
        <w:adjustRightInd/>
        <w:snapToGrid/>
        <w:spacing w:line="560" w:lineRule="exact"/>
        <w:ind w:left="108" w:firstLine="641"/>
        <w:textAlignment w:val="auto"/>
        <w:rPr>
          <w:rFonts w:hint="eastAsia"/>
        </w:rPr>
      </w:pPr>
      <w:r>
        <w:rPr>
          <w:rFonts w:hint="eastAsia"/>
          <w:color w:val="auto"/>
          <w:highlight w:val="none"/>
          <w:lang w:val="en-US" w:eastAsia="zh-CN"/>
        </w:rPr>
        <w:t>绩效评价工作是由密云区第五次全国经济普查领导小组办公室对密云区第五次全国经济普查工作开展评价，并指定专人撰写评价报告，征求相关科室意见后得出最终评价结果。评价原则与财政部门要求的评价体系不冲突、不矛盾，并按照财政部门提供的评价指标体系开展自评工作，撰写自评报告后报区第五次全国经济普查领导小组办公室主任审阅。</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三、综合评价情况及评价结论（附相关评分表）</w:t>
      </w:r>
    </w:p>
    <w:p>
      <w:pPr>
        <w:pStyle w:val="3"/>
        <w:keepNext w:val="0"/>
        <w:keepLines w:val="0"/>
        <w:pageBreakBefore w:val="0"/>
        <w:widowControl w:val="0"/>
        <w:kinsoku/>
        <w:wordWrap/>
        <w:overflowPunct/>
        <w:topLinePunct w:val="0"/>
        <w:autoSpaceDE/>
        <w:autoSpaceDN/>
        <w:bidi w:val="0"/>
        <w:adjustRightInd/>
        <w:snapToGrid/>
        <w:spacing w:line="560" w:lineRule="exact"/>
        <w:ind w:left="108" w:firstLine="641"/>
        <w:textAlignment w:val="auto"/>
        <w:rPr>
          <w:rFonts w:hint="eastAsia"/>
        </w:rPr>
      </w:pPr>
      <w:r>
        <w:rPr>
          <w:rFonts w:hint="eastAsia"/>
          <w:color w:val="auto"/>
          <w:highlight w:val="none"/>
          <w:lang w:val="en-US" w:eastAsia="zh-CN"/>
        </w:rPr>
        <w:t>密云区第五次全国经济普查工作根据国务院经普办总体工作部署，分成4个阶段进行，其中2023年开展第一个阶段相关工作，这个阶段的主要任务是普查准备工作。从评价结果看，总分为98分，扣分原因是预算执行率未达到100%。</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四、绩效评价指标分析</w:t>
      </w:r>
    </w:p>
    <w:p>
      <w:p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（一）项目决策情况。</w:t>
      </w:r>
    </w:p>
    <w:p>
      <w:pPr>
        <w:spacing w:line="560" w:lineRule="exact"/>
        <w:ind w:firstLine="640" w:firstLineChars="200"/>
        <w:outlineLvl w:val="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立项依据充分性：项目符合</w:t>
      </w:r>
      <w:r>
        <w:rPr>
          <w:rFonts w:hint="eastAsia" w:ascii="仿宋_GB2312" w:hAnsi="仿宋_GB2312" w:eastAsia="仿宋_GB2312" w:cs="仿宋_GB2312"/>
          <w:sz w:val="32"/>
          <w:szCs w:val="32"/>
        </w:rPr>
        <w:t>《国务院关于开展第五次全国经济普查的通知》（国发〔2022〕22号）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《北京市人民政府关于开展第五次全国经济普查的通知》（京政发〔2023〕2号）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《北京市密云区人民政府关于开展第五次全国经济普查的通知》（密政发〔2023〕13号）</w:t>
      </w:r>
      <w:r>
        <w:rPr>
          <w:rFonts w:hint="eastAsia" w:ascii="仿宋_GB2312" w:hAnsi="仿宋_GB2312" w:eastAsia="仿宋_GB2312" w:cs="仿宋_GB2312"/>
          <w:sz w:val="32"/>
          <w:szCs w:val="32"/>
          <w:lang w:eastAsia="zh-CN"/>
        </w:rPr>
        <w:t>。</w:t>
      </w:r>
    </w:p>
    <w:p>
      <w:pPr>
        <w:spacing w:line="560" w:lineRule="exact"/>
        <w:ind w:firstLine="640" w:firstLineChars="200"/>
        <w:outlineLvl w:val="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立项程序规范性：项目按照区财政相关工作要求设立，事前已经通过预算评审，并经区政府常务会议审议通过。</w:t>
      </w:r>
    </w:p>
    <w:p>
      <w:pPr>
        <w:spacing w:line="560" w:lineRule="exact"/>
        <w:ind w:firstLine="640" w:firstLineChars="200"/>
        <w:outlineLvl w:val="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预算编制科学性：预算内容与项目内容匹配，资金额度与年度工作任务、工作目标匹配。</w:t>
      </w:r>
    </w:p>
    <w:p>
      <w:pPr>
        <w:spacing w:line="560" w:lineRule="exact"/>
        <w:ind w:firstLine="640" w:firstLineChars="200"/>
        <w:outlineLvl w:val="0"/>
        <w:rPr>
          <w:rFonts w:hint="eastAsia"/>
        </w:rPr>
      </w:pPr>
      <w:r>
        <w:rPr>
          <w:rFonts w:hint="eastAsia" w:ascii="仿宋_GB2312" w:hAnsi="仿宋_GB2312" w:eastAsia="仿宋_GB2312" w:cs="仿宋_GB2312"/>
          <w:sz w:val="32"/>
          <w:szCs w:val="40"/>
          <w:lang w:eastAsia="zh-CN"/>
        </w:rPr>
        <w:t>资金分配合理性：预算项目主要包括印刷费、设备费、培训费、宣传费、人员聘用费等，预算资金数出有据，相关测算依据均已向评审公司提供，并通过预算评审。</w:t>
      </w:r>
    </w:p>
    <w:p>
      <w:p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（二）项目过程情况。</w:t>
      </w:r>
    </w:p>
    <w:p>
      <w:pPr>
        <w:spacing w:line="560" w:lineRule="exact"/>
        <w:ind w:firstLine="640" w:firstLineChars="200"/>
        <w:outlineLvl w:val="0"/>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eastAsia="zh-CN"/>
        </w:rPr>
        <w:t>资金到位率：密云区第五次全国经济普查</w:t>
      </w:r>
      <w:r>
        <w:rPr>
          <w:rFonts w:hint="eastAsia" w:ascii="仿宋_GB2312" w:hAnsi="仿宋_GB2312" w:eastAsia="仿宋_GB2312" w:cs="仿宋_GB2312"/>
          <w:sz w:val="32"/>
          <w:szCs w:val="40"/>
          <w:lang w:val="en-US" w:eastAsia="zh-CN"/>
        </w:rPr>
        <w:t>2023年度项目预算资金为367.00万元（不含横向拨付），实际到位资金367.00万元，资金到位率为100%。</w:t>
      </w:r>
    </w:p>
    <w:p>
      <w:pPr>
        <w:spacing w:line="560" w:lineRule="exact"/>
        <w:ind w:firstLine="640" w:firstLineChars="200"/>
        <w:outlineLvl w:val="0"/>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eastAsia="zh-CN"/>
        </w:rPr>
        <w:t>预算执行率：密云区第五次全国经济普查</w:t>
      </w:r>
      <w:r>
        <w:rPr>
          <w:rFonts w:hint="eastAsia" w:ascii="仿宋_GB2312" w:hAnsi="仿宋_GB2312" w:eastAsia="仿宋_GB2312" w:cs="仿宋_GB2312"/>
          <w:sz w:val="32"/>
          <w:szCs w:val="40"/>
          <w:lang w:val="en-US" w:eastAsia="zh-CN"/>
        </w:rPr>
        <w:t>2023年度项目实际到位资金为367.00万元（不含横向拨付），实际支出资金为328.13万元，预算执行率为89%。</w:t>
      </w:r>
    </w:p>
    <w:p>
      <w:pPr>
        <w:spacing w:line="560" w:lineRule="exact"/>
        <w:ind w:firstLine="640" w:firstLineChars="200"/>
        <w:outlineLvl w:val="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资金使用合规性：项目资金使用符合相关法律法规、制度和规定，资金拨付有完整的审批程序和手续，资金用途符合项目预算。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管理制度健全性：为规范并加强密云区第五次全国经济普查专项经费的管理，提高资金使用效益，根据《北京市第五次全国经济普查专项经费管理办法》和区统计局队各项财务管理规定，结合五经普经费管理的实际情况，制定《密云区第五次全国经济普查专项经费管理办法》；同时，在业务方面，为保障各项工作顺利开展，制定并印发《密云区第五次全国经济普查指导员和普查员选聘及管理工作方案》《密云区第五次全国经济普查手持电子终端设备管理办法》《关于做好北京市密云区第五次全国经济普查宣传动员工作的通知》等文件。</w:t>
      </w:r>
    </w:p>
    <w:p>
      <w:pPr>
        <w:pStyle w:val="2"/>
        <w:rPr>
          <w:rFonts w:hint="eastAsia"/>
        </w:rPr>
      </w:pPr>
    </w:p>
    <w:p>
      <w:p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（三）项目产出情况。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产出数量：通过清查摸清各类单位基本情况及分布状况。</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产出质量：</w:t>
      </w:r>
      <w:r>
        <w:rPr>
          <w:rFonts w:hint="eastAsia" w:cs="仿宋_GB2312"/>
          <w:kern w:val="2"/>
          <w:sz w:val="32"/>
          <w:szCs w:val="40"/>
          <w:lang w:val="en-US" w:eastAsia="zh-CN" w:bidi="ar-SA"/>
        </w:rPr>
        <w:t>2023年10月，密云区开展了清查阶段数据质量自查，并通过了全市数据质量抽查工作，</w:t>
      </w:r>
      <w:r>
        <w:rPr>
          <w:rFonts w:hint="eastAsia" w:ascii="仿宋_GB2312" w:hAnsi="仿宋_GB2312" w:eastAsia="仿宋_GB2312" w:cs="仿宋_GB2312"/>
          <w:kern w:val="2"/>
          <w:sz w:val="32"/>
          <w:szCs w:val="40"/>
          <w:lang w:val="en-US" w:eastAsia="zh-CN" w:bidi="ar-SA"/>
        </w:rPr>
        <w:t>检查结果符合普查方案质量要求。</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产出时效：</w:t>
      </w:r>
      <w:r>
        <w:rPr>
          <w:rFonts w:hint="eastAsia" w:ascii="仿宋_GB2312" w:hAnsi="宋体" w:eastAsia="仿宋_GB2312" w:cs="宋体"/>
          <w:color w:val="000000"/>
          <w:kern w:val="0"/>
          <w:szCs w:val="21"/>
        </w:rPr>
        <w:t>按普查方案规定，</w:t>
      </w:r>
      <w:r>
        <w:rPr>
          <w:rFonts w:hint="eastAsia" w:hAnsi="宋体" w:cs="宋体"/>
          <w:color w:val="000000"/>
          <w:kern w:val="0"/>
          <w:szCs w:val="21"/>
          <w:lang w:eastAsia="zh-CN"/>
        </w:rPr>
        <w:t>通过各级普查机构</w:t>
      </w:r>
      <w:r>
        <w:rPr>
          <w:rFonts w:hint="eastAsia" w:ascii="仿宋_GB2312" w:hAnsi="宋体" w:eastAsia="仿宋_GB2312" w:cs="宋体"/>
          <w:color w:val="000000"/>
          <w:kern w:val="0"/>
          <w:szCs w:val="21"/>
        </w:rPr>
        <w:t>精心组织实施，</w:t>
      </w:r>
      <w:r>
        <w:rPr>
          <w:rFonts w:hint="eastAsia" w:hAnsi="宋体" w:cs="宋体"/>
          <w:color w:val="000000"/>
          <w:kern w:val="0"/>
          <w:szCs w:val="21"/>
          <w:lang w:eastAsia="zh-CN"/>
        </w:rPr>
        <w:t>按时</w:t>
      </w:r>
      <w:r>
        <w:rPr>
          <w:rFonts w:hint="eastAsia" w:ascii="仿宋_GB2312" w:hAnsi="宋体" w:eastAsia="仿宋_GB2312" w:cs="宋体"/>
          <w:color w:val="000000"/>
          <w:kern w:val="0"/>
          <w:szCs w:val="21"/>
        </w:rPr>
        <w:t>完成普查准备阶段工作任务</w:t>
      </w:r>
      <w:r>
        <w:rPr>
          <w:rFonts w:hint="eastAsia" w:hAnsi="宋体" w:cs="宋体"/>
          <w:color w:val="000000"/>
          <w:kern w:val="0"/>
          <w:szCs w:val="21"/>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kern w:val="2"/>
          <w:sz w:val="32"/>
          <w:szCs w:val="40"/>
          <w:lang w:val="en-US" w:eastAsia="zh-CN" w:bidi="ar-SA"/>
        </w:rPr>
        <w:t>产出成本</w:t>
      </w:r>
      <w:r>
        <w:rPr>
          <w:rFonts w:hint="eastAsia" w:ascii="仿宋_GB2312" w:hAnsi="宋体" w:eastAsia="仿宋_GB2312" w:cs="宋体"/>
          <w:color w:val="000000"/>
          <w:kern w:val="0"/>
          <w:sz w:val="32"/>
          <w:szCs w:val="21"/>
          <w:lang w:val="en-US" w:eastAsia="zh-CN" w:bidi="zh-CN"/>
        </w:rPr>
        <w:t>：2023年实际支出符合预算控制金额要求。</w:t>
      </w:r>
    </w:p>
    <w:p>
      <w:pPr>
        <w:numPr>
          <w:ilvl w:val="0"/>
          <w:numId w:val="5"/>
        </w:numPr>
        <w:spacing w:line="600" w:lineRule="exact"/>
        <w:ind w:left="0" w:leftChars="0"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项目效益情况。</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lang w:eastAsia="zh-CN"/>
        </w:rPr>
        <w:t>实施效益：单位清查是经济普查的一项重要基础性工作，通过清查，摸清了全区行政区域内从事经济社会活动的各类法人单位、产业活动单位以及从事第二产业和第三产业活动个体经营户的基本情况和分布状况,准确界定了普查的对象与种类，为确保普查对象类型界定准确、普查单位不重不漏以及普查培训和普查登记等后续各项经济普查工作奠定了基础。</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五、主要经验及做法、存在的问题及原因分析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eastAsia="zh-CN"/>
        </w:rPr>
        <w:t>密云区第五次全国经济普查</w:t>
      </w:r>
      <w:r>
        <w:rPr>
          <w:rFonts w:hint="eastAsia" w:ascii="仿宋_GB2312" w:hAnsi="仿宋_GB2312" w:eastAsia="仿宋_GB2312" w:cs="仿宋_GB2312"/>
          <w:sz w:val="32"/>
          <w:szCs w:val="40"/>
          <w:lang w:val="en-US" w:eastAsia="zh-CN"/>
        </w:rPr>
        <w:t>2023年度项目实际到位资金为367.00万元（不含横向拨付），实际支出资金为328.13万元，预算执行率为89.00%。差异原因主要如下：一是根据全市统一工作部署，部分工作未发生费用，如培训用清查资料印刷、投入产出调查培训等；二是部分项目经费根据五经普实际工作情况发生，如实际采购过程中价格下调或者实际需求数量有变化。</w:t>
      </w:r>
    </w:p>
    <w:p>
      <w:pPr>
        <w:spacing w:line="60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val="en-US" w:eastAsia="zh-CN"/>
        </w:rPr>
        <w:t>六</w:t>
      </w:r>
      <w:r>
        <w:rPr>
          <w:rFonts w:hint="eastAsia" w:ascii="黑体" w:hAnsi="黑体" w:eastAsia="黑体" w:cs="黑体"/>
          <w:sz w:val="32"/>
          <w:szCs w:val="32"/>
        </w:rPr>
        <w:t>、有关建议</w:t>
      </w:r>
      <w:r>
        <w:rPr>
          <w:rFonts w:hint="eastAsia" w:ascii="黑体" w:hAnsi="黑体" w:eastAsia="黑体" w:cs="黑体"/>
          <w:sz w:val="32"/>
          <w:szCs w:val="32"/>
          <w:lang w:eastAsia="zh-CN"/>
        </w:rPr>
        <w:t>：无</w:t>
      </w:r>
    </w:p>
    <w:p>
      <w:pPr>
        <w:spacing w:line="60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七、其他需要说明的问题</w:t>
      </w:r>
      <w:r>
        <w:rPr>
          <w:rFonts w:hint="eastAsia" w:ascii="黑体" w:hAnsi="黑体" w:eastAsia="黑体" w:cs="黑体"/>
          <w:sz w:val="32"/>
          <w:szCs w:val="32"/>
          <w:lang w:eastAsia="zh-CN"/>
        </w:rPr>
        <w:t>：无</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2023</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16"/>
        <w:tblW w:w="9622" w:type="dxa"/>
        <w:jc w:val="center"/>
        <w:tblInd w:w="0" w:type="dxa"/>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1294"/>
      </w:tblGrid>
      <w:tr>
        <w:tblPrEx>
          <w:tblLayout w:type="fixed"/>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8062" w:type="dxa"/>
            <w:gridSpan w:val="12"/>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密云区第五次全国经济普查</w:t>
            </w:r>
          </w:p>
        </w:tc>
      </w:tr>
      <w:tr>
        <w:tblPrEx>
          <w:tblLayout w:type="fixed"/>
          <w:tblCellMar>
            <w:top w:w="0" w:type="dxa"/>
            <w:left w:w="108" w:type="dxa"/>
            <w:bottom w:w="0" w:type="dxa"/>
            <w:right w:w="108" w:type="dxa"/>
          </w:tblCellMar>
        </w:tblPrEx>
        <w:trPr>
          <w:trHeight w:val="481"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综合调研科</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84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密云区第五次全国经济普查办公室</w:t>
            </w:r>
          </w:p>
        </w:tc>
      </w:tr>
      <w:tr>
        <w:tblPrEx>
          <w:tblLayout w:type="fixed"/>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曹莉茹</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84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89097820</w:t>
            </w:r>
          </w:p>
        </w:tc>
      </w:tr>
      <w:tr>
        <w:tblPrEx>
          <w:tblLayout w:type="fixed"/>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129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Layout w:type="fixed"/>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367.00</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367.00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328.13</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5</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89.00%</w:t>
            </w:r>
          </w:p>
        </w:tc>
        <w:tc>
          <w:tcPr>
            <w:tcW w:w="1294"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w:t>
            </w:r>
          </w:p>
        </w:tc>
      </w:tr>
      <w:tr>
        <w:tblPrEx>
          <w:tblLayout w:type="fixed"/>
          <w:tblCellMar>
            <w:top w:w="0" w:type="dxa"/>
            <w:left w:w="108" w:type="dxa"/>
            <w:bottom w:w="0" w:type="dxa"/>
            <w:right w:w="108" w:type="dxa"/>
          </w:tblCellMar>
        </w:tblPrEx>
        <w:trPr>
          <w:trHeight w:val="364"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kern w:val="0"/>
                <w:szCs w:val="21"/>
              </w:rPr>
            </w:pPr>
            <w:r>
              <w:rPr>
                <w:rFonts w:hint="eastAsia" w:ascii="仿宋_GB2312" w:hAnsi="宋体" w:eastAsia="仿宋_GB2312" w:cs="宋体"/>
                <w:kern w:val="0"/>
                <w:sz w:val="16"/>
                <w:szCs w:val="16"/>
              </w:rPr>
              <w:t>其中：当年财政拨款</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367.00</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367.00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328.13</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89.00%</w:t>
            </w:r>
          </w:p>
        </w:tc>
        <w:tc>
          <w:tcPr>
            <w:tcW w:w="129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24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9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23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9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307"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71"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Layout w:type="fixed"/>
          <w:tblCellMar>
            <w:top w:w="0" w:type="dxa"/>
            <w:left w:w="108" w:type="dxa"/>
            <w:bottom w:w="0" w:type="dxa"/>
            <w:right w:w="108" w:type="dxa"/>
          </w:tblCellMar>
        </w:tblPrEx>
        <w:trPr>
          <w:trHeight w:val="1241"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_GB2312" w:hAnsi="宋体" w:eastAsia="仿宋_GB2312" w:cs="宋体"/>
                <w:kern w:val="0"/>
                <w:szCs w:val="21"/>
                <w:highlight w:val="none"/>
                <w:lang w:eastAsia="zh-CN"/>
              </w:rPr>
            </w:pPr>
            <w:r>
              <w:rPr>
                <w:rFonts w:hint="eastAsia" w:ascii="仿宋_GB2312" w:hAnsi="仿宋_GB2312" w:eastAsia="仿宋_GB2312" w:cs="仿宋_GB2312"/>
                <w:sz w:val="21"/>
                <w:szCs w:val="21"/>
                <w:highlight w:val="none"/>
                <w:lang w:val="en-US" w:eastAsia="zh-CN"/>
              </w:rPr>
              <w:t>组建各级普查机构,落实普查所需人、财、物等保障工作，制定相关工作细则，普查区划分与绘图，普查指导员、普查员选聘与培训，实施单位清查，配备数据处理设备，组织宣传动员等。</w:t>
            </w:r>
          </w:p>
        </w:tc>
        <w:tc>
          <w:tcPr>
            <w:tcW w:w="3971"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已经按照预期目标完成相关工作任务。</w:t>
            </w:r>
          </w:p>
        </w:tc>
      </w:tr>
      <w:tr>
        <w:tblPrEx>
          <w:tblLayout w:type="fixed"/>
          <w:tblCellMar>
            <w:top w:w="0" w:type="dxa"/>
            <w:left w:w="108" w:type="dxa"/>
            <w:bottom w:w="0" w:type="dxa"/>
            <w:right w:w="108" w:type="dxa"/>
          </w:tblCellMar>
        </w:tblPrEx>
        <w:trPr>
          <w:trHeight w:val="644"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9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tblPrEx>
          <w:tblLayout w:type="fixed"/>
          <w:tblCellMar>
            <w:top w:w="0" w:type="dxa"/>
            <w:left w:w="108" w:type="dxa"/>
            <w:bottom w:w="0" w:type="dxa"/>
            <w:right w:w="108" w:type="dxa"/>
          </w:tblCellMar>
        </w:tblPrEx>
        <w:trPr>
          <w:trHeight w:val="550"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lang w:eastAsia="zh-CN"/>
              </w:rPr>
            </w:pPr>
            <w:r>
              <w:rPr>
                <w:rFonts w:hint="eastAsia"/>
                <w:lang w:eastAsia="zh-CN"/>
              </w:rPr>
              <w:t>决策</w:t>
            </w:r>
          </w:p>
        </w:tc>
        <w:tc>
          <w:tcPr>
            <w:tcW w:w="110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项目立项</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立项依据充分性</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定性</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19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w:t>
            </w:r>
          </w:p>
        </w:tc>
      </w:tr>
      <w:tr>
        <w:tblPrEx>
          <w:tblLayout w:type="fixed"/>
          <w:tblCellMar>
            <w:top w:w="0" w:type="dxa"/>
            <w:left w:w="108" w:type="dxa"/>
            <w:bottom w:w="0" w:type="dxa"/>
            <w:right w:w="108" w:type="dxa"/>
          </w:tblCellMar>
        </w:tblPrEx>
        <w:trPr>
          <w:trHeight w:val="477"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right w:val="single" w:color="auto" w:sz="4" w:space="0"/>
            </w:tcBorders>
            <w:vAlign w:val="center"/>
          </w:tcPr>
          <w:p>
            <w:pPr>
              <w:widowControl/>
              <w:spacing w:line="240" w:lineRule="exact"/>
              <w:jc w:val="center"/>
              <w:rPr>
                <w:rFonts w:hint="eastAsia"/>
                <w:lang w:eastAsia="zh-CN"/>
              </w:rPr>
            </w:pPr>
          </w:p>
        </w:tc>
        <w:tc>
          <w:tcPr>
            <w:tcW w:w="1105"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p>
        </w:tc>
        <w:tc>
          <w:tcPr>
            <w:tcW w:w="2137" w:type="dxa"/>
            <w:gridSpan w:val="3"/>
            <w:tcBorders>
              <w:top w:val="single" w:color="auto" w:sz="4" w:space="0"/>
              <w:left w:val="nil"/>
              <w:right w:val="single" w:color="auto" w:sz="4" w:space="0"/>
            </w:tcBorders>
            <w:vAlign w:val="center"/>
          </w:tcPr>
          <w:p>
            <w:pPr>
              <w:widowControl/>
              <w:spacing w:line="240" w:lineRule="exact"/>
              <w:jc w:val="both"/>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立项程序规范性</w:t>
            </w:r>
          </w:p>
        </w:tc>
        <w:tc>
          <w:tcPr>
            <w:tcW w:w="849"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定性</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完成</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19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w:t>
            </w:r>
          </w:p>
        </w:tc>
      </w:tr>
      <w:tr>
        <w:tblPrEx>
          <w:tblLayout w:type="fixed"/>
          <w:tblCellMar>
            <w:top w:w="0" w:type="dxa"/>
            <w:left w:w="108" w:type="dxa"/>
            <w:bottom w:w="0" w:type="dxa"/>
            <w:right w:w="108" w:type="dxa"/>
          </w:tblCellMar>
        </w:tblPrEx>
        <w:trPr>
          <w:trHeight w:val="541"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p>
        </w:tc>
        <w:tc>
          <w:tcPr>
            <w:tcW w:w="110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资金投入</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预算编制科学性</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定性</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19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w:t>
            </w:r>
          </w:p>
        </w:tc>
      </w:tr>
      <w:tr>
        <w:tblPrEx>
          <w:tblLayout w:type="fixed"/>
          <w:tblCellMar>
            <w:top w:w="0" w:type="dxa"/>
            <w:left w:w="108" w:type="dxa"/>
            <w:bottom w:w="0" w:type="dxa"/>
            <w:right w:w="108" w:type="dxa"/>
          </w:tblCellMar>
        </w:tblPrEx>
        <w:trPr>
          <w:trHeight w:val="541"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p>
        </w:tc>
        <w:tc>
          <w:tcPr>
            <w:tcW w:w="110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p>
        </w:tc>
        <w:tc>
          <w:tcPr>
            <w:tcW w:w="2137" w:type="dxa"/>
            <w:gridSpan w:val="3"/>
            <w:tcBorders>
              <w:top w:val="single" w:color="auto" w:sz="4" w:space="0"/>
              <w:left w:val="nil"/>
              <w:right w:val="single" w:color="auto" w:sz="4" w:space="0"/>
            </w:tcBorders>
            <w:vAlign w:val="center"/>
          </w:tcPr>
          <w:p>
            <w:pPr>
              <w:widowControl/>
              <w:spacing w:line="240" w:lineRule="exact"/>
              <w:jc w:val="both"/>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资金分配合理性</w:t>
            </w:r>
          </w:p>
        </w:tc>
        <w:tc>
          <w:tcPr>
            <w:tcW w:w="849"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定性</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完成</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19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w:t>
            </w:r>
          </w:p>
        </w:tc>
      </w:tr>
      <w:tr>
        <w:tblPrEx>
          <w:tblLayout w:type="fixed"/>
          <w:tblCellMar>
            <w:top w:w="0" w:type="dxa"/>
            <w:left w:w="108" w:type="dxa"/>
            <w:bottom w:w="0" w:type="dxa"/>
            <w:right w:w="108" w:type="dxa"/>
          </w:tblCellMar>
        </w:tblPrEx>
        <w:trPr>
          <w:trHeight w:val="541"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lang w:eastAsia="zh-CN"/>
              </w:rPr>
            </w:pPr>
            <w:r>
              <w:rPr>
                <w:rFonts w:hint="eastAsia"/>
                <w:lang w:eastAsia="zh-CN"/>
              </w:rPr>
              <w:t>过程</w:t>
            </w:r>
          </w:p>
        </w:tc>
        <w:tc>
          <w:tcPr>
            <w:tcW w:w="110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资金管理</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资金到位率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19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w:t>
            </w:r>
          </w:p>
        </w:tc>
      </w:tr>
      <w:tr>
        <w:tblPrEx>
          <w:tblLayout w:type="fixed"/>
          <w:tblCellMar>
            <w:top w:w="0" w:type="dxa"/>
            <w:left w:w="108" w:type="dxa"/>
            <w:bottom w:w="0" w:type="dxa"/>
            <w:right w:w="108" w:type="dxa"/>
          </w:tblCellMar>
        </w:tblPrEx>
        <w:trPr>
          <w:trHeight w:val="541"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p>
        </w:tc>
        <w:tc>
          <w:tcPr>
            <w:tcW w:w="110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预算执行率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89%</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w:t>
            </w:r>
          </w:p>
        </w:tc>
        <w:tc>
          <w:tcPr>
            <w:tcW w:w="1997" w:type="dxa"/>
            <w:gridSpan w:val="2"/>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kern w:val="0"/>
                <w:szCs w:val="21"/>
                <w:lang w:val="en-US" w:eastAsia="zh-CN"/>
              </w:rPr>
            </w:pPr>
            <w:r>
              <w:rPr>
                <w:rFonts w:hint="eastAsia" w:ascii="仿宋_GB2312" w:hAnsi="宋体" w:eastAsia="仿宋_GB2312" w:cs="宋体"/>
                <w:kern w:val="0"/>
                <w:sz w:val="18"/>
                <w:szCs w:val="18"/>
                <w:lang w:val="en-US" w:eastAsia="zh-CN"/>
              </w:rPr>
              <w:t>差异原因主要如下：一是根据全市统一工作部署，部分工作未发生费用，如培训用清查资料印刷、投入产出调查培训等；二是部分项目经费根据五经普实际工作情况发生。</w:t>
            </w:r>
          </w:p>
        </w:tc>
      </w:tr>
      <w:tr>
        <w:tblPrEx>
          <w:tblLayout w:type="fixed"/>
          <w:tblCellMar>
            <w:top w:w="0" w:type="dxa"/>
            <w:left w:w="108" w:type="dxa"/>
            <w:bottom w:w="0" w:type="dxa"/>
            <w:right w:w="108" w:type="dxa"/>
          </w:tblCellMar>
        </w:tblPrEx>
        <w:trPr>
          <w:trHeight w:val="541"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p>
        </w:tc>
        <w:tc>
          <w:tcPr>
            <w:tcW w:w="110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资金使用合规性</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定性</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19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w:t>
            </w:r>
          </w:p>
        </w:tc>
      </w:tr>
      <w:tr>
        <w:tblPrEx>
          <w:tblLayout w:type="fixed"/>
          <w:tblCellMar>
            <w:top w:w="0" w:type="dxa"/>
            <w:left w:w="108" w:type="dxa"/>
            <w:bottom w:w="0" w:type="dxa"/>
            <w:right w:w="108" w:type="dxa"/>
          </w:tblCellMar>
        </w:tblPrEx>
        <w:trPr>
          <w:trHeight w:val="541"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p>
        </w:tc>
        <w:tc>
          <w:tcPr>
            <w:tcW w:w="1105"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组织实施</w:t>
            </w:r>
          </w:p>
        </w:tc>
        <w:tc>
          <w:tcPr>
            <w:tcW w:w="2137" w:type="dxa"/>
            <w:gridSpan w:val="3"/>
            <w:tcBorders>
              <w:top w:val="single" w:color="auto" w:sz="4" w:space="0"/>
              <w:left w:val="nil"/>
              <w:right w:val="single" w:color="auto" w:sz="4" w:space="0"/>
            </w:tcBorders>
            <w:vAlign w:val="center"/>
          </w:tcPr>
          <w:p>
            <w:pPr>
              <w:widowControl/>
              <w:spacing w:line="240" w:lineRule="exact"/>
              <w:jc w:val="both"/>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管理制度健全性</w:t>
            </w:r>
          </w:p>
        </w:tc>
        <w:tc>
          <w:tcPr>
            <w:tcW w:w="849"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定性</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完成</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19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w:t>
            </w:r>
          </w:p>
        </w:tc>
      </w:tr>
      <w:tr>
        <w:tblPrEx>
          <w:tblLayout w:type="fixed"/>
          <w:tblCellMar>
            <w:top w:w="0" w:type="dxa"/>
            <w:left w:w="108" w:type="dxa"/>
            <w:bottom w:w="0" w:type="dxa"/>
            <w:right w:w="108" w:type="dxa"/>
          </w:tblCellMar>
        </w:tblPrEx>
        <w:trPr>
          <w:trHeight w:val="541"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lang w:eastAsia="zh-CN"/>
              </w:rPr>
            </w:pPr>
            <w:r>
              <w:rPr>
                <w:rFonts w:hint="eastAsia"/>
                <w:lang w:eastAsia="zh-CN"/>
              </w:rPr>
              <w:t>产出</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产出数量</w:t>
            </w:r>
          </w:p>
        </w:tc>
        <w:tc>
          <w:tcPr>
            <w:tcW w:w="2137" w:type="dxa"/>
            <w:gridSpan w:val="3"/>
            <w:tcBorders>
              <w:top w:val="single" w:color="auto" w:sz="4" w:space="0"/>
              <w:left w:val="nil"/>
              <w:right w:val="single" w:color="auto" w:sz="4" w:space="0"/>
            </w:tcBorders>
            <w:vAlign w:val="center"/>
          </w:tcPr>
          <w:p>
            <w:pPr>
              <w:widowControl/>
              <w:spacing w:line="240" w:lineRule="exact"/>
              <w:jc w:val="both"/>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组织实施单位清查数</w:t>
            </w:r>
          </w:p>
        </w:tc>
        <w:tc>
          <w:tcPr>
            <w:tcW w:w="849" w:type="dxa"/>
            <w:tcBorders>
              <w:top w:val="single" w:color="auto" w:sz="4" w:space="0"/>
              <w:left w:val="nil"/>
              <w:right w:val="single" w:color="auto" w:sz="4" w:space="0"/>
            </w:tcBorders>
            <w:vAlign w:val="center"/>
          </w:tcPr>
          <w:p>
            <w:pPr>
              <w:widowControl/>
              <w:spacing w:line="240" w:lineRule="exact"/>
              <w:jc w:val="both"/>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根据实际情况</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完成</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9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w:t>
            </w:r>
          </w:p>
        </w:tc>
      </w:tr>
      <w:tr>
        <w:tblPrEx>
          <w:tblLayout w:type="fixed"/>
          <w:tblCellMar>
            <w:top w:w="0" w:type="dxa"/>
            <w:left w:w="108" w:type="dxa"/>
            <w:bottom w:w="0" w:type="dxa"/>
            <w:right w:w="108" w:type="dxa"/>
          </w:tblCellMar>
        </w:tblPrEx>
        <w:trPr>
          <w:trHeight w:val="541"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产出质量</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单位清查工作质量</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定性</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9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w:t>
            </w:r>
          </w:p>
        </w:tc>
      </w:tr>
      <w:tr>
        <w:tblPrEx>
          <w:tblLayout w:type="fixed"/>
          <w:tblCellMar>
            <w:top w:w="0" w:type="dxa"/>
            <w:left w:w="108" w:type="dxa"/>
            <w:bottom w:w="0" w:type="dxa"/>
            <w:right w:w="108" w:type="dxa"/>
          </w:tblCellMar>
        </w:tblPrEx>
        <w:trPr>
          <w:trHeight w:val="541"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产出时效</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完成清查工作时效</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定性</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9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w:t>
            </w:r>
          </w:p>
        </w:tc>
      </w:tr>
      <w:tr>
        <w:tblPrEx>
          <w:tblLayout w:type="fixed"/>
          <w:tblCellMar>
            <w:top w:w="0" w:type="dxa"/>
            <w:left w:w="108" w:type="dxa"/>
            <w:bottom w:w="0" w:type="dxa"/>
            <w:right w:w="108" w:type="dxa"/>
          </w:tblCellMar>
        </w:tblPrEx>
        <w:trPr>
          <w:trHeight w:val="541"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产出成本</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成本控制情况</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定性</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9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w:t>
            </w:r>
          </w:p>
        </w:tc>
      </w:tr>
      <w:tr>
        <w:tblPrEx>
          <w:tblLayout w:type="fixed"/>
          <w:tblCellMar>
            <w:top w:w="0" w:type="dxa"/>
            <w:left w:w="108" w:type="dxa"/>
            <w:bottom w:w="0" w:type="dxa"/>
            <w:right w:w="108" w:type="dxa"/>
          </w:tblCellMar>
        </w:tblPrEx>
        <w:trPr>
          <w:trHeight w:val="541" w:hRule="atLeast"/>
          <w:jc w:val="center"/>
        </w:trPr>
        <w:tc>
          <w:tcPr>
            <w:tcW w:w="58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right w:val="single" w:color="auto" w:sz="4" w:space="0"/>
            </w:tcBorders>
            <w:vAlign w:val="center"/>
          </w:tcPr>
          <w:p>
            <w:pPr>
              <w:widowControl/>
              <w:spacing w:line="240" w:lineRule="exact"/>
              <w:jc w:val="center"/>
              <w:rPr>
                <w:rFonts w:hint="eastAsia"/>
                <w:lang w:eastAsia="zh-CN"/>
              </w:rPr>
            </w:pPr>
            <w:r>
              <w:rPr>
                <w:rFonts w:hint="eastAsia"/>
                <w:lang w:eastAsia="zh-CN"/>
              </w:rPr>
              <w:t>效益</w:t>
            </w:r>
          </w:p>
        </w:tc>
        <w:tc>
          <w:tcPr>
            <w:tcW w:w="1105"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项目效益</w:t>
            </w:r>
          </w:p>
        </w:tc>
        <w:tc>
          <w:tcPr>
            <w:tcW w:w="2137" w:type="dxa"/>
            <w:gridSpan w:val="3"/>
            <w:tcBorders>
              <w:top w:val="single" w:color="auto" w:sz="4" w:space="0"/>
              <w:left w:val="nil"/>
              <w:right w:val="single" w:color="auto" w:sz="4" w:space="0"/>
            </w:tcBorders>
            <w:vAlign w:val="center"/>
          </w:tcPr>
          <w:p>
            <w:pPr>
              <w:widowControl/>
              <w:spacing w:line="240" w:lineRule="exact"/>
              <w:jc w:val="both"/>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项目实施效益</w:t>
            </w:r>
          </w:p>
        </w:tc>
        <w:tc>
          <w:tcPr>
            <w:tcW w:w="849"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定性</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完成</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19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w:t>
            </w:r>
          </w:p>
        </w:tc>
      </w:tr>
      <w:tr>
        <w:tblPrEx>
          <w:tblLayout w:type="fixed"/>
          <w:tblCellMar>
            <w:top w:w="0" w:type="dxa"/>
            <w:left w:w="108" w:type="dxa"/>
            <w:bottom w:w="0" w:type="dxa"/>
            <w:right w:w="108" w:type="dxa"/>
          </w:tblCellMar>
        </w:tblPrEx>
        <w:trPr>
          <w:trHeight w:val="34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98</w:t>
            </w:r>
          </w:p>
        </w:tc>
        <w:tc>
          <w:tcPr>
            <w:tcW w:w="199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w:t>
            </w:r>
          </w:p>
        </w:tc>
      </w:tr>
    </w:tbl>
    <w:p>
      <w:pPr>
        <w:rPr>
          <w:rFonts w:hint="eastAsia" w:ascii="仿宋_GB2312" w:eastAsia="仿宋_GB2312"/>
          <w:vanish/>
          <w:sz w:val="32"/>
          <w:szCs w:val="32"/>
        </w:rPr>
      </w:pPr>
    </w:p>
    <w:p>
      <w:pPr>
        <w:widowControl/>
        <w:jc w:val="left"/>
        <w:rPr>
          <w:rFonts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填报注意事项：</w:t>
      </w:r>
    </w:p>
    <w:p>
      <w:pPr>
        <w:widowControl/>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1.得分一档最高不能超过该指标分值上限。</w:t>
      </w:r>
    </w:p>
    <w:p>
      <w:pPr>
        <w:widowControl/>
        <w:spacing w:line="5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pPr>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3.请在“偏差原因分析及改进措施”中说明偏离目标、不能完成目标的原因及拟采取的措施。</w:t>
      </w:r>
    </w:p>
    <w:p>
      <w:pPr>
        <w:spacing w:line="52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4.90（含）-100分为优、80（含）-90分为良、60（含）-80分为中、60分以下为差。</w:t>
      </w:r>
    </w:p>
    <w:p>
      <w:pPr>
        <w:spacing w:line="480" w:lineRule="exact"/>
        <w:rPr>
          <w:rFonts w:hint="eastAsia" w:ascii="仿宋_GB2312" w:eastAsia="仿宋_GB2312"/>
          <w:sz w:val="32"/>
          <w:szCs w:val="32"/>
        </w:rPr>
      </w:pPr>
    </w:p>
    <w:p>
      <w:pPr>
        <w:pStyle w:val="2"/>
        <w:ind w:firstLine="640"/>
        <w:rPr>
          <w:rFonts w:hint="eastAsia" w:ascii="仿宋_GB2312" w:eastAsia="仿宋_GB2312"/>
          <w:sz w:val="32"/>
          <w:szCs w:val="32"/>
        </w:rPr>
      </w:pPr>
    </w:p>
    <w:p>
      <w:pPr>
        <w:pStyle w:val="2"/>
        <w:ind w:firstLine="640"/>
        <w:rPr>
          <w:rFonts w:hint="eastAsia" w:ascii="仿宋_GB2312" w:eastAsia="仿宋_GB2312"/>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600" w:lineRule="exact"/>
        <w:jc w:val="center"/>
        <w:rPr>
          <w:rFonts w:hint="eastAsia" w:ascii="方正小标宋简体" w:hAnsi="方正小标宋简体" w:eastAsia="方正小标宋简体" w:cs="方正小标宋简体"/>
          <w:sz w:val="36"/>
          <w:szCs w:val="36"/>
        </w:rPr>
      </w:pPr>
    </w:p>
    <w:p>
      <w:pPr>
        <w:spacing w:line="600" w:lineRule="exact"/>
        <w:jc w:val="center"/>
        <w:rPr>
          <w:rFonts w:hint="eastAsia" w:ascii="方正小标宋简体" w:hAnsi="方正小标宋简体" w:eastAsia="方正小标宋简体" w:cs="方正小标宋简体"/>
          <w:sz w:val="36"/>
          <w:szCs w:val="36"/>
        </w:rPr>
      </w:pPr>
    </w:p>
    <w:p>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3</w:t>
      </w:r>
      <w:r>
        <w:rPr>
          <w:rFonts w:hint="eastAsia" w:ascii="方正小标宋简体" w:hAnsi="方正小标宋简体" w:eastAsia="方正小标宋简体" w:cs="方正小标宋简体"/>
          <w:sz w:val="36"/>
          <w:szCs w:val="36"/>
        </w:rPr>
        <w:t>年度中央对北京XX转移支付</w:t>
      </w:r>
    </w:p>
    <w:p>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预算执行情况绩效自评报告</w:t>
      </w:r>
    </w:p>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（参考提纲）</w:t>
      </w:r>
    </w:p>
    <w:p>
      <w:pPr>
        <w:spacing w:line="600" w:lineRule="exact"/>
        <w:ind w:firstLine="640" w:firstLineChars="200"/>
        <w:rPr>
          <w:rFonts w:hint="eastAsia" w:ascii="黑体" w:hAnsi="黑体" w:eastAsia="黑体" w:cs="黑体"/>
          <w:sz w:val="32"/>
          <w:szCs w:val="32"/>
        </w:rPr>
      </w:pP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一、转移支付基本情况</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（一）XX转移支付概况。</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（二）资金投入情况分析。（分析资金投入及执行情况）</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（三）资金管理情况分析。（分析资金分配、下达、拨付、使用、执行、预算绩效管理、支出责任履行等情况）</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二、绩效目标实现情况</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（一）总体绩效目标完成情况分析。（对照总体目标分析全年实际完成情况）</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（二）绩效指标完成情况分析。（根据各三级绩效指标值，逐项分析全年实际完成情况）</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三、绩效自评结论</w:t>
      </w:r>
    </w:p>
    <w:p>
      <w:pPr>
        <w:pStyle w:val="2"/>
        <w:ind w:firstLine="640"/>
        <w:rPr>
          <w:rFonts w:hint="eastAsia" w:ascii="黑体" w:eastAsia="黑体"/>
          <w:sz w:val="32"/>
          <w:szCs w:val="32"/>
        </w:rPr>
      </w:pPr>
      <w:r>
        <w:rPr>
          <w:rFonts w:hint="eastAsia" w:ascii="楷体_GB2312" w:hAnsi="楷体_GB2312" w:eastAsia="楷体_GB2312" w:cs="楷体_GB2312"/>
          <w:sz w:val="32"/>
          <w:szCs w:val="32"/>
        </w:rPr>
        <w:t>（市级主管部门对中央对北京XX转移支付整体情况绩效自评结论）</w:t>
      </w:r>
    </w:p>
    <w:p>
      <w:pPr>
        <w:pStyle w:val="2"/>
        <w:rPr>
          <w:rFonts w:hint="eastAsia"/>
        </w:rPr>
      </w:pPr>
    </w:p>
    <w:sectPr>
      <w:footerReference r:id="rId3" w:type="default"/>
      <w:footerReference r:id="rId4"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23</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15</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32D5CD"/>
    <w:multiLevelType w:val="singleLevel"/>
    <w:tmpl w:val="CB32D5CD"/>
    <w:lvl w:ilvl="0" w:tentative="0">
      <w:start w:val="2"/>
      <w:numFmt w:val="chineseCounting"/>
      <w:suff w:val="nothing"/>
      <w:lvlText w:val="（%1）"/>
      <w:lvlJc w:val="left"/>
      <w:rPr>
        <w:rFonts w:hint="eastAsia"/>
      </w:rPr>
    </w:lvl>
  </w:abstractNum>
  <w:abstractNum w:abstractNumId="1">
    <w:nsid w:val="E3363C1B"/>
    <w:multiLevelType w:val="singleLevel"/>
    <w:tmpl w:val="E3363C1B"/>
    <w:lvl w:ilvl="0" w:tentative="0">
      <w:start w:val="3"/>
      <w:numFmt w:val="decimal"/>
      <w:suff w:val="nothing"/>
      <w:lvlText w:val="%1、"/>
      <w:lvlJc w:val="left"/>
    </w:lvl>
  </w:abstractNum>
  <w:abstractNum w:abstractNumId="2">
    <w:nsid w:val="E3AD6643"/>
    <w:multiLevelType w:val="singleLevel"/>
    <w:tmpl w:val="E3AD6643"/>
    <w:lvl w:ilvl="0" w:tentative="0">
      <w:start w:val="3"/>
      <w:numFmt w:val="chineseCounting"/>
      <w:suff w:val="nothing"/>
      <w:lvlText w:val="%1、"/>
      <w:lvlJc w:val="left"/>
      <w:rPr>
        <w:rFonts w:hint="eastAsia"/>
      </w:rPr>
    </w:lvl>
  </w:abstractNum>
  <w:abstractNum w:abstractNumId="3">
    <w:nsid w:val="5D9D2D53"/>
    <w:multiLevelType w:val="singleLevel"/>
    <w:tmpl w:val="5D9D2D53"/>
    <w:lvl w:ilvl="0" w:tentative="0">
      <w:start w:val="2"/>
      <w:numFmt w:val="chineseCounting"/>
      <w:suff w:val="nothing"/>
      <w:lvlText w:val="（%1）"/>
      <w:lvlJc w:val="left"/>
      <w:rPr>
        <w:rFonts w:hint="eastAsia"/>
      </w:rPr>
    </w:lvl>
  </w:abstractNum>
  <w:abstractNum w:abstractNumId="4">
    <w:nsid w:val="7B0679DF"/>
    <w:multiLevelType w:val="singleLevel"/>
    <w:tmpl w:val="7B0679DF"/>
    <w:lvl w:ilvl="0" w:tentative="0">
      <w:start w:val="2"/>
      <w:numFmt w:val="chineseCounting"/>
      <w:suff w:val="nothing"/>
      <w:lvlText w:val="（%1）"/>
      <w:lvlJc w:val="left"/>
      <w:rPr>
        <w:rFonts w:hint="eastAsia"/>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MDlmODM4NDM3ZTUzZTJhOWRjZWIxNmVkMjQxNTM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97785"/>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3C50BBF"/>
    <w:rsid w:val="054B7F7B"/>
    <w:rsid w:val="079004AC"/>
    <w:rsid w:val="0AC669B2"/>
    <w:rsid w:val="0F8E2C57"/>
    <w:rsid w:val="1059665E"/>
    <w:rsid w:val="10637A3C"/>
    <w:rsid w:val="10AC13BA"/>
    <w:rsid w:val="148802B1"/>
    <w:rsid w:val="166F15E3"/>
    <w:rsid w:val="17411813"/>
    <w:rsid w:val="174F3BD1"/>
    <w:rsid w:val="17A57EA4"/>
    <w:rsid w:val="1AEC0734"/>
    <w:rsid w:val="1B505D53"/>
    <w:rsid w:val="1C731DEB"/>
    <w:rsid w:val="1DEF20B0"/>
    <w:rsid w:val="202F651D"/>
    <w:rsid w:val="214243FA"/>
    <w:rsid w:val="21C61D5D"/>
    <w:rsid w:val="23523C88"/>
    <w:rsid w:val="257A14F5"/>
    <w:rsid w:val="26E735B7"/>
    <w:rsid w:val="27196C26"/>
    <w:rsid w:val="272D1C3F"/>
    <w:rsid w:val="27E17521"/>
    <w:rsid w:val="287773E4"/>
    <w:rsid w:val="29EF086F"/>
    <w:rsid w:val="2A9861B9"/>
    <w:rsid w:val="2CE04E62"/>
    <w:rsid w:val="2D294DB5"/>
    <w:rsid w:val="2EFFE297"/>
    <w:rsid w:val="301437CA"/>
    <w:rsid w:val="316F30A8"/>
    <w:rsid w:val="33B866C3"/>
    <w:rsid w:val="379C4036"/>
    <w:rsid w:val="37CC5613"/>
    <w:rsid w:val="393221F8"/>
    <w:rsid w:val="395A7272"/>
    <w:rsid w:val="3A6257AD"/>
    <w:rsid w:val="3CA9147C"/>
    <w:rsid w:val="3F786C77"/>
    <w:rsid w:val="3F9B68B0"/>
    <w:rsid w:val="40073FF8"/>
    <w:rsid w:val="433E495C"/>
    <w:rsid w:val="45467DD5"/>
    <w:rsid w:val="47CD3D74"/>
    <w:rsid w:val="48631B6E"/>
    <w:rsid w:val="487F5CF5"/>
    <w:rsid w:val="48E30728"/>
    <w:rsid w:val="498E66C1"/>
    <w:rsid w:val="4AB145CE"/>
    <w:rsid w:val="4AC27CB3"/>
    <w:rsid w:val="4BF72BEF"/>
    <w:rsid w:val="4F433E0F"/>
    <w:rsid w:val="516F6B28"/>
    <w:rsid w:val="51DB3C59"/>
    <w:rsid w:val="5322531C"/>
    <w:rsid w:val="53B13D77"/>
    <w:rsid w:val="550E13AD"/>
    <w:rsid w:val="55762E42"/>
    <w:rsid w:val="56313DFB"/>
    <w:rsid w:val="57A7B272"/>
    <w:rsid w:val="58470068"/>
    <w:rsid w:val="5A1720F9"/>
    <w:rsid w:val="5B9C37C2"/>
    <w:rsid w:val="5BA7C654"/>
    <w:rsid w:val="5F812EDA"/>
    <w:rsid w:val="5F99539C"/>
    <w:rsid w:val="63FF0148"/>
    <w:rsid w:val="64C0607C"/>
    <w:rsid w:val="66776E7F"/>
    <w:rsid w:val="66BA68F7"/>
    <w:rsid w:val="676F09E1"/>
    <w:rsid w:val="6A234CED"/>
    <w:rsid w:val="6A677B98"/>
    <w:rsid w:val="6BB3460B"/>
    <w:rsid w:val="6C883352"/>
    <w:rsid w:val="6D36356F"/>
    <w:rsid w:val="6E1DD6B5"/>
    <w:rsid w:val="75B829CD"/>
    <w:rsid w:val="76D06DB9"/>
    <w:rsid w:val="77FFF19E"/>
    <w:rsid w:val="792B79F4"/>
    <w:rsid w:val="7A7F1C49"/>
    <w:rsid w:val="7B330394"/>
    <w:rsid w:val="7B5B7AE6"/>
    <w:rsid w:val="7BA7071E"/>
    <w:rsid w:val="7BCB41AD"/>
    <w:rsid w:val="7BDF6DA8"/>
    <w:rsid w:val="7C7EDC1A"/>
    <w:rsid w:val="7CCED98D"/>
    <w:rsid w:val="7D08410F"/>
    <w:rsid w:val="7DB96DED"/>
    <w:rsid w:val="7DD3AD81"/>
    <w:rsid w:val="7E280B01"/>
    <w:rsid w:val="7EE72A82"/>
    <w:rsid w:val="7EFA69D2"/>
    <w:rsid w:val="7F7FE70F"/>
    <w:rsid w:val="7FFF772F"/>
    <w:rsid w:val="95F35EF6"/>
    <w:rsid w:val="9BFFD860"/>
    <w:rsid w:val="AC5F73DE"/>
    <w:rsid w:val="B0EF641F"/>
    <w:rsid w:val="B5DDD2C8"/>
    <w:rsid w:val="B9DFABD9"/>
    <w:rsid w:val="BC0D83FC"/>
    <w:rsid w:val="BF3BDEFB"/>
    <w:rsid w:val="C75F6086"/>
    <w:rsid w:val="C7F7ED2D"/>
    <w:rsid w:val="CFAF854E"/>
    <w:rsid w:val="D8D7928E"/>
    <w:rsid w:val="D8FE3136"/>
    <w:rsid w:val="DDDE60B7"/>
    <w:rsid w:val="DDFB0BAE"/>
    <w:rsid w:val="DE9F6A22"/>
    <w:rsid w:val="DF4FCE6A"/>
    <w:rsid w:val="E4FED278"/>
    <w:rsid w:val="EDAA365C"/>
    <w:rsid w:val="EDADFC12"/>
    <w:rsid w:val="F2FD229B"/>
    <w:rsid w:val="F3F08023"/>
    <w:rsid w:val="F7F709E9"/>
    <w:rsid w:val="F7FF3690"/>
    <w:rsid w:val="F9BD3900"/>
    <w:rsid w:val="FC8B9876"/>
    <w:rsid w:val="FEDFF218"/>
    <w:rsid w:val="FEDFFF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widowControl w:val="0"/>
      <w:spacing w:before="100" w:beforeAutospacing="1" w:after="100" w:afterAutospacing="1"/>
      <w:outlineLvl w:val="1"/>
    </w:pPr>
    <w:rPr>
      <w:rFonts w:ascii="Cambria" w:hAnsi="Cambria" w:eastAsia="黑体" w:cs="Times New Roman"/>
      <w:b/>
      <w:bCs/>
      <w:kern w:val="0"/>
      <w:sz w:val="36"/>
      <w:szCs w:val="32"/>
      <w:lang w:bidi="ar-SA"/>
    </w:rPr>
  </w:style>
  <w:style w:type="character" w:default="1" w:styleId="13">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3"/>
    <w:qFormat/>
    <w:uiPriority w:val="0"/>
    <w:pPr>
      <w:ind w:firstLine="200" w:firstLineChars="200"/>
    </w:pPr>
  </w:style>
  <w:style w:type="paragraph" w:styleId="3">
    <w:name w:val="Body Text"/>
    <w:basedOn w:val="1"/>
    <w:qFormat/>
    <w:uiPriority w:val="1"/>
    <w:pPr>
      <w:ind w:left="109"/>
    </w:pPr>
    <w:rPr>
      <w:rFonts w:ascii="仿宋_GB2312" w:hAnsi="仿宋_GB2312" w:eastAsia="仿宋_GB2312" w:cs="仿宋_GB2312"/>
      <w:sz w:val="32"/>
      <w:szCs w:val="32"/>
      <w:lang w:val="zh-CN" w:bidi="zh-CN"/>
    </w:rPr>
  </w:style>
  <w:style w:type="paragraph" w:styleId="5">
    <w:name w:val="Body Text Indent"/>
    <w:basedOn w:val="1"/>
    <w:qFormat/>
    <w:uiPriority w:val="0"/>
    <w:pPr>
      <w:ind w:firstLine="645"/>
    </w:pPr>
    <w:rPr>
      <w:rFonts w:ascii="仿宋_GB2312" w:hAnsi="Calibri" w:eastAsia="仿宋_GB2312"/>
      <w:sz w:val="32"/>
      <w:szCs w:val="32"/>
    </w:r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next w:val="1"/>
    <w:link w:val="17"/>
    <w:qFormat/>
    <w:uiPriority w:val="0"/>
    <w:pPr>
      <w:tabs>
        <w:tab w:val="center" w:pos="4153"/>
        <w:tab w:val="right" w:pos="8306"/>
      </w:tabs>
      <w:snapToGrid w:val="0"/>
      <w:jc w:val="left"/>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toc 1"/>
    <w:basedOn w:val="1"/>
    <w:next w:val="1"/>
    <w:qFormat/>
    <w:uiPriority w:val="0"/>
    <w:pPr>
      <w:tabs>
        <w:tab w:val="right" w:leader="dot" w:pos="8874"/>
      </w:tabs>
      <w:ind w:firstLine="480" w:firstLineChars="200"/>
      <w:jc w:val="left"/>
    </w:pPr>
    <w:rPr>
      <w:rFonts w:ascii="华文中宋" w:hAnsi="华文中宋" w:eastAsia="华文中宋"/>
      <w:sz w:val="24"/>
    </w:rPr>
  </w:style>
  <w:style w:type="paragraph" w:styleId="11">
    <w:name w:val="Normal (Web)"/>
    <w:basedOn w:val="1"/>
    <w:unhideWhenUsed/>
    <w:qFormat/>
    <w:uiPriority w:val="0"/>
    <w:pPr>
      <w:spacing w:before="100" w:beforeAutospacing="1" w:after="100" w:afterAutospacing="1"/>
      <w:ind w:right="238"/>
      <w:jc w:val="left"/>
    </w:pPr>
    <w:rPr>
      <w:b/>
      <w:kern w:val="0"/>
      <w:sz w:val="24"/>
      <w:szCs w:val="20"/>
    </w:rPr>
  </w:style>
  <w:style w:type="paragraph" w:styleId="12">
    <w:name w:val="Title"/>
    <w:basedOn w:val="1"/>
    <w:next w:val="1"/>
    <w:qFormat/>
    <w:uiPriority w:val="0"/>
    <w:pPr>
      <w:widowControl/>
      <w:spacing w:before="240" w:after="60"/>
      <w:jc w:val="center"/>
      <w:outlineLvl w:val="0"/>
    </w:pPr>
    <w:rPr>
      <w:rFonts w:ascii="Cambria" w:hAnsi="Cambria"/>
      <w:b/>
      <w:bCs/>
      <w:sz w:val="32"/>
      <w:szCs w:val="32"/>
    </w:rPr>
  </w:style>
  <w:style w:type="character" w:styleId="14">
    <w:name w:val="Strong"/>
    <w:qFormat/>
    <w:uiPriority w:val="0"/>
    <w:rPr>
      <w:b/>
    </w:rPr>
  </w:style>
  <w:style w:type="character" w:styleId="15">
    <w:name w:val="page number"/>
    <w:qFormat/>
    <w:uiPriority w:val="0"/>
  </w:style>
  <w:style w:type="character" w:customStyle="1" w:styleId="17">
    <w:name w:val="页脚 Char"/>
    <w:link w:val="8"/>
    <w:qFormat/>
    <w:uiPriority w:val="0"/>
    <w:rPr>
      <w:rFonts w:eastAsia="宋体"/>
      <w:kern w:val="2"/>
      <w:sz w:val="18"/>
      <w:szCs w:val="18"/>
      <w:lang w:val="en-US" w:eastAsia="zh-CN" w:bidi="ar-SA"/>
    </w:rPr>
  </w:style>
  <w:style w:type="character" w:customStyle="1" w:styleId="18">
    <w:name w:val="页眉 Char"/>
    <w:link w:val="9"/>
    <w:qFormat/>
    <w:uiPriority w:val="0"/>
    <w:rPr>
      <w:rFonts w:ascii="Calibri" w:hAnsi="Calibri" w:eastAsia="宋体"/>
      <w:kern w:val="2"/>
      <w:sz w:val="18"/>
      <w:szCs w:val="18"/>
      <w:lang w:val="en-US" w:eastAsia="zh-CN" w:bidi="ar-SA"/>
    </w:rPr>
  </w:style>
  <w:style w:type="paragraph" w:customStyle="1" w:styleId="19">
    <w:name w:val=" Char Char Char Char Char Char Char"/>
    <w:basedOn w:val="1"/>
    <w:qFormat/>
    <w:uiPriority w:val="0"/>
    <w:rPr>
      <w:rFonts w:ascii="Tahoma" w:hAnsi="Tahoma"/>
      <w:sz w:val="24"/>
      <w:szCs w:val="20"/>
    </w:rPr>
  </w:style>
  <w:style w:type="paragraph" w:customStyle="1" w:styleId="20">
    <w:name w:val="Char1 Char Char Char"/>
    <w:basedOn w:val="1"/>
    <w:qFormat/>
    <w:uiPriority w:val="0"/>
    <w:pPr>
      <w:widowControl/>
      <w:spacing w:after="160" w:line="240" w:lineRule="exact"/>
      <w:jc w:val="left"/>
    </w:pPr>
    <w:rPr>
      <w:szCs w:val="20"/>
    </w:rPr>
  </w:style>
  <w:style w:type="paragraph" w:customStyle="1" w:styleId="21">
    <w:name w:val="Char"/>
    <w:basedOn w:val="1"/>
    <w:qFormat/>
    <w:uiPriority w:val="0"/>
    <w:rPr>
      <w:rFonts w:ascii="Tahoma" w:hAnsi="Tahoma"/>
      <w:sz w:val="24"/>
      <w:szCs w:val="20"/>
    </w:rPr>
  </w:style>
  <w:style w:type="paragraph" w:customStyle="1" w:styleId="22">
    <w:name w:val="Char Char3 Char Char"/>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baseline="0">
              <a:solidFill>
                <a:schemeClr val="bg1">
                  <a:lumMod val="50000"/>
                </a:schemeClr>
              </a:solidFill>
              <a:latin typeface="+mn-lt"/>
              <a:ea typeface="+mn-ea"/>
              <a:cs typeface="+mn-cs"/>
            </a:defRPr>
          </a:pPr>
        </a:p>
      </c:txPr>
    </c:title>
    <c:autoTitleDeleted val="0"/>
    <c:plotArea>
      <c:layout/>
      <c:pieChart>
        <c:varyColors val="1"/>
        <c:ser>
          <c:idx val="0"/>
          <c:order val="0"/>
          <c:tx>
            <c:strRef>
              <c:f>Sheet1!$B$1</c:f>
              <c:strCache>
                <c:ptCount val="1"/>
                <c:pt idx="0">
                  <c:v>收入决算</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财政拨款收入</c:v>
                </c:pt>
                <c:pt idx="1">
                  <c:v>上级补助收入</c:v>
                </c:pt>
                <c:pt idx="2">
                  <c:v>事业收入</c:v>
                </c:pt>
                <c:pt idx="3">
                  <c:v>经营收入</c:v>
                </c:pt>
                <c:pt idx="4">
                  <c:v>附属单位收入</c:v>
                </c:pt>
                <c:pt idx="5">
                  <c:v>其他收入</c:v>
                </c:pt>
              </c:strCache>
            </c:strRef>
          </c:cat>
          <c:val>
            <c:numRef>
              <c:f>Sheet1!$B$2:$B$7</c:f>
              <c:numCache>
                <c:formatCode>General</c:formatCode>
                <c:ptCount val="6"/>
                <c:pt idx="0">
                  <c:v>2047.7</c:v>
                </c:pt>
                <c:pt idx="1">
                  <c:v>0</c:v>
                </c:pt>
                <c:pt idx="2">
                  <c:v>0</c:v>
                </c:pt>
                <c:pt idx="3">
                  <c:v>0</c:v>
                </c:pt>
                <c:pt idx="4">
                  <c:v>0</c:v>
                </c:pt>
                <c:pt idx="5">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egendEntry>
        <c:idx val="4"/>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egendEntry>
        <c:idx val="5"/>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dLblPos val="bestFit"/>
              <c:showLegendKey val="0"/>
              <c:showVal val="1"/>
              <c:showCatName val="0"/>
              <c:showSerName val="0"/>
              <c:showPercent val="0"/>
              <c:showBubbleSize val="0"/>
              <c:extLst>
                <c:ext xmlns:c15="http://schemas.microsoft.com/office/drawing/2012/chart" uri="{CE6537A1-D6FC-4f65-9D91-7224C49458BB}"/>
              </c:extLst>
            </c:dLbl>
            <c:dLbl>
              <c:idx val="2"/>
              <c:delete val="1"/>
            </c:dLbl>
            <c:dLbl>
              <c:idx val="3"/>
              <c:delete val="1"/>
            </c:dLbl>
            <c:dLbl>
              <c:idx val="4"/>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[工作簿1]Sheet1!$G$4:$G$8</c:f>
              <c:strCache>
                <c:ptCount val="5"/>
                <c:pt idx="0">
                  <c:v>基本支出</c:v>
                </c:pt>
                <c:pt idx="1">
                  <c:v>项目支出</c:v>
                </c:pt>
                <c:pt idx="2">
                  <c:v>上缴上级支出</c:v>
                </c:pt>
                <c:pt idx="3">
                  <c:v>经营支出</c:v>
                </c:pt>
                <c:pt idx="4">
                  <c:v>对附属单位补助支出</c:v>
                </c:pt>
              </c:strCache>
            </c:strRef>
          </c:cat>
          <c:val>
            <c:numRef>
              <c:f>[工作簿1]Sheet1!$H$4:$H$8</c:f>
              <c:numCache>
                <c:formatCode>0.00%</c:formatCode>
                <c:ptCount val="5"/>
                <c:pt idx="0">
                  <c:v>0.8001</c:v>
                </c:pt>
                <c:pt idx="1">
                  <c:v>0.1898</c:v>
                </c:pt>
                <c:pt idx="2" c:formatCode="0%">
                  <c:v>0</c:v>
                </c:pt>
                <c:pt idx="3" c:formatCode="0%">
                  <c:v>0</c:v>
                </c:pt>
                <c:pt idx="4" c:formatCode="0%">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3815</Words>
  <Characters>6095</Characters>
  <Lines>77</Lines>
  <Paragraphs>21</Paragraphs>
  <TotalTime>4</TotalTime>
  <ScaleCrop>false</ScaleCrop>
  <LinksUpToDate>false</LinksUpToDate>
  <CharactersWithSpaces>6114</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2017-07-12T15:16:00Z</dcterms:created>
  <dc:creator>常程</dc:creator>
  <cp:lastModifiedBy>Administrator</cp:lastModifiedBy>
  <cp:lastPrinted>2020-08-08T11:39:00Z</cp:lastPrinted>
  <dcterms:modified xsi:type="dcterms:W3CDTF">2024-09-04T02:58:42Z</dcterms:modified>
  <dc:title>北京市财政局关于做好向市人大常委会报送2015年度市级部门决算（草案）</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B7DA60AF34B94478D05F9266662C39E8</vt:lpwstr>
  </property>
</Properties>
</file>