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color w:val="auto"/>
          <w:sz w:val="32"/>
          <w:szCs w:val="32"/>
        </w:rPr>
      </w:pPr>
    </w:p>
    <w:p>
      <w:pPr>
        <w:jc w:val="center"/>
        <w:rPr>
          <w:rFonts w:hint="default" w:ascii="黑体" w:eastAsia="黑体"/>
          <w:color w:val="auto"/>
          <w:sz w:val="72"/>
          <w:szCs w:val="72"/>
          <w:lang w:val="en-US" w:eastAsia="zh-CN"/>
        </w:rPr>
      </w:pPr>
      <w:r>
        <w:rPr>
          <w:rFonts w:hint="eastAsia" w:ascii="黑体" w:eastAsia="黑体"/>
          <w:color w:val="auto"/>
          <w:sz w:val="72"/>
          <w:szCs w:val="72"/>
          <w:lang w:val="en-US" w:eastAsia="zh-CN"/>
        </w:rPr>
        <w:t>北京市密云区农业农村局（本级）</w:t>
      </w:r>
    </w:p>
    <w:p>
      <w:pPr>
        <w:jc w:val="center"/>
        <w:rPr>
          <w:rFonts w:hint="eastAsia" w:ascii="黑体" w:eastAsia="黑体"/>
          <w:color w:val="auto"/>
          <w:sz w:val="72"/>
          <w:szCs w:val="72"/>
        </w:rPr>
      </w:pPr>
    </w:p>
    <w:p>
      <w:pPr>
        <w:jc w:val="center"/>
        <w:rPr>
          <w:rFonts w:hint="eastAsia" w:ascii="黑体" w:eastAsia="黑体"/>
          <w:color w:val="auto"/>
          <w:sz w:val="72"/>
          <w:szCs w:val="72"/>
        </w:rPr>
      </w:pPr>
      <w:r>
        <w:rPr>
          <w:rFonts w:hint="eastAsia" w:ascii="黑体" w:eastAsia="黑体"/>
          <w:color w:val="auto"/>
          <w:sz w:val="72"/>
          <w:szCs w:val="72"/>
        </w:rPr>
        <w:t>202</w:t>
      </w:r>
      <w:r>
        <w:rPr>
          <w:rFonts w:hint="eastAsia" w:ascii="黑体" w:eastAsia="黑体"/>
          <w:color w:val="auto"/>
          <w:sz w:val="72"/>
          <w:szCs w:val="72"/>
          <w:lang w:val="en-US" w:eastAsia="zh-CN"/>
        </w:rPr>
        <w:t>3</w:t>
      </w:r>
      <w:r>
        <w:rPr>
          <w:rFonts w:hint="eastAsia" w:ascii="黑体" w:eastAsia="黑体"/>
          <w:color w:val="auto"/>
          <w:sz w:val="72"/>
          <w:szCs w:val="72"/>
        </w:rPr>
        <w:t>年度部门决算（草案</w:t>
      </w:r>
      <w:r>
        <w:rPr>
          <w:rFonts w:ascii="黑体" w:eastAsia="黑体"/>
          <w:color w:val="auto"/>
          <w:sz w:val="72"/>
          <w:szCs w:val="72"/>
        </w:rPr>
        <w:t>）</w:t>
      </w: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hint="eastAsia" w:ascii="黑体" w:eastAsia="黑体"/>
          <w:color w:val="auto"/>
          <w:sz w:val="32"/>
          <w:szCs w:val="32"/>
        </w:rPr>
      </w:pPr>
    </w:p>
    <w:p>
      <w:pPr>
        <w:spacing w:line="500" w:lineRule="exact"/>
        <w:ind w:firstLine="645"/>
        <w:jc w:val="center"/>
        <w:rPr>
          <w:rFonts w:ascii="宋体" w:hAnsi="宋体" w:cs="宋体"/>
          <w:b/>
          <w:bCs/>
          <w:color w:val="auto"/>
          <w:kern w:val="0"/>
          <w:sz w:val="44"/>
          <w:szCs w:val="36"/>
        </w:rPr>
      </w:pPr>
      <w:r>
        <w:rPr>
          <w:rFonts w:hint="eastAsia" w:ascii="宋体" w:hAnsi="宋体" w:cs="宋体"/>
          <w:b/>
          <w:bCs/>
          <w:color w:val="auto"/>
          <w:kern w:val="0"/>
          <w:sz w:val="44"/>
          <w:szCs w:val="36"/>
        </w:rPr>
        <w:t>目    录</w:t>
      </w:r>
    </w:p>
    <w:p>
      <w:pPr>
        <w:spacing w:line="500" w:lineRule="exact"/>
        <w:ind w:firstLine="645"/>
        <w:jc w:val="center"/>
        <w:rPr>
          <w:rFonts w:hint="eastAsia" w:ascii="宋体" w:hAnsi="宋体" w:cs="宋体"/>
          <w:b/>
          <w:bCs/>
          <w:color w:val="auto"/>
          <w:kern w:val="0"/>
          <w:sz w:val="36"/>
          <w:szCs w:val="36"/>
        </w:rPr>
      </w:pPr>
    </w:p>
    <w:p>
      <w:pPr>
        <w:tabs>
          <w:tab w:val="center" w:pos="6979"/>
        </w:tabs>
        <w:spacing w:line="500" w:lineRule="exact"/>
        <w:ind w:firstLine="1600" w:firstLineChars="400"/>
        <w:jc w:val="left"/>
        <w:rPr>
          <w:rFonts w:hint="eastAsia" w:ascii="宋体" w:hAnsi="宋体" w:cs="宋体"/>
          <w:bCs/>
          <w:color w:val="auto"/>
          <w:spacing w:val="40"/>
          <w:kern w:val="0"/>
          <w:sz w:val="32"/>
          <w:szCs w:val="32"/>
        </w:rPr>
      </w:pPr>
      <w:r>
        <w:rPr>
          <w:rFonts w:hint="eastAsia" w:ascii="宋体" w:hAnsi="宋体" w:cs="宋体"/>
          <w:bCs/>
          <w:color w:val="auto"/>
          <w:spacing w:val="40"/>
          <w:kern w:val="0"/>
          <w:sz w:val="32"/>
          <w:szCs w:val="32"/>
        </w:rPr>
        <w:t>第一部分 202</w:t>
      </w:r>
      <w:r>
        <w:rPr>
          <w:rFonts w:hint="eastAsia" w:ascii="宋体" w:hAnsi="宋体" w:cs="宋体"/>
          <w:bCs/>
          <w:color w:val="auto"/>
          <w:spacing w:val="40"/>
          <w:kern w:val="0"/>
          <w:sz w:val="32"/>
          <w:szCs w:val="32"/>
          <w:lang w:val="en-US" w:eastAsia="zh-CN"/>
        </w:rPr>
        <w:t>3</w:t>
      </w:r>
      <w:r>
        <w:rPr>
          <w:rFonts w:hint="eastAsia" w:ascii="宋体" w:hAnsi="宋体" w:cs="宋体"/>
          <w:bCs/>
          <w:color w:val="auto"/>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color w:val="auto"/>
          <w:spacing w:val="40"/>
          <w:sz w:val="32"/>
          <w:szCs w:val="32"/>
        </w:rPr>
      </w:pPr>
      <w:r>
        <w:rPr>
          <w:rFonts w:hint="eastAsia" w:ascii="仿宋_GB2312" w:hAnsi="仿宋" w:eastAsia="仿宋_GB2312" w:cs="宋体"/>
          <w:bCs/>
          <w:color w:val="auto"/>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六、一般公共预算财政拨款支出决算表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七、一般公共预算财政拨款</w:t>
      </w:r>
      <w:r>
        <w:rPr>
          <w:rFonts w:ascii="仿宋_GB2312" w:hAnsi="仿宋" w:eastAsia="仿宋_GB2312" w:cs="宋体"/>
          <w:bCs/>
          <w:color w:val="auto"/>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八</w:t>
      </w:r>
      <w:r>
        <w:rPr>
          <w:rFonts w:ascii="仿宋_GB2312" w:hAnsi="仿宋" w:eastAsia="仿宋_GB2312" w:cs="宋体"/>
          <w:bCs/>
          <w:color w:val="auto"/>
          <w:spacing w:val="40"/>
          <w:kern w:val="0"/>
          <w:sz w:val="32"/>
          <w:szCs w:val="32"/>
        </w:rPr>
        <w:t>、</w:t>
      </w:r>
      <w:r>
        <w:rPr>
          <w:rFonts w:hint="eastAsia" w:ascii="仿宋_GB2312" w:hAnsi="仿宋" w:eastAsia="仿宋_GB2312" w:cs="宋体"/>
          <w:bCs/>
          <w:color w:val="auto"/>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九、</w:t>
      </w:r>
      <w:r>
        <w:rPr>
          <w:rFonts w:ascii="仿宋_GB2312" w:hAnsi="仿宋" w:eastAsia="仿宋_GB2312" w:cs="宋体"/>
          <w:bCs/>
          <w:color w:val="auto"/>
          <w:spacing w:val="40"/>
          <w:kern w:val="0"/>
          <w:sz w:val="32"/>
          <w:szCs w:val="32"/>
        </w:rPr>
        <w:t>政府性基金</w:t>
      </w:r>
      <w:r>
        <w:rPr>
          <w:rFonts w:hint="eastAsia" w:ascii="仿宋_GB2312" w:hAnsi="仿宋" w:eastAsia="仿宋_GB2312" w:cs="宋体"/>
          <w:bCs/>
          <w:color w:val="auto"/>
          <w:spacing w:val="40"/>
          <w:kern w:val="0"/>
          <w:sz w:val="32"/>
          <w:szCs w:val="32"/>
        </w:rPr>
        <w:t>预算</w:t>
      </w:r>
      <w:r>
        <w:rPr>
          <w:rFonts w:ascii="仿宋_GB2312" w:hAnsi="仿宋" w:eastAsia="仿宋_GB2312" w:cs="宋体"/>
          <w:bCs/>
          <w:color w:val="auto"/>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十、国有资本经营预算财政拨款支出决算表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十二、政府采购情况表</w:t>
      </w:r>
    </w:p>
    <w:p>
      <w:pPr>
        <w:tabs>
          <w:tab w:val="center" w:pos="6979"/>
        </w:tabs>
        <w:spacing w:line="500" w:lineRule="exact"/>
        <w:ind w:firstLine="2400" w:firstLineChars="600"/>
        <w:jc w:val="left"/>
        <w:rPr>
          <w:rFonts w:hint="eastAsia" w:ascii="仿宋_GB2312" w:hAnsi="仿宋" w:eastAsia="仿宋_GB2312" w:cs="宋体"/>
          <w:bCs/>
          <w:color w:val="auto"/>
          <w:spacing w:val="40"/>
          <w:kern w:val="0"/>
          <w:sz w:val="32"/>
          <w:szCs w:val="32"/>
        </w:rPr>
      </w:pPr>
      <w:r>
        <w:rPr>
          <w:rFonts w:hint="eastAsia" w:ascii="仿宋_GB2312" w:hAnsi="仿宋" w:eastAsia="仿宋_GB2312" w:cs="宋体"/>
          <w:bCs/>
          <w:color w:val="auto"/>
          <w:spacing w:val="40"/>
          <w:kern w:val="0"/>
          <w:sz w:val="32"/>
          <w:szCs w:val="32"/>
        </w:rPr>
        <w:t>十三、政府购买服务决算公开情况表</w:t>
      </w:r>
    </w:p>
    <w:p>
      <w:pPr>
        <w:tabs>
          <w:tab w:val="center" w:pos="6979"/>
        </w:tabs>
        <w:spacing w:line="500" w:lineRule="exact"/>
        <w:ind w:firstLine="1600" w:firstLineChars="400"/>
        <w:jc w:val="left"/>
        <w:rPr>
          <w:rFonts w:hint="eastAsia" w:ascii="宋体" w:hAnsi="宋体" w:cs="宋体"/>
          <w:bCs/>
          <w:color w:val="auto"/>
          <w:spacing w:val="40"/>
          <w:kern w:val="0"/>
          <w:sz w:val="32"/>
          <w:szCs w:val="32"/>
        </w:rPr>
      </w:pPr>
      <w:r>
        <w:rPr>
          <w:rFonts w:hint="eastAsia" w:ascii="宋体" w:hAnsi="宋体" w:cs="宋体"/>
          <w:bCs/>
          <w:color w:val="auto"/>
          <w:spacing w:val="40"/>
          <w:kern w:val="0"/>
          <w:sz w:val="32"/>
          <w:szCs w:val="32"/>
        </w:rPr>
        <w:t xml:space="preserve">第二部分 </w:t>
      </w:r>
      <w:r>
        <w:rPr>
          <w:rFonts w:hint="eastAsia" w:ascii="宋体" w:hAnsi="宋体"/>
          <w:color w:val="auto"/>
          <w:spacing w:val="40"/>
          <w:sz w:val="32"/>
          <w:szCs w:val="32"/>
        </w:rPr>
        <w:t>202</w:t>
      </w:r>
      <w:r>
        <w:rPr>
          <w:rFonts w:hint="eastAsia" w:ascii="宋体" w:hAnsi="宋体"/>
          <w:color w:val="auto"/>
          <w:spacing w:val="40"/>
          <w:sz w:val="32"/>
          <w:szCs w:val="32"/>
          <w:lang w:val="en-US" w:eastAsia="zh-CN"/>
        </w:rPr>
        <w:t>3</w:t>
      </w:r>
      <w:r>
        <w:rPr>
          <w:rFonts w:hint="eastAsia" w:ascii="宋体" w:hAnsi="宋体"/>
          <w:color w:val="auto"/>
          <w:spacing w:val="40"/>
          <w:sz w:val="32"/>
          <w:szCs w:val="32"/>
        </w:rPr>
        <w:t>年度部门决算说明</w:t>
      </w:r>
    </w:p>
    <w:p>
      <w:pPr>
        <w:tabs>
          <w:tab w:val="center" w:pos="6979"/>
        </w:tabs>
        <w:spacing w:line="500" w:lineRule="exact"/>
        <w:ind w:firstLine="1600" w:firstLineChars="400"/>
        <w:jc w:val="left"/>
        <w:rPr>
          <w:rFonts w:hint="eastAsia" w:ascii="宋体" w:hAnsi="宋体" w:cs="宋体"/>
          <w:color w:val="auto"/>
          <w:spacing w:val="40"/>
          <w:kern w:val="0"/>
          <w:sz w:val="32"/>
          <w:szCs w:val="32"/>
        </w:rPr>
      </w:pPr>
      <w:r>
        <w:rPr>
          <w:rFonts w:hint="eastAsia" w:ascii="宋体" w:hAnsi="宋体" w:cs="宋体"/>
          <w:bCs/>
          <w:color w:val="auto"/>
          <w:spacing w:val="40"/>
          <w:kern w:val="0"/>
          <w:sz w:val="32"/>
          <w:szCs w:val="32"/>
        </w:rPr>
        <w:t xml:space="preserve">第三部分 </w:t>
      </w:r>
      <w:r>
        <w:rPr>
          <w:rFonts w:hint="eastAsia" w:ascii="宋体" w:hAnsi="宋体"/>
          <w:color w:val="auto"/>
          <w:spacing w:val="40"/>
          <w:sz w:val="32"/>
          <w:szCs w:val="32"/>
        </w:rPr>
        <w:t>202</w:t>
      </w:r>
      <w:r>
        <w:rPr>
          <w:rFonts w:hint="eastAsia" w:ascii="宋体" w:hAnsi="宋体"/>
          <w:color w:val="auto"/>
          <w:spacing w:val="40"/>
          <w:sz w:val="32"/>
          <w:szCs w:val="32"/>
          <w:lang w:val="en-US" w:eastAsia="zh-CN"/>
        </w:rPr>
        <w:t>3</w:t>
      </w:r>
      <w:r>
        <w:rPr>
          <w:rFonts w:hint="eastAsia" w:ascii="宋体" w:hAnsi="宋体"/>
          <w:color w:val="auto"/>
          <w:spacing w:val="40"/>
          <w:sz w:val="32"/>
          <w:szCs w:val="32"/>
        </w:rPr>
        <w:t>年度</w:t>
      </w:r>
      <w:r>
        <w:rPr>
          <w:rFonts w:hint="eastAsia" w:ascii="宋体" w:hAnsi="宋体" w:cs="宋体"/>
          <w:color w:val="auto"/>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color w:val="auto"/>
          <w:spacing w:val="40"/>
          <w:kern w:val="0"/>
          <w:sz w:val="36"/>
          <w:szCs w:val="32"/>
        </w:rPr>
      </w:pPr>
      <w:r>
        <w:rPr>
          <w:rFonts w:hint="eastAsia" w:ascii="宋体" w:hAnsi="宋体" w:cs="宋体"/>
          <w:color w:val="auto"/>
          <w:spacing w:val="40"/>
          <w:kern w:val="0"/>
          <w:sz w:val="32"/>
          <w:szCs w:val="32"/>
        </w:rPr>
        <w:t>第四部分 202</w:t>
      </w:r>
      <w:r>
        <w:rPr>
          <w:rFonts w:hint="eastAsia" w:ascii="宋体" w:hAnsi="宋体" w:cs="宋体"/>
          <w:color w:val="auto"/>
          <w:spacing w:val="40"/>
          <w:kern w:val="0"/>
          <w:sz w:val="32"/>
          <w:szCs w:val="32"/>
          <w:lang w:val="en-US" w:eastAsia="zh-CN"/>
        </w:rPr>
        <w:t>3</w:t>
      </w:r>
      <w:r>
        <w:rPr>
          <w:rFonts w:hint="eastAsia" w:ascii="宋体" w:hAnsi="宋体" w:cs="宋体"/>
          <w:color w:val="auto"/>
          <w:spacing w:val="40"/>
          <w:kern w:val="0"/>
          <w:sz w:val="32"/>
          <w:szCs w:val="32"/>
        </w:rPr>
        <w:t>年度部门绩效评价情况</w:t>
      </w:r>
    </w:p>
    <w:p>
      <w:pPr>
        <w:tabs>
          <w:tab w:val="center" w:pos="6979"/>
        </w:tabs>
        <w:spacing w:before="156" w:beforeLines="50" w:after="156" w:afterLines="50"/>
        <w:jc w:val="center"/>
        <w:rPr>
          <w:rFonts w:ascii="宋体" w:hAnsi="宋体" w:cs="宋体"/>
          <w:b/>
          <w:bCs/>
          <w:color w:val="auto"/>
          <w:spacing w:val="40"/>
          <w:kern w:val="0"/>
          <w:sz w:val="32"/>
          <w:szCs w:val="32"/>
        </w:rPr>
      </w:pPr>
    </w:p>
    <w:p>
      <w:pPr>
        <w:tabs>
          <w:tab w:val="center" w:pos="6979"/>
        </w:tabs>
        <w:spacing w:before="156" w:beforeLines="50" w:after="156" w:afterLines="50"/>
        <w:jc w:val="center"/>
        <w:rPr>
          <w:rFonts w:ascii="宋体" w:hAnsi="宋体" w:cs="宋体"/>
          <w:b/>
          <w:bCs/>
          <w:color w:val="auto"/>
          <w:spacing w:val="40"/>
          <w:kern w:val="0"/>
          <w:sz w:val="32"/>
          <w:szCs w:val="32"/>
        </w:rPr>
      </w:pPr>
    </w:p>
    <w:p>
      <w:pPr>
        <w:tabs>
          <w:tab w:val="center" w:pos="6979"/>
        </w:tabs>
        <w:spacing w:before="156" w:beforeLines="50" w:after="156" w:afterLines="50"/>
        <w:jc w:val="center"/>
        <w:rPr>
          <w:rFonts w:hint="eastAsia" w:ascii="宋体" w:hAnsi="宋体" w:cs="宋体"/>
          <w:b/>
          <w:bCs/>
          <w:color w:val="auto"/>
          <w:spacing w:val="40"/>
          <w:kern w:val="0"/>
          <w:sz w:val="32"/>
          <w:szCs w:val="32"/>
        </w:rPr>
      </w:pPr>
    </w:p>
    <w:p>
      <w:pPr>
        <w:pStyle w:val="2"/>
        <w:rPr>
          <w:rFonts w:hint="eastAsia" w:ascii="宋体" w:hAnsi="宋体" w:cs="宋体"/>
          <w:b/>
          <w:bCs/>
          <w:color w:val="auto"/>
          <w:spacing w:val="40"/>
          <w:kern w:val="0"/>
          <w:sz w:val="32"/>
          <w:szCs w:val="32"/>
        </w:rPr>
      </w:pPr>
    </w:p>
    <w:p>
      <w:pPr>
        <w:pStyle w:val="3"/>
        <w:rPr>
          <w:rFonts w:hint="eastAsia"/>
        </w:rPr>
      </w:pPr>
    </w:p>
    <w:p>
      <w:pPr>
        <w:tabs>
          <w:tab w:val="center" w:pos="6979"/>
        </w:tabs>
        <w:spacing w:before="156" w:beforeLines="50" w:after="156" w:afterLines="50"/>
        <w:jc w:val="center"/>
        <w:rPr>
          <w:rFonts w:ascii="宋体" w:hAnsi="宋体" w:cs="宋体"/>
          <w:b/>
          <w:bCs/>
          <w:color w:val="auto"/>
          <w:spacing w:val="40"/>
          <w:kern w:val="0"/>
          <w:sz w:val="32"/>
          <w:szCs w:val="32"/>
        </w:rPr>
      </w:pPr>
    </w:p>
    <w:p>
      <w:pPr>
        <w:tabs>
          <w:tab w:val="center" w:pos="6979"/>
        </w:tabs>
        <w:spacing w:before="156" w:beforeLines="50" w:after="156" w:afterLines="50"/>
        <w:jc w:val="center"/>
        <w:rPr>
          <w:rFonts w:hint="eastAsia" w:ascii="宋体" w:hAnsi="宋体" w:cs="宋体"/>
          <w:b/>
          <w:bCs/>
          <w:color w:val="auto"/>
          <w:spacing w:val="40"/>
          <w:kern w:val="0"/>
          <w:sz w:val="32"/>
          <w:szCs w:val="32"/>
        </w:rPr>
      </w:pPr>
    </w:p>
    <w:p>
      <w:pPr>
        <w:tabs>
          <w:tab w:val="center" w:pos="6979"/>
        </w:tabs>
        <w:spacing w:before="156" w:beforeLines="50" w:after="156" w:afterLines="50"/>
        <w:jc w:val="center"/>
        <w:rPr>
          <w:rFonts w:hint="eastAsia" w:ascii="宋体" w:hAnsi="宋体" w:cs="宋体"/>
          <w:b/>
          <w:bCs/>
          <w:color w:val="auto"/>
          <w:spacing w:val="40"/>
          <w:kern w:val="0"/>
          <w:sz w:val="44"/>
          <w:szCs w:val="44"/>
        </w:rPr>
      </w:pPr>
      <w:r>
        <w:rPr>
          <w:rFonts w:hint="eastAsia" w:ascii="宋体" w:hAnsi="宋体" w:cs="宋体"/>
          <w:b/>
          <w:bCs/>
          <w:color w:val="auto"/>
          <w:spacing w:val="40"/>
          <w:kern w:val="0"/>
          <w:sz w:val="44"/>
          <w:szCs w:val="44"/>
        </w:rPr>
        <w:t>第一部分 202</w:t>
      </w:r>
      <w:r>
        <w:rPr>
          <w:rFonts w:hint="eastAsia" w:ascii="宋体" w:hAnsi="宋体" w:cs="宋体"/>
          <w:b/>
          <w:bCs/>
          <w:color w:val="auto"/>
          <w:spacing w:val="40"/>
          <w:kern w:val="0"/>
          <w:sz w:val="44"/>
          <w:szCs w:val="44"/>
          <w:lang w:val="en-US" w:eastAsia="zh-CN"/>
        </w:rPr>
        <w:t>3</w:t>
      </w:r>
      <w:r>
        <w:rPr>
          <w:rFonts w:hint="eastAsia" w:ascii="宋体" w:hAnsi="宋体" w:cs="宋体"/>
          <w:b/>
          <w:bCs/>
          <w:color w:val="auto"/>
          <w:spacing w:val="40"/>
          <w:kern w:val="0"/>
          <w:sz w:val="44"/>
          <w:szCs w:val="44"/>
        </w:rPr>
        <w:t>年度部门决算报表</w:t>
      </w:r>
    </w:p>
    <w:p>
      <w:pPr>
        <w:pStyle w:val="4"/>
        <w:rPr>
          <w:rFonts w:hint="eastAsia" w:ascii="仿宋_GB2312" w:eastAsia="仿宋_GB2312"/>
          <w:b w:val="0"/>
          <w:bCs w:val="0"/>
          <w:color w:val="auto"/>
          <w:sz w:val="28"/>
          <w:szCs w:val="28"/>
          <w:lang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p>
    <w:p>
      <w:pPr>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3"/>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3"/>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3"/>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3"/>
        <w:rPr>
          <w:rFonts w:hint="eastAsia"/>
          <w:lang w:eastAsia="zh-CN"/>
        </w:rPr>
      </w:pPr>
    </w:p>
    <w:p>
      <w:pPr>
        <w:pStyle w:val="2"/>
        <w:rPr>
          <w:rFonts w:hint="eastAsia"/>
          <w:lang w:eastAsia="zh-CN"/>
        </w:rPr>
      </w:pPr>
    </w:p>
    <w:p>
      <w:pPr>
        <w:pStyle w:val="2"/>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p>
      <w:pPr>
        <w:pStyle w:val="2"/>
        <w:rPr>
          <w:rFonts w:hint="eastAsia" w:ascii="仿宋_GB2312" w:eastAsia="仿宋_GB2312"/>
          <w:b w:val="0"/>
          <w:bCs w:val="0"/>
          <w:color w:val="auto"/>
          <w:sz w:val="28"/>
          <w:szCs w:val="28"/>
          <w:lang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1"/>
        <w:gridCol w:w="959"/>
        <w:gridCol w:w="948"/>
        <w:gridCol w:w="945"/>
        <w:gridCol w:w="1633"/>
        <w:gridCol w:w="1639"/>
        <w:gridCol w:w="890"/>
        <w:gridCol w:w="893"/>
        <w:gridCol w:w="890"/>
        <w:gridCol w:w="896"/>
        <w:gridCol w:w="1644"/>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430" w:type="pct"/>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56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552" w:type="pct"/>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收入</w:t>
            </w:r>
          </w:p>
        </w:tc>
        <w:tc>
          <w:tcPr>
            <w:tcW w:w="2447" w:type="pct"/>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58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58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项目（按功能分类）</w:t>
            </w:r>
          </w:p>
        </w:tc>
        <w:tc>
          <w:tcPr>
            <w:tcW w:w="59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56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46,334.940506</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五、事业收入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六、经营收入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八、其他收入</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45.066902</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559.088267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270.245064</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3,893.713347</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36,599.623928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63,341.499469</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13,361.615566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45.313800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47,808.840506</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52,334.181215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4,525.340709</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结余分配</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372"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5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52,334.181215</w:t>
            </w:r>
          </w:p>
        </w:tc>
        <w:tc>
          <w:tcPr>
            <w:tcW w:w="1287"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5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5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52,334.181215</w:t>
            </w:r>
          </w:p>
        </w:tc>
      </w:tr>
    </w:tbl>
    <w:p>
      <w:pPr>
        <w:pStyle w:val="3"/>
        <w:ind w:left="0" w:leftChars="0" w:firstLine="0" w:firstLineChars="0"/>
        <w:rPr>
          <w:rFonts w:hint="eastAsia"/>
          <w:lang w:eastAsia="zh-CN"/>
        </w:rPr>
      </w:pPr>
    </w:p>
    <w:p>
      <w:pPr>
        <w:pStyle w:val="2"/>
        <w:rPr>
          <w:rFonts w:hint="eastAsia"/>
          <w:lang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8"/>
        <w:gridCol w:w="308"/>
        <w:gridCol w:w="308"/>
        <w:gridCol w:w="3125"/>
        <w:gridCol w:w="1494"/>
        <w:gridCol w:w="1494"/>
        <w:gridCol w:w="1328"/>
        <w:gridCol w:w="1328"/>
        <w:gridCol w:w="1328"/>
        <w:gridCol w:w="1336"/>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457"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54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460"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财政拨款收入</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上级补助收入</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事业收入</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经营收入</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附属单位上缴收入</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支出功能分类科目编码</w:t>
            </w:r>
          </w:p>
        </w:tc>
        <w:tc>
          <w:tcPr>
            <w:tcW w:w="112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栏次</w:t>
            </w:r>
          </w:p>
        </w:tc>
        <w:tc>
          <w:tcPr>
            <w:tcW w:w="53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11"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111"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111"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112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47,808.840506</w:t>
            </w:r>
          </w:p>
        </w:tc>
        <w:tc>
          <w:tcPr>
            <w:tcW w:w="53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47,808.840506</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20131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党委办公厅（室）及相关机构事务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2013105</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专项业务</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20805</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行政事业单位养老支出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卫生健康支出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21011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节能环保支出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21103</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污染防治</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2110399</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其他污染防治支出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21208</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2120814</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农林水支出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8,881.588657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8,881.588657</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21301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农业农村</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8,810.030981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8,810.030981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2130101</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2130104</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事业运行</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2130122</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4,520.612265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4,520.612265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2130124</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农村合作经济</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2130199</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其他农业农村支出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921.311881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921.311881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21399</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其他农林水支出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71.557676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71.557676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3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2139999</w:t>
            </w: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其他农林水支出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71.557676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71.557676</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tbl>
      <w:tblPr>
        <w:tblStyle w:val="16"/>
        <w:tblW w:w="14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1"/>
        <w:gridCol w:w="351"/>
        <w:gridCol w:w="375"/>
        <w:gridCol w:w="3551"/>
        <w:gridCol w:w="1701"/>
        <w:gridCol w:w="1701"/>
        <w:gridCol w:w="1701"/>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4267"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462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上缴上级支出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经营支出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077"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支出功能分类科目编码</w:t>
            </w: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栏次</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3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37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52,334.181215</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4,179.934756</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48,154.246459</w:t>
            </w:r>
          </w:p>
        </w:tc>
        <w:tc>
          <w:tcPr>
            <w:tcW w:w="151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151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151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其他污染防治支出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13,361.615566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3,328.106835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10,033.508731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13,255.257890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3,328.106835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9,927.151055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4,829.273026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4,829.273026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农村合作经济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5,057.878029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5,057.878029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45.313800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45.313800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45.313800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45.313800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45.313800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3"/>
        <w:gridCol w:w="609"/>
        <w:gridCol w:w="603"/>
        <w:gridCol w:w="606"/>
        <w:gridCol w:w="1200"/>
        <w:gridCol w:w="1203"/>
        <w:gridCol w:w="649"/>
        <w:gridCol w:w="649"/>
        <w:gridCol w:w="649"/>
        <w:gridCol w:w="654"/>
        <w:gridCol w:w="1200"/>
        <w:gridCol w:w="1201"/>
        <w:gridCol w:w="923"/>
        <w:gridCol w:w="1110"/>
        <w:gridCol w:w="1006"/>
        <w:gridCol w:w="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5000" w:type="pct"/>
            <w:gridSpan w:val="1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2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637" w:type="pct"/>
            <w:gridSpan w:val="1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36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741" w:type="pct"/>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收入</w:t>
            </w:r>
          </w:p>
        </w:tc>
        <w:tc>
          <w:tcPr>
            <w:tcW w:w="3258" w:type="pct"/>
            <w:gridSpan w:val="10"/>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938" w:type="pct"/>
            <w:gridSpan w:val="4"/>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项目（按功能分类）</w:t>
            </w:r>
          </w:p>
        </w:tc>
        <w:tc>
          <w:tcPr>
            <w:tcW w:w="865"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一般公共预算财政拨款</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政府性基金预算财政拨款</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国有资本经营预算财政拨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43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938" w:type="pct"/>
            <w:gridSpan w:val="4"/>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43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333"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40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358"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36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46,334.940506</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45.066902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559.088267</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270.245064</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3,893.713347</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36,599.623928</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63,341.499469</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13,361.615566</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本年收入合计</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47,808.840506</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本年支出合计</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50,814.967415</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4,480.026909</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4,480.026909</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875"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52,288.867415</w:t>
            </w:r>
          </w:p>
        </w:tc>
        <w:tc>
          <w:tcPr>
            <w:tcW w:w="938"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总计</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67,550.524782</w:t>
            </w:r>
          </w:p>
        </w:tc>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50,814.967415</w:t>
            </w:r>
          </w:p>
        </w:tc>
        <w:tc>
          <w:tcPr>
            <w:tcW w:w="3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8"/>
        <w:gridCol w:w="427"/>
        <w:gridCol w:w="428"/>
        <w:gridCol w:w="2910"/>
        <w:gridCol w:w="1269"/>
        <w:gridCol w:w="1341"/>
        <w:gridCol w:w="1341"/>
        <w:gridCol w:w="1240"/>
        <w:gridCol w:w="1341"/>
        <w:gridCol w:w="837"/>
        <w:gridCol w:w="984"/>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0" w:type="auto"/>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0" w:type="auto"/>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年初结转和结余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年末结转结余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基本支出结转</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4,480.026909</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46,334.940506</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50,814.967415</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4,179.934756</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46,635.032659</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33,909.596261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其他污染防治支出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2,690.027667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4,480.026909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8,881.588657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13,361.615566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3,328.106835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10,033.508731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4,445.226909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8,810.030981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13,255.257890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3,328.106835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9,927.151055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308.660761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4,520.612265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4,829.273026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4,829.273026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农村合作经济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4,136.566148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921.311881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5,057.878029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5,057.878029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34.800000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71.557676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tbl>
      <w:tblPr>
        <w:tblStyle w:val="16"/>
        <w:tblW w:w="13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1"/>
        <w:gridCol w:w="351"/>
        <w:gridCol w:w="465"/>
        <w:gridCol w:w="3551"/>
        <w:gridCol w:w="3551"/>
        <w:gridCol w:w="1701"/>
        <w:gridCol w:w="1701"/>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337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718" w:type="dxa"/>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355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单位名称</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167" w:type="dxa"/>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支出功能分类科目编码</w:t>
            </w: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355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1167" w:type="dxa"/>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栏次</w:t>
            </w: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3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46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355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50,814.967415</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4,179.934756</w:t>
            </w:r>
          </w:p>
        </w:tc>
        <w:tc>
          <w:tcPr>
            <w:tcW w:w="170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46,635.032659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党委办公厅（室）及相关机构事务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2013105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专项业务</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559.088267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行政单位离退休</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77.967036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事业单位离退休</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21.474920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机关事业单位基本养老保险缴费支出</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308.059471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机关事业单位职业年金缴费支出</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151.586840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行政单位医疗</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292.739654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36,599.623928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36,599.623928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36,599.623928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大气</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33,909.596261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33,909.596261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其他污染防治支出</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2,690.027667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2,690.027667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13,361.615566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3,328.106835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10,033.508731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13,255.257890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3,328.106835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9,927.151055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行政运行</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1,102.100243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2130104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事业运行</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2,226.006592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2130122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农业生产发展</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4,829.273026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4,829.273026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2130124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农村合作经济</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其他农业农村支出</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5,057.878029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5,057.878029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b/>
                <w:i w:val="0"/>
                <w:color w:val="000000"/>
                <w:sz w:val="18"/>
                <w:szCs w:val="18"/>
                <w:u w:val="none"/>
              </w:rPr>
            </w:pPr>
            <w:r>
              <w:rPr>
                <w:rFonts w:hint="default" w:ascii="Arial" w:hAnsi="Arial" w:eastAsia="宋体" w:cs="Arial"/>
                <w:b/>
                <w:i w:val="0"/>
                <w:color w:val="000000"/>
                <w:kern w:val="0"/>
                <w:sz w:val="18"/>
                <w:szCs w:val="18"/>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Arial" w:hAnsi="Arial" w:eastAsia="宋体" w:cs="Arial"/>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106.357676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default" w:ascii="Arial" w:hAnsi="Arial" w:eastAsia="宋体" w:cs="Arial"/>
                <w:i w:val="0"/>
                <w:color w:val="000000"/>
                <w:kern w:val="0"/>
                <w:sz w:val="18"/>
                <w:szCs w:val="18"/>
                <w:u w:val="none"/>
                <w:lang w:val="en-US" w:eastAsia="zh-CN" w:bidi="ar"/>
              </w:rPr>
              <w:t>其他农林水支出</w:t>
            </w:r>
          </w:p>
        </w:tc>
        <w:tc>
          <w:tcPr>
            <w:tcW w:w="35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北京市密云区农业农村局（本级）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106.357676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106.357676</w:t>
            </w:r>
          </w:p>
        </w:tc>
      </w:tr>
    </w:tbl>
    <w:p>
      <w:pPr>
        <w:pStyle w:val="2"/>
        <w:ind w:left="0" w:leftChars="0" w:firstLine="0" w:firstLineChars="0"/>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1"/>
        <w:gridCol w:w="776"/>
        <w:gridCol w:w="772"/>
        <w:gridCol w:w="771"/>
        <w:gridCol w:w="1816"/>
        <w:gridCol w:w="547"/>
        <w:gridCol w:w="549"/>
        <w:gridCol w:w="547"/>
        <w:gridCol w:w="547"/>
        <w:gridCol w:w="1521"/>
        <w:gridCol w:w="947"/>
        <w:gridCol w:w="949"/>
        <w:gridCol w:w="947"/>
        <w:gridCol w:w="967"/>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0" w:type="auto"/>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gridSpan w:val="1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3,820.713330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246.845970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562.752898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27.682440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597.370908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0.385300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13.495500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0.039000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1,576.366012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308.059471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151.586840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3.552589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292.739654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35.344108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12.784167</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2.411400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280.690300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13.114600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24.867580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112.375456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99.441956</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12.514000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9.092600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3.881900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25.913551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55.020000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19.774699</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34.125000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0.419500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10.748783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3,933.088786</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246.845970</w:t>
            </w:r>
          </w:p>
        </w:tc>
      </w:tr>
    </w:tbl>
    <w:p>
      <w:pPr>
        <w:pStyle w:val="2"/>
        <w:jc w:val="center"/>
        <w:rPr>
          <w:rFonts w:hint="eastAsia" w:ascii="仿宋_GB2312" w:eastAsia="仿宋_GB2312"/>
          <w:b w:val="0"/>
          <w:bCs w:val="0"/>
          <w:color w:val="auto"/>
          <w:sz w:val="28"/>
          <w:szCs w:val="28"/>
          <w:lang w:val="en" w:eastAsia="zh-CN"/>
        </w:rPr>
      </w:pPr>
    </w:p>
    <w:p>
      <w:pPr>
        <w:pStyle w:val="2"/>
        <w:jc w:val="center"/>
        <w:rPr>
          <w:rFonts w:hint="eastAsia" w:ascii="仿宋_GB2312" w:eastAsia="仿宋_GB2312"/>
          <w:b w:val="0"/>
          <w:bCs w:val="0"/>
          <w:color w:val="auto"/>
          <w:sz w:val="28"/>
          <w:szCs w:val="28"/>
          <w:lang w:val="en" w:eastAsia="zh-CN"/>
        </w:rPr>
      </w:pPr>
    </w:p>
    <w:p>
      <w:pPr>
        <w:pStyle w:val="2"/>
        <w:ind w:left="0" w:leftChars="0" w:firstLine="0" w:firstLineChars="0"/>
        <w:jc w:val="both"/>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p>
      <w:pPr>
        <w:pStyle w:val="3"/>
        <w:rPr>
          <w:rFonts w:hint="eastAsia" w:ascii="仿宋_GB2312" w:eastAsia="仿宋_GB2312"/>
          <w:b w:val="0"/>
          <w:bCs w:val="0"/>
          <w:color w:val="auto"/>
          <w:sz w:val="28"/>
          <w:szCs w:val="28"/>
          <w:lang w:val="en" w:eastAsia="zh-CN"/>
        </w:rPr>
      </w:pPr>
    </w:p>
    <w:p>
      <w:pPr>
        <w:pStyle w:val="2"/>
        <w:rPr>
          <w:rFonts w:hint="eastAsia" w:ascii="仿宋_GB2312" w:eastAsia="仿宋_GB2312"/>
          <w:b w:val="0"/>
          <w:bCs w:val="0"/>
          <w:color w:val="auto"/>
          <w:sz w:val="28"/>
          <w:szCs w:val="28"/>
          <w:lang w:val="en"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9"/>
        <w:gridCol w:w="559"/>
        <w:gridCol w:w="560"/>
        <w:gridCol w:w="2922"/>
        <w:gridCol w:w="1233"/>
        <w:gridCol w:w="1240"/>
        <w:gridCol w:w="1240"/>
        <w:gridCol w:w="837"/>
        <w:gridCol w:w="1240"/>
        <w:gridCol w:w="837"/>
        <w:gridCol w:w="1077"/>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0" w:type="auto"/>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年初结转和结余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年末结转结余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基本支出结转</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3"/>
        <w:ind w:left="0" w:leftChars="0" w:firstLine="0" w:firstLineChars="0"/>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8"/>
        <w:gridCol w:w="774"/>
        <w:gridCol w:w="770"/>
        <w:gridCol w:w="769"/>
        <w:gridCol w:w="1570"/>
        <w:gridCol w:w="546"/>
        <w:gridCol w:w="548"/>
        <w:gridCol w:w="546"/>
        <w:gridCol w:w="546"/>
        <w:gridCol w:w="1570"/>
        <w:gridCol w:w="932"/>
        <w:gridCol w:w="930"/>
        <w:gridCol w:w="932"/>
        <w:gridCol w:w="1004"/>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trPr>
        <w:tc>
          <w:tcPr>
            <w:tcW w:w="0" w:type="auto"/>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0" w:type="auto"/>
            <w:gridSpan w:val="1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pStyle w:val="3"/>
        <w:ind w:left="0" w:leftChars="0" w:firstLine="0" w:firstLineChars="0"/>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8"/>
        <w:gridCol w:w="499"/>
        <w:gridCol w:w="505"/>
        <w:gridCol w:w="5071"/>
        <w:gridCol w:w="2429"/>
        <w:gridCol w:w="2429"/>
        <w:gridCol w:w="2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1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7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123" w:type="pct"/>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87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371"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2628" w:type="pct"/>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2023年度决算数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542" w:type="pct"/>
            <w:gridSpan w:val="3"/>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支出功能分类科目编码</w:t>
            </w:r>
          </w:p>
        </w:tc>
        <w:tc>
          <w:tcPr>
            <w:tcW w:w="1828"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科目名称</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基本支出</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542" w:type="pct"/>
            <w:gridSpan w:val="3"/>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828"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栏次</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hRule="atLeast"/>
        </w:trPr>
        <w:tc>
          <w:tcPr>
            <w:tcW w:w="18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类</w:t>
            </w:r>
          </w:p>
        </w:tc>
        <w:tc>
          <w:tcPr>
            <w:tcW w:w="18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款</w:t>
            </w:r>
          </w:p>
        </w:tc>
        <w:tc>
          <w:tcPr>
            <w:tcW w:w="18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w:t>
            </w:r>
          </w:p>
        </w:tc>
        <w:tc>
          <w:tcPr>
            <w:tcW w:w="1828"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c>
          <w:tcPr>
            <w:tcW w:w="87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0.000000</w:t>
            </w:r>
          </w:p>
        </w:tc>
      </w:tr>
    </w:tbl>
    <w:p>
      <w:pPr>
        <w:pStyle w:val="3"/>
        <w:ind w:left="0" w:leftChars="0" w:firstLine="0" w:firstLineChars="0"/>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552"/>
        <w:gridCol w:w="2501"/>
        <w:gridCol w:w="1885"/>
        <w:gridCol w:w="1062"/>
        <w:gridCol w:w="1472"/>
        <w:gridCol w:w="954"/>
        <w:gridCol w:w="1267"/>
        <w:gridCol w:w="1267"/>
        <w:gridCol w:w="1281"/>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2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8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615"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384"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99" w:type="pct"/>
            <w:gridSpan w:val="2"/>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02"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“三公”经费财政拨款合计</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因公出国（境）费用</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公务接待费</w:t>
            </w:r>
          </w:p>
        </w:tc>
        <w:tc>
          <w:tcPr>
            <w:tcW w:w="2633" w:type="pct"/>
            <w:gridSpan w:val="6"/>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公务用车购置及运行维护费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99" w:type="pct"/>
            <w:gridSpan w:val="2"/>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公务用车购置费</w:t>
            </w:r>
          </w:p>
        </w:tc>
        <w:tc>
          <w:tcPr>
            <w:tcW w:w="2101" w:type="pct"/>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99" w:type="pct"/>
            <w:gridSpan w:val="2"/>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902"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457"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公务用车加油</w:t>
            </w:r>
          </w:p>
        </w:tc>
        <w:tc>
          <w:tcPr>
            <w:tcW w:w="457"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公务用车维修</w:t>
            </w:r>
          </w:p>
        </w:tc>
        <w:tc>
          <w:tcPr>
            <w:tcW w:w="457"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公务用车保险</w:t>
            </w:r>
          </w:p>
        </w:tc>
        <w:tc>
          <w:tcPr>
            <w:tcW w:w="384"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99"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2023年预算</w:t>
            </w:r>
          </w:p>
        </w:tc>
        <w:tc>
          <w:tcPr>
            <w:tcW w:w="9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20.208000</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20.208000</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8.100000</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6.078000</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4.230000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399"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2023年决算</w:t>
            </w:r>
          </w:p>
        </w:tc>
        <w:tc>
          <w:tcPr>
            <w:tcW w:w="9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19.774699</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19.774699</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9.400000</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7.215319</w:t>
            </w:r>
          </w:p>
        </w:tc>
        <w:tc>
          <w:tcPr>
            <w:tcW w:w="4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1.334380</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1.825000</w:t>
            </w:r>
          </w:p>
        </w:tc>
      </w:tr>
    </w:tbl>
    <w:p>
      <w:pPr>
        <w:pStyle w:val="2"/>
        <w:ind w:left="0" w:leftChars="0" w:firstLine="0" w:firstLineChars="0"/>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p>
      <w:pPr>
        <w:pStyle w:val="2"/>
        <w:rPr>
          <w:rFonts w:hint="eastAsia"/>
          <w:lang w:val="en" w:eastAsia="zh-CN"/>
        </w:rPr>
      </w:pPr>
    </w:p>
    <w:p>
      <w:pPr>
        <w:pStyle w:val="3"/>
        <w:rPr>
          <w:rFonts w:hint="eastAsia"/>
          <w:lang w:val="en"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9"/>
        <w:gridCol w:w="1139"/>
        <w:gridCol w:w="1140"/>
        <w:gridCol w:w="1137"/>
        <w:gridCol w:w="9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trPr>
        <w:tc>
          <w:tcPr>
            <w:tcW w:w="5000"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政府采购情况表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4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643"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3356"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3356"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政府采购支出信息</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116.246901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（一）政府采购支出合计</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116.246901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1．政府采购货物支出</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2．政府采购工程支出</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3．政府采购服务支出</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116.246901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（二）政府采购授予中小企业合同金额</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1643" w:type="pct"/>
            <w:gridSpan w:val="4"/>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其中：授予小微企业合同金额</w:t>
            </w:r>
          </w:p>
        </w:tc>
        <w:tc>
          <w:tcPr>
            <w:tcW w:w="3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2"/>
        <w:ind w:left="0" w:leftChars="0" w:firstLine="0" w:firstLineChars="0"/>
        <w:rPr>
          <w:rFonts w:hint="eastAsia"/>
          <w:lang w:val="en" w:eastAsia="zh-CN"/>
        </w:rPr>
      </w:pPr>
    </w:p>
    <w:p>
      <w:pPr>
        <w:pStyle w:val="3"/>
        <w:rPr>
          <w:rFonts w:hint="eastAsia"/>
          <w:lang w:val="en" w:eastAsia="zh-CN"/>
        </w:rPr>
      </w:pPr>
    </w:p>
    <w:p>
      <w:pPr>
        <w:pStyle w:val="2"/>
        <w:rPr>
          <w:rFonts w:hint="eastAsia"/>
          <w:lang w:val="en" w:eastAsia="zh-CN"/>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37"/>
        <w:gridCol w:w="1969"/>
        <w:gridCol w:w="1960"/>
        <w:gridCol w:w="3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政府购买服务决算公开情况表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24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847"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单位名称：北京市密云区农业农村局（本级）</w:t>
            </w:r>
          </w:p>
        </w:tc>
        <w:tc>
          <w:tcPr>
            <w:tcW w:w="115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一级目录</w:t>
            </w: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二级目录</w:t>
            </w:r>
          </w:p>
        </w:tc>
        <w:tc>
          <w:tcPr>
            <w:tcW w:w="1152" w:type="pc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847" w:type="pct"/>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116.246901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公共服务</w:t>
            </w: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公共安全服务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生态保护和环境治理服务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科技公共服务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体育公共服务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社会治理服务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城乡维护服务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农业、林业和水利公共服务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灾害防治及应急管理服务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公共信息与宣传服务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行业管理服务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技术性公共服务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其他公共服务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restart"/>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政府履职辅助性服务</w:t>
            </w: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   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116.246901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课题研究和社会调查服务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会计审计服务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监督检查辅助服务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评审、评估和评价服务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机关工作人员培训服务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信息化服务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后勤服务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116.246901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430" w:type="pct"/>
            <w:vMerge w:val="continue"/>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6" w:type="pct"/>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其他辅助性服务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0.000000</w:t>
            </w:r>
          </w:p>
        </w:tc>
      </w:tr>
    </w:tbl>
    <w:p>
      <w:pPr>
        <w:pStyle w:val="3"/>
        <w:ind w:left="0" w:leftChars="0" w:firstLine="0" w:firstLineChars="0"/>
        <w:rPr>
          <w:rFonts w:hint="eastAsia"/>
          <w:lang w:val="en" w:eastAsia="zh-CN"/>
        </w:rPr>
      </w:pPr>
    </w:p>
    <w:p>
      <w:pPr>
        <w:pStyle w:val="2"/>
        <w:jc w:val="center"/>
        <w:rPr>
          <w:rFonts w:hint="eastAsia" w:ascii="宋体" w:hAnsi="宋体"/>
          <w:b/>
          <w:color w:val="auto"/>
          <w:sz w:val="32"/>
          <w:szCs w:val="32"/>
        </w:rPr>
      </w:pPr>
      <w:r>
        <w:rPr>
          <w:rFonts w:hint="eastAsia" w:ascii="仿宋_GB2312" w:eastAsia="仿宋_GB2312"/>
          <w:b w:val="0"/>
          <w:bCs w:val="0"/>
          <w:color w:val="auto"/>
          <w:sz w:val="28"/>
          <w:szCs w:val="28"/>
          <w:lang w:val="en" w:eastAsia="zh-CN"/>
        </w:rPr>
        <w:object>
          <v:shape id="_x0000_i1025" o:spt="75" type="#_x0000_t75" style="height:480pt;width:730.5pt;" o:ole="t" filled="f" o:preferrelative="t" stroked="f" coordsize="21600,21600">
            <v:path/>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r>
        <w:rPr>
          <w:rFonts w:hint="eastAsia" w:ascii="宋体" w:hAnsi="宋体" w:cs="宋体"/>
          <w:b/>
          <w:bCs/>
          <w:color w:val="auto"/>
          <w:spacing w:val="40"/>
          <w:kern w:val="0"/>
          <w:sz w:val="32"/>
          <w:szCs w:val="32"/>
        </w:rPr>
        <w:t xml:space="preserve">第二部分 </w:t>
      </w:r>
      <w:r>
        <w:rPr>
          <w:rFonts w:hint="eastAsia" w:ascii="宋体" w:hAnsi="宋体"/>
          <w:b/>
          <w:color w:val="auto"/>
          <w:spacing w:val="40"/>
          <w:sz w:val="32"/>
          <w:szCs w:val="32"/>
        </w:rPr>
        <w:t>202</w:t>
      </w:r>
      <w:r>
        <w:rPr>
          <w:rFonts w:hint="eastAsia" w:ascii="宋体" w:hAnsi="宋体"/>
          <w:b/>
          <w:color w:val="auto"/>
          <w:spacing w:val="40"/>
          <w:sz w:val="32"/>
          <w:szCs w:val="32"/>
          <w:lang w:val="en-US" w:eastAsia="zh-CN"/>
        </w:rPr>
        <w:t>3</w:t>
      </w:r>
      <w:r>
        <w:rPr>
          <w:rFonts w:hint="eastAsia" w:ascii="宋体" w:hAnsi="宋体"/>
          <w:b/>
          <w:color w:val="auto"/>
          <w:spacing w:val="40"/>
          <w:sz w:val="32"/>
          <w:szCs w:val="32"/>
        </w:rPr>
        <w:t>年度部门决算说明</w:t>
      </w:r>
    </w:p>
    <w:p>
      <w:pPr>
        <w:tabs>
          <w:tab w:val="center" w:pos="6979"/>
        </w:tabs>
        <w:spacing w:line="580" w:lineRule="exact"/>
        <w:ind w:firstLine="548" w:firstLineChars="196"/>
        <w:rPr>
          <w:rFonts w:hint="eastAsia" w:ascii="黑体" w:eastAsia="黑体"/>
          <w:b/>
          <w:color w:val="auto"/>
          <w:sz w:val="28"/>
          <w:szCs w:val="28"/>
        </w:rPr>
      </w:pPr>
      <w:r>
        <w:rPr>
          <w:rFonts w:hint="eastAsia" w:ascii="黑体" w:eastAsia="黑体"/>
          <w:b w:val="0"/>
          <w:bCs/>
          <w:color w:val="auto"/>
          <w:sz w:val="28"/>
          <w:szCs w:val="28"/>
        </w:rPr>
        <w:t>一、部门/单位基本情况</w:t>
      </w:r>
    </w:p>
    <w:p>
      <w:pPr>
        <w:tabs>
          <w:tab w:val="center" w:pos="6979"/>
        </w:tabs>
        <w:spacing w:line="58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（一）机构</w:t>
      </w:r>
      <w:r>
        <w:rPr>
          <w:rFonts w:ascii="仿宋_GB2312" w:eastAsia="仿宋_GB2312"/>
          <w:color w:val="auto"/>
          <w:sz w:val="28"/>
          <w:szCs w:val="28"/>
        </w:rPr>
        <w:t>设置、</w:t>
      </w:r>
      <w:r>
        <w:rPr>
          <w:rFonts w:hint="eastAsia" w:ascii="仿宋_GB2312" w:eastAsia="仿宋_GB2312"/>
          <w:color w:val="auto"/>
          <w:sz w:val="28"/>
          <w:szCs w:val="28"/>
        </w:rPr>
        <w:t>职责（需公开</w:t>
      </w:r>
      <w:r>
        <w:rPr>
          <w:rFonts w:ascii="仿宋_GB2312" w:eastAsia="仿宋_GB2312"/>
          <w:color w:val="auto"/>
          <w:sz w:val="28"/>
          <w:szCs w:val="28"/>
        </w:rPr>
        <w:t>内设机构数量</w:t>
      </w:r>
      <w:r>
        <w:rPr>
          <w:rFonts w:hint="eastAsia" w:ascii="仿宋_GB2312" w:eastAsia="仿宋_GB2312"/>
          <w:color w:val="auto"/>
          <w:sz w:val="28"/>
          <w:szCs w:val="28"/>
        </w:rPr>
        <w:t>和</w:t>
      </w:r>
      <w:r>
        <w:rPr>
          <w:rFonts w:ascii="仿宋_GB2312" w:eastAsia="仿宋_GB2312"/>
          <w:color w:val="auto"/>
          <w:sz w:val="28"/>
          <w:szCs w:val="28"/>
        </w:rPr>
        <w:t>下属单位</w:t>
      </w:r>
      <w:r>
        <w:rPr>
          <w:rFonts w:hint="eastAsia" w:ascii="仿宋_GB2312" w:eastAsia="仿宋_GB2312"/>
          <w:color w:val="auto"/>
          <w:sz w:val="28"/>
          <w:szCs w:val="28"/>
        </w:rPr>
        <w:t>数量</w:t>
      </w:r>
      <w:r>
        <w:rPr>
          <w:rFonts w:ascii="仿宋_GB2312" w:eastAsia="仿宋_GB2312"/>
          <w:color w:val="auto"/>
          <w:sz w:val="28"/>
          <w:szCs w:val="28"/>
        </w:rPr>
        <w:t>及名称）</w:t>
      </w:r>
    </w:p>
    <w:p>
      <w:pPr>
        <w:snapToGrid w:val="0"/>
        <w:spacing w:line="520" w:lineRule="exact"/>
        <w:ind w:firstLine="643" w:firstLineChars="200"/>
        <w:rPr>
          <w:rFonts w:hint="eastAsia" w:ascii="楷体_GB2312" w:hAnsi="仿宋" w:eastAsia="楷体_GB2312"/>
          <w:b/>
          <w:color w:val="auto"/>
          <w:sz w:val="32"/>
          <w:szCs w:val="32"/>
        </w:rPr>
      </w:pPr>
      <w:r>
        <w:rPr>
          <w:rFonts w:hint="eastAsia" w:ascii="楷体_GB2312" w:hAnsi="仿宋" w:eastAsia="楷体_GB2312"/>
          <w:b/>
          <w:color w:val="auto"/>
          <w:sz w:val="32"/>
          <w:szCs w:val="32"/>
        </w:rPr>
        <w:t>（一）基本情况。</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1．主要职能。</w:t>
      </w:r>
    </w:p>
    <w:p>
      <w:pPr>
        <w:spacing w:line="540" w:lineRule="exact"/>
        <w:ind w:firstLine="640" w:firstLineChars="200"/>
        <w:rPr>
          <w:rFonts w:hint="eastAsia" w:ascii="仿宋_GB2312" w:hAnsi="黑体" w:eastAsia="仿宋_GB2312" w:cs="方正小标宋_GBK"/>
          <w:color w:val="auto"/>
          <w:sz w:val="32"/>
          <w:szCs w:val="32"/>
        </w:rPr>
      </w:pPr>
      <w:r>
        <w:rPr>
          <w:rFonts w:hint="eastAsia" w:ascii="黑体" w:hAnsi="黑体" w:eastAsia="黑体" w:cs="黑体"/>
          <w:color w:val="auto"/>
          <w:sz w:val="32"/>
          <w:szCs w:val="32"/>
        </w:rPr>
        <w:t>第一条</w:t>
      </w:r>
      <w:r>
        <w:rPr>
          <w:rFonts w:hint="eastAsia" w:ascii="仿宋_GB2312" w:hAnsi="黑体" w:eastAsia="仿宋_GB2312" w:cs="方正小标宋_GBK"/>
          <w:color w:val="auto"/>
          <w:sz w:val="32"/>
          <w:szCs w:val="32"/>
        </w:rPr>
        <w:t xml:space="preserve">  根据市委、市政府批准的</w:t>
      </w:r>
      <w:r>
        <w:rPr>
          <w:rFonts w:hint="eastAsia" w:ascii="仿宋_GB2312" w:hAnsi="仿宋_GB2312" w:eastAsia="仿宋_GB2312" w:cs="仿宋_GB2312"/>
          <w:color w:val="auto"/>
          <w:sz w:val="32"/>
          <w:szCs w:val="32"/>
        </w:rPr>
        <w:t>《北京市密云区机构改革方案》</w:t>
      </w:r>
      <w:r>
        <w:rPr>
          <w:rFonts w:hint="eastAsia" w:ascii="仿宋_GB2312" w:hAnsi="黑体" w:eastAsia="仿宋_GB2312" w:cs="方正小标宋_GBK"/>
          <w:color w:val="auto"/>
          <w:sz w:val="32"/>
          <w:szCs w:val="32"/>
        </w:rPr>
        <w:t>，制定本规定。</w:t>
      </w:r>
    </w:p>
    <w:p>
      <w:pPr>
        <w:spacing w:line="540" w:lineRule="exact"/>
        <w:rPr>
          <w:rFonts w:hint="eastAsia" w:ascii="黑体" w:hAnsi="黑体" w:eastAsia="黑体" w:cs="黑体"/>
          <w:color w:val="auto"/>
          <w:sz w:val="32"/>
          <w:szCs w:val="32"/>
        </w:rPr>
      </w:pPr>
      <w:r>
        <w:rPr>
          <w:rFonts w:hint="eastAsia" w:ascii="黑体" w:hAnsi="黑体" w:eastAsia="黑体" w:cs="黑体"/>
          <w:color w:val="auto"/>
          <w:sz w:val="32"/>
          <w:szCs w:val="32"/>
        </w:rPr>
        <w:t xml:space="preserve">    第二条  </w:t>
      </w:r>
      <w:r>
        <w:rPr>
          <w:rFonts w:hint="eastAsia" w:ascii="仿宋_GB2312" w:hAnsi="黑体" w:eastAsia="仿宋_GB2312" w:cs="方正小标宋_GBK"/>
          <w:color w:val="auto"/>
          <w:sz w:val="32"/>
          <w:szCs w:val="32"/>
        </w:rPr>
        <w:t>中共北京市密云区委农村工作委员会（简称区委农工委）是区委派出机构，北京市密云区农业农村局（简称区农业农村局）是</w:t>
      </w:r>
      <w:r>
        <w:rPr>
          <w:rFonts w:hint="eastAsia" w:ascii="仿宋_GB2312" w:hAnsi="仿宋_GB2312" w:eastAsia="仿宋_GB2312" w:cs="仿宋_GB2312"/>
          <w:color w:val="auto"/>
          <w:sz w:val="32"/>
          <w:szCs w:val="32"/>
        </w:rPr>
        <w:t>区政府工作部门，区委农工委与区农业农村局合署办公，为正处级。加挂北京市密云区山区建设办公室（简称区山区建设办）牌子。</w:t>
      </w:r>
      <w:r>
        <w:rPr>
          <w:rFonts w:hint="eastAsia" w:ascii="黑体" w:hAnsi="黑体" w:eastAsia="黑体" w:cs="黑体"/>
          <w:color w:val="auto"/>
          <w:sz w:val="32"/>
          <w:szCs w:val="32"/>
        </w:rPr>
        <w:t xml:space="preserve">    </w:t>
      </w:r>
    </w:p>
    <w:p>
      <w:pPr>
        <w:spacing w:line="540" w:lineRule="exact"/>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    第三条  </w:t>
      </w:r>
      <w:r>
        <w:rPr>
          <w:rFonts w:hint="eastAsia" w:ascii="仿宋_GB2312" w:hAnsi="仿宋_GB2312" w:eastAsia="仿宋_GB2312" w:cs="仿宋_GB2312"/>
          <w:color w:val="auto"/>
          <w:sz w:val="32"/>
          <w:szCs w:val="32"/>
        </w:rPr>
        <w:t>中共北京市密云区委农村工作领导小组办公室（简称区委农办）设在区委农工委，接受中共北京市密云区委农村工作领导小组的直接领导，承担中共北京市密云区委农村工作领导小组具体工作，组织开展本区“三农”重大问题的政策研究并提出意见建议，协调督促检查有关方面落实中共北京市密云区委农村工作领导小组决定事项、工作部署和要求等。负责处理区委农办日常事务，由区委农工委、区农业农村局的内设机构根据工作需要承担区委农办相关工作，接受区委农办的统筹协调。</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区</w:t>
      </w:r>
      <w:r>
        <w:rPr>
          <w:rFonts w:hint="eastAsia" w:ascii="仿宋_GB2312" w:hAnsi="黑体" w:eastAsia="仿宋_GB2312" w:cs="方正小标宋_GBK"/>
          <w:color w:val="auto"/>
          <w:sz w:val="32"/>
          <w:szCs w:val="32"/>
        </w:rPr>
        <w:t>委农工委、区农业农村局贯彻落实</w:t>
      </w:r>
      <w:r>
        <w:rPr>
          <w:rFonts w:hint="eastAsia" w:ascii="仿宋_GB2312" w:hAnsi="黑体" w:eastAsia="仿宋_GB2312" w:cs="方正小标宋_GBK"/>
          <w:b/>
          <w:bCs/>
          <w:color w:val="auto"/>
          <w:sz w:val="32"/>
          <w:szCs w:val="32"/>
          <w:u w:val="single"/>
        </w:rPr>
        <w:t>党</w:t>
      </w:r>
      <w:r>
        <w:rPr>
          <w:rFonts w:hint="eastAsia" w:ascii="仿宋_GB2312" w:hAnsi="仿宋_GB2312" w:eastAsia="仿宋_GB2312" w:cs="仿宋_GB2312"/>
          <w:color w:val="auto"/>
          <w:sz w:val="32"/>
          <w:szCs w:val="32"/>
        </w:rPr>
        <w:t>中央、市委、区委</w:t>
      </w:r>
      <w:r>
        <w:rPr>
          <w:rFonts w:hint="eastAsia" w:ascii="仿宋_GB2312" w:hAnsi="仿宋_GB2312" w:eastAsia="仿宋_GB2312" w:cs="仿宋_GB2312"/>
          <w:b/>
          <w:bCs/>
          <w:color w:val="auto"/>
          <w:sz w:val="32"/>
          <w:szCs w:val="32"/>
          <w:u w:val="single"/>
        </w:rPr>
        <w:t>关于</w:t>
      </w:r>
      <w:r>
        <w:rPr>
          <w:rFonts w:hint="eastAsia" w:ascii="仿宋_GB2312" w:hAnsi="仿宋_GB2312" w:eastAsia="仿宋_GB2312" w:cs="仿宋_GB2312"/>
          <w:color w:val="auto"/>
          <w:sz w:val="32"/>
          <w:szCs w:val="32"/>
        </w:rPr>
        <w:t>“三农”工作的方针政策，决策部署和区委有关工作要求，在履行职责过程中坚持和加强党对“三农”工作</w:t>
      </w:r>
      <w:r>
        <w:rPr>
          <w:rFonts w:hint="eastAsia" w:ascii="仿宋_GB2312" w:hAnsi="仿宋_GB2312" w:eastAsia="仿宋_GB2312" w:cs="仿宋_GB2312"/>
          <w:b/>
          <w:bCs/>
          <w:color w:val="auto"/>
          <w:sz w:val="32"/>
          <w:szCs w:val="32"/>
          <w:u w:val="single"/>
        </w:rPr>
        <w:t>的</w:t>
      </w:r>
      <w:r>
        <w:rPr>
          <w:rFonts w:hint="eastAsia" w:ascii="仿宋_GB2312" w:hAnsi="仿宋_GB2312" w:eastAsia="仿宋_GB2312" w:cs="仿宋_GB2312"/>
          <w:color w:val="auto"/>
          <w:sz w:val="32"/>
          <w:szCs w:val="32"/>
        </w:rPr>
        <w:t>集中统一领导。</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区委农工委主要职责是：</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（一）贯彻落实</w:t>
      </w:r>
      <w:r>
        <w:rPr>
          <w:rFonts w:hint="eastAsia" w:ascii="仿宋_GB2312" w:hAnsi="黑体" w:eastAsia="仿宋_GB2312" w:cs="方正小标宋_GBK"/>
          <w:b/>
          <w:bCs/>
          <w:color w:val="auto"/>
          <w:sz w:val="32"/>
          <w:szCs w:val="32"/>
          <w:u w:val="single"/>
        </w:rPr>
        <w:t>党</w:t>
      </w:r>
      <w:r>
        <w:rPr>
          <w:rFonts w:hint="eastAsia" w:ascii="仿宋_GB2312" w:hAnsi="仿宋_GB2312" w:eastAsia="仿宋_GB2312" w:cs="仿宋_GB2312"/>
          <w:color w:val="auto"/>
          <w:sz w:val="32"/>
          <w:szCs w:val="32"/>
        </w:rPr>
        <w:t>中央关于“三农”工作的方针政策、决策部署和市委、区委有关工作要求，统筹研究和组织实施本区“三农”工作的发展战略、中长期规划、重大政策。</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（二）负责实施</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乡村振兴战略的宣传工作。协调指导乡村文化振兴、培育文明乡风，推进农村精神文明建设及优秀农耕文化建设。协调指导农村形势和政策教育工作。指导农村宣传报道。负责农工委系统的宣传、思想和意识形态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农业农村、农工委系统党的基层组织建设和党员队伍建设。协助做好农工委系统区委管理干部的日常管理工作。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农业农村人才工作。拟订农业农村人才队伍建设规划并组织实施，指导农业教育和农业职业技能开发，指导新型职业农民培育、农业科技人才培养和农村实用人才培训工作。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（五）协调推进</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乡村治理体系和能力建设，协调指导农村基层民主政治建设。负责农工委系统安全稳定工作，配合有关部门协调指导农村社会治安综合治理和维护社会稳定工作。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农工委系统落实全面从严治党主体责任、党风廉政建设主体责任。</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农工委系统统战和群团工作，指导农工委系统离退休干部的管理与服务工作。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（八）完成区委交办的其他任务。</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区农业农村局主要职责是：</w:t>
      </w:r>
    </w:p>
    <w:p>
      <w:pPr>
        <w:numPr>
          <w:ilvl w:val="0"/>
          <w:numId w:val="1"/>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执行国家关于“三农”工作的发展战略、中长期规划、重大政策及有关法律法规、规章。落实本市农业农村有关地方性法规、政府规章，并组织实施。协调推进涉农的价格、收储、金融保险等政策落实。指导农业综合执法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（二）统筹推动发展</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 xml:space="preserve">农村社会事业、农村公共服务、农村文化、农村基础设施。牵头组织改善农村人居环境相关工作。参与编制、修订村镇建设规划，协调推进村镇建设。指导传统村落保护发展工作。统筹协调农民增收和低收入农户帮扶工作。组织农业资源区划工作，指导农业区域协调发展。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村合作经济经营管理工作。贯彻落实深化农村经济体制改革和巩固完善农村基本经营制度的政策。负责农民承包地、农村宅基地改革并指导相关管理工作。负责农村集体产权制度改革，指导农村集体经济组织发展和集体资产管理工作。指导农民合作经济组织、农业社会化服务体系、新型农业经营主体建设与发展。</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乡村特色产业、农产品加工业和休闲农业发展工作。会同有关部门，统筹推进农村一二三产业融合发展，推动农村产业结构转型优化升级。负责农业产业化的组织协调工作。组织指导农产品流通工作，研究提出相关政策建议。培育、保护农业品牌。承担主要农产品市场供应信息和价格信息的采集、分析等工作。负责农村经济统计和农业农村信息化有关工作。负责特需农产品供应的组织协调和监督管理。</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（五）组织构建本区现代农业产业体系、生产体系、经营体系。负责推动种植业、畜牧业、渔业、农业机械化等</w:t>
      </w:r>
      <w:r>
        <w:rPr>
          <w:rFonts w:hint="eastAsia" w:ascii="仿宋_GB2312" w:hAnsi="仿宋_GB2312" w:eastAsia="仿宋_GB2312" w:cs="仿宋_GB2312"/>
          <w:b/>
          <w:bCs/>
          <w:color w:val="auto"/>
          <w:sz w:val="32"/>
          <w:szCs w:val="32"/>
          <w:u w:val="single"/>
        </w:rPr>
        <w:t>农业</w:t>
      </w:r>
      <w:r>
        <w:rPr>
          <w:rFonts w:hint="eastAsia" w:ascii="仿宋_GB2312" w:hAnsi="仿宋_GB2312" w:eastAsia="仿宋_GB2312" w:cs="仿宋_GB2312"/>
          <w:color w:val="auto"/>
          <w:sz w:val="32"/>
          <w:szCs w:val="32"/>
        </w:rPr>
        <w:t>各行业发展和监督管理。指导农产品生产，依法负责农业行业安全生产工作。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食用农产品从种植养殖环节到进入批发、零售市场或者生产加工企业前质量安全监督管理。负责组织开展农产品质量安全监测、追溯。指导农业</w:t>
      </w:r>
      <w:r>
        <w:rPr>
          <w:rFonts w:hint="eastAsia" w:ascii="仿宋_GB2312" w:hAnsi="仿宋_GB2312" w:eastAsia="仿宋_GB2312" w:cs="仿宋_GB2312"/>
          <w:b/>
          <w:bCs/>
          <w:color w:val="auto"/>
          <w:sz w:val="32"/>
          <w:szCs w:val="32"/>
          <w:u w:val="single"/>
        </w:rPr>
        <w:t>检验检测</w:t>
      </w:r>
      <w:r>
        <w:rPr>
          <w:rFonts w:hint="eastAsia" w:ascii="仿宋_GB2312" w:hAnsi="仿宋_GB2312" w:eastAsia="仿宋_GB2312" w:cs="仿宋_GB2312"/>
          <w:color w:val="auto"/>
          <w:sz w:val="32"/>
          <w:szCs w:val="32"/>
        </w:rPr>
        <w:t>体系建设。依法管理农业产业、农产品质量安全等方面的标准化工作，贯彻落实相关地方标准组织实施和监督检查。</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（七）指导</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基本农田、渔业水域以及农业生物物种资源保护与管理工作，负责水生野生动植物保护、耕地及永久基本农田质量保护工作。指导农产品产地环境管理和农业清洁生产。指导设施农业、生态循环农业、节水农业发展以及农村可再生能源综合开发利用。承担湿地保护相关管理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有关农业生产资料和农业投入品的监督管理。组织实施农业生产资料、兽药质量、兽药残留限量和残留检测方法等方面的国家标准。组织兽医医政、兽药药政药检工作。负责动物诊疗和畜禽屠宰行业管理。</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农业防灾减灾、农作物重大病虫害防治工作。负责动植物疫病防控的管理工作，承担密云区重大动植物疫情应急指挥部的具体工作。监测、发布农业灾情，组织种子、化肥等救灾物资储备和调拨，提出生产救灾资金安排建议，指导紧急救灾和灾后生产恢复。</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农业投资管理。提出农业</w:t>
      </w:r>
      <w:r>
        <w:rPr>
          <w:rFonts w:hint="eastAsia" w:ascii="仿宋_GB2312" w:hAnsi="仿宋_GB2312" w:eastAsia="仿宋_GB2312" w:cs="仿宋_GB2312"/>
          <w:b/>
          <w:bCs/>
          <w:color w:val="auto"/>
          <w:sz w:val="32"/>
          <w:szCs w:val="32"/>
          <w:u w:val="single"/>
        </w:rPr>
        <w:t>投资融资</w:t>
      </w:r>
      <w:r>
        <w:rPr>
          <w:rFonts w:hint="eastAsia" w:ascii="仿宋_GB2312" w:hAnsi="仿宋_GB2312" w:eastAsia="仿宋_GB2312" w:cs="仿宋_GB2312"/>
          <w:color w:val="auto"/>
          <w:sz w:val="32"/>
          <w:szCs w:val="32"/>
        </w:rPr>
        <w:t>体制机制改革建议。编制区级投资安排的农业投资项目建设规划，提出农业投资规模和方向、扶持农业农村发展财政项目的建议，按照权限审批农业投资项目，负责农业投资项目资金安排和监督管理。负责农业综合开发项目、农田整治项目、农田水利建设项目管理。组织拟定财政支农资金计划安排，并协调相关政策的落实。协调推进政策性农业保险工作。协调指导农村金融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（十一）推动</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农业科技体制改革和农业科技创新体系建设。推进农业产业技术体系、农技推广体系和新型职业农民培育体系建设，组织开展农业领域的高新技术和应用技术研究、科技成果转化和技术推广。负责农业转基因生物安全监督管理和农业植物新品种保护。承担农业农村对外交流与合作相关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（十二）研究拟订本区山区发展规划和年度指导性计划。配合有关部门组织山区建设项目的实施。指导山区农民搬迁、生态沟域建设等工作。配合相关部门研究制定生态涵养区保护、发展规划和生态补偿机制。</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（十三）完成区委、区政府交办的其他任务。</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（十四）职能转变。</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1.统筹实施乡村振兴战略，深化农业供给侧结构性改革，提升农业发展质量，扎实推进美丽乡村建设，推动农业全面升级、农村全面进步、农民全面发展，加快实现农业农村现代化。</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2.加强农产品质量安全和相关农业生产资料、农业投入品的监督管理，坚持最严谨的标准、最严格的监管、最严厉的处罚、最严肃的问责，严防、严管、严控质量安全风险，让人民群众吃得放心、安心。</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3.深入推进简政放权，加强对行业内交叉重复以及性质相同、用途相近的农业投资项目的统筹整合，最大限度缩小项目审批范围，进一步下放审批权限，加强事中事后监管，切实提升</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支农政策效果和资金使用效益。</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（十五）与区市场监管局有关职责分工。</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1.区农业农村局负责食用农产品从种植养殖环节到进入批发、零售市场或者生产加工企业前的质量安全监督管理。食用农产品进入批发、零售市场或者生产加工企业后，由区市场监管局监督管理。</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2.区农业农村局负责动植物疫病防控、畜禽屠宰环节、生鲜乳收购环节质量安全的监督管理。</w:t>
      </w:r>
    </w:p>
    <w:p>
      <w:pPr>
        <w:spacing w:line="540" w:lineRule="exact"/>
        <w:ind w:firstLine="640" w:firstLineChars="200"/>
        <w:rPr>
          <w:rFonts w:hint="eastAsia" w:ascii="仿宋_GB2312" w:hAnsi="黑体" w:eastAsia="仿宋_GB2312" w:cs="方正小标宋_GBK"/>
          <w:color w:val="auto"/>
          <w:sz w:val="32"/>
          <w:szCs w:val="32"/>
        </w:rPr>
      </w:pPr>
      <w:r>
        <w:rPr>
          <w:rFonts w:hint="eastAsia" w:ascii="仿宋_GB2312" w:hAnsi="仿宋_GB2312" w:eastAsia="仿宋_GB2312" w:cs="仿宋_GB2312"/>
          <w:color w:val="auto"/>
          <w:sz w:val="32"/>
          <w:szCs w:val="32"/>
        </w:rPr>
        <w:t>3.两部门要建立食品安全</w:t>
      </w:r>
      <w:r>
        <w:rPr>
          <w:rFonts w:hint="eastAsia" w:ascii="仿宋_GB2312" w:hAnsi="仿宋_GB2312" w:eastAsia="仿宋_GB2312" w:cs="仿宋_GB2312"/>
          <w:b/>
          <w:bCs/>
          <w:color w:val="auto"/>
          <w:sz w:val="32"/>
          <w:szCs w:val="32"/>
          <w:u w:val="single"/>
        </w:rPr>
        <w:t>产地</w:t>
      </w:r>
      <w:r>
        <w:rPr>
          <w:rFonts w:hint="eastAsia" w:ascii="仿宋_GB2312" w:hAnsi="仿宋_GB2312" w:eastAsia="仿宋_GB2312" w:cs="仿宋_GB2312"/>
          <w:color w:val="auto"/>
          <w:sz w:val="32"/>
          <w:szCs w:val="32"/>
        </w:rPr>
        <w:t>准出、市场准入和追溯机制，加强协调配合和工作衔接，形成监管合力。</w:t>
      </w:r>
      <w:r>
        <w:rPr>
          <w:rFonts w:hint="eastAsia" w:ascii="仿宋_GB2312" w:hAnsi="黑体" w:eastAsia="仿宋_GB2312" w:cs="方正小标宋_GBK"/>
          <w:color w:val="auto"/>
          <w:sz w:val="32"/>
          <w:szCs w:val="32"/>
        </w:rPr>
        <w:t xml:space="preserve"> </w:t>
      </w:r>
    </w:p>
    <w:p>
      <w:pPr>
        <w:snapToGrid w:val="0"/>
        <w:spacing w:line="520" w:lineRule="exact"/>
        <w:ind w:firstLine="640"/>
        <w:rPr>
          <w:rFonts w:hint="eastAsia" w:ascii="仿宋_GB2312"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．机构情况，</w:t>
      </w:r>
      <w:r>
        <w:rPr>
          <w:rFonts w:hint="eastAsia" w:ascii="仿宋_GB2312" w:hAnsi="仿宋" w:eastAsia="仿宋_GB2312"/>
          <w:color w:val="auto"/>
          <w:sz w:val="32"/>
          <w:szCs w:val="32"/>
          <w:lang w:eastAsia="zh-CN"/>
        </w:rPr>
        <w:t>密云区</w:t>
      </w:r>
      <w:r>
        <w:rPr>
          <w:rFonts w:hint="eastAsia" w:ascii="仿宋_GB2312" w:hAnsi="仿宋" w:eastAsia="仿宋_GB2312"/>
          <w:color w:val="auto"/>
          <w:sz w:val="32"/>
          <w:szCs w:val="32"/>
          <w:lang w:val="en-US" w:eastAsia="zh-CN"/>
        </w:rPr>
        <w:t>农业农村局</w:t>
      </w:r>
      <w:r>
        <w:rPr>
          <w:rFonts w:hint="eastAsia" w:ascii="仿宋_GB2312" w:hAnsi="仿宋" w:eastAsia="仿宋_GB2312"/>
          <w:color w:val="auto"/>
          <w:sz w:val="32"/>
          <w:szCs w:val="32"/>
          <w:lang w:eastAsia="zh-CN"/>
        </w:rPr>
        <w:t>属于一级预算单位，共有</w:t>
      </w:r>
      <w:r>
        <w:rPr>
          <w:rFonts w:hint="eastAsia" w:ascii="仿宋_GB2312" w:hAnsi="仿宋" w:eastAsia="仿宋_GB2312"/>
          <w:color w:val="auto"/>
          <w:sz w:val="32"/>
          <w:szCs w:val="32"/>
          <w:lang w:val="en-US" w:eastAsia="zh-CN"/>
        </w:rPr>
        <w:t>11个中心，</w:t>
      </w:r>
      <w:r>
        <w:rPr>
          <w:rFonts w:hint="eastAsia" w:ascii="仿宋_GB2312" w:eastAsia="仿宋_GB2312"/>
          <w:color w:val="auto"/>
          <w:sz w:val="32"/>
          <w:szCs w:val="32"/>
        </w:rPr>
        <w:t>内设科室有：办公室、组织宣传科、计划财务科，种植业科、农业机械与现代装备科、畜牧渔业管理科、农村经济管理科、山区建设科、村镇建设科。</w:t>
      </w:r>
    </w:p>
    <w:p>
      <w:pPr>
        <w:pStyle w:val="6"/>
        <w:ind w:firstLine="640"/>
        <w:rPr>
          <w:rFonts w:hint="default" w:eastAsia="仿宋_GB2312"/>
          <w:color w:val="auto"/>
          <w:lang w:val="en-US" w:eastAsia="zh-CN"/>
        </w:rPr>
      </w:pPr>
      <w:r>
        <w:rPr>
          <w:rFonts w:hint="eastAsia"/>
          <w:color w:val="auto"/>
          <w:lang w:val="en-US" w:eastAsia="zh-CN"/>
        </w:rPr>
        <w:t>下属二级单位4个，分别为北京市密云区动物疫病预防控制中心、北京市密云区农业农村局18所、北京市密云区动物卫生监督所、北京市密云区农业综合执法大队。</w:t>
      </w:r>
    </w:p>
    <w:p>
      <w:pPr>
        <w:tabs>
          <w:tab w:val="center" w:pos="6979"/>
        </w:tabs>
        <w:spacing w:line="580" w:lineRule="exact"/>
        <w:ind w:firstLine="420" w:firstLineChars="150"/>
        <w:rPr>
          <w:rFonts w:ascii="仿宋_GB2312" w:eastAsia="仿宋_GB2312"/>
          <w:color w:val="auto"/>
          <w:sz w:val="28"/>
          <w:szCs w:val="28"/>
        </w:rPr>
      </w:pPr>
      <w:r>
        <w:rPr>
          <w:rFonts w:hint="eastAsia" w:ascii="仿宋_GB2312" w:eastAsia="仿宋_GB2312"/>
          <w:color w:val="auto"/>
          <w:sz w:val="28"/>
          <w:szCs w:val="28"/>
        </w:rPr>
        <w:t>（二）人员构成情况</w:t>
      </w:r>
    </w:p>
    <w:p>
      <w:pPr>
        <w:tabs>
          <w:tab w:val="center" w:pos="6979"/>
        </w:tabs>
        <w:spacing w:line="580" w:lineRule="exact"/>
        <w:ind w:firstLine="560" w:firstLineChars="200"/>
        <w:rPr>
          <w:rFonts w:ascii="仿宋_GB2312" w:eastAsia="仿宋_GB2312"/>
          <w:color w:val="auto"/>
          <w:kern w:val="0"/>
          <w:sz w:val="28"/>
          <w:szCs w:val="28"/>
        </w:rPr>
      </w:pPr>
      <w:r>
        <w:rPr>
          <w:rFonts w:hint="eastAsia" w:ascii="仿宋_GB2312" w:eastAsia="仿宋_GB2312"/>
          <w:color w:val="auto"/>
          <w:kern w:val="0"/>
          <w:sz w:val="28"/>
          <w:szCs w:val="28"/>
        </w:rPr>
        <w:t>行政编制</w:t>
      </w:r>
      <w:r>
        <w:rPr>
          <w:rFonts w:hint="eastAsia" w:ascii="仿宋_GB2312" w:eastAsia="仿宋_GB2312"/>
          <w:color w:val="auto"/>
          <w:kern w:val="0"/>
          <w:sz w:val="28"/>
          <w:szCs w:val="28"/>
          <w:lang w:val="en-US" w:eastAsia="zh-CN"/>
        </w:rPr>
        <w:t>34</w:t>
      </w:r>
      <w:r>
        <w:rPr>
          <w:rFonts w:hint="eastAsia" w:ascii="仿宋_GB2312" w:eastAsia="仿宋_GB2312"/>
          <w:color w:val="auto"/>
          <w:kern w:val="0"/>
          <w:sz w:val="28"/>
          <w:szCs w:val="28"/>
        </w:rPr>
        <w:t>人，实有人数</w:t>
      </w:r>
      <w:r>
        <w:rPr>
          <w:rFonts w:hint="eastAsia" w:ascii="仿宋_GB2312" w:eastAsia="仿宋_GB2312"/>
          <w:color w:val="auto"/>
          <w:kern w:val="0"/>
          <w:sz w:val="28"/>
          <w:szCs w:val="28"/>
          <w:lang w:val="en-US" w:eastAsia="zh-CN"/>
        </w:rPr>
        <w:t>34</w:t>
      </w:r>
      <w:r>
        <w:rPr>
          <w:rFonts w:hint="eastAsia" w:ascii="仿宋_GB2312" w:eastAsia="仿宋_GB2312"/>
          <w:color w:val="auto"/>
          <w:kern w:val="0"/>
          <w:sz w:val="28"/>
          <w:szCs w:val="28"/>
        </w:rPr>
        <w:t>人；事业编制</w:t>
      </w:r>
      <w:r>
        <w:rPr>
          <w:rFonts w:hint="eastAsia" w:ascii="仿宋_GB2312" w:eastAsia="仿宋_GB2312"/>
          <w:color w:val="auto"/>
          <w:kern w:val="0"/>
          <w:sz w:val="28"/>
          <w:szCs w:val="28"/>
          <w:lang w:val="en-US" w:eastAsia="zh-CN"/>
        </w:rPr>
        <w:t>90</w:t>
      </w:r>
      <w:r>
        <w:rPr>
          <w:rFonts w:hint="eastAsia" w:ascii="仿宋_GB2312" w:eastAsia="仿宋_GB2312"/>
          <w:color w:val="auto"/>
          <w:kern w:val="0"/>
          <w:sz w:val="28"/>
          <w:szCs w:val="28"/>
        </w:rPr>
        <w:t>人，实有人数</w:t>
      </w:r>
      <w:r>
        <w:rPr>
          <w:rFonts w:hint="eastAsia" w:ascii="仿宋_GB2312" w:eastAsia="仿宋_GB2312"/>
          <w:color w:val="auto"/>
          <w:kern w:val="0"/>
          <w:sz w:val="28"/>
          <w:szCs w:val="28"/>
          <w:lang w:val="en-US" w:eastAsia="zh-CN"/>
        </w:rPr>
        <w:t>90</w:t>
      </w:r>
      <w:r>
        <w:rPr>
          <w:rFonts w:hint="eastAsia" w:ascii="仿宋_GB2312" w:eastAsia="仿宋_GB2312"/>
          <w:color w:val="auto"/>
          <w:kern w:val="0"/>
          <w:sz w:val="28"/>
          <w:szCs w:val="28"/>
        </w:rPr>
        <w:t>人。</w:t>
      </w:r>
    </w:p>
    <w:p>
      <w:pPr>
        <w:tabs>
          <w:tab w:val="center" w:pos="6979"/>
        </w:tabs>
        <w:spacing w:line="580" w:lineRule="exact"/>
        <w:rPr>
          <w:rFonts w:hint="eastAsia" w:ascii="黑体" w:eastAsia="黑体"/>
          <w:b w:val="0"/>
          <w:bCs/>
          <w:color w:val="auto"/>
          <w:sz w:val="28"/>
          <w:szCs w:val="28"/>
        </w:rPr>
      </w:pPr>
      <w:r>
        <w:rPr>
          <w:rFonts w:hint="eastAsia" w:ascii="仿宋_GB2312" w:eastAsia="仿宋_GB2312"/>
          <w:b/>
          <w:color w:val="auto"/>
          <w:sz w:val="32"/>
          <w:szCs w:val="32"/>
        </w:rPr>
        <w:t xml:space="preserve">  </w:t>
      </w:r>
      <w:r>
        <w:rPr>
          <w:rFonts w:hint="eastAsia" w:ascii="仿宋_GB2312" w:eastAsia="仿宋_GB2312"/>
          <w:b w:val="0"/>
          <w:bCs/>
          <w:color w:val="auto"/>
          <w:sz w:val="32"/>
          <w:szCs w:val="32"/>
        </w:rPr>
        <w:t xml:space="preserve"> </w:t>
      </w:r>
      <w:r>
        <w:rPr>
          <w:rFonts w:hint="eastAsia" w:ascii="黑体" w:eastAsia="黑体"/>
          <w:b w:val="0"/>
          <w:bCs/>
          <w:color w:val="auto"/>
          <w:sz w:val="28"/>
          <w:szCs w:val="28"/>
        </w:rPr>
        <w:t>二、收入支出决算总体情况说明</w:t>
      </w:r>
    </w:p>
    <w:p>
      <w:pPr>
        <w:snapToGrid w:val="0"/>
        <w:spacing w:line="520" w:lineRule="exact"/>
        <w:ind w:firstLine="560" w:firstLineChars="200"/>
        <w:rPr>
          <w:rFonts w:hint="eastAsia" w:ascii="仿宋_GB2312" w:hAnsi="仿宋" w:eastAsia="仿宋_GB2312"/>
          <w:color w:val="auto"/>
          <w:sz w:val="32"/>
          <w:szCs w:val="32"/>
          <w:lang w:val="en-US" w:eastAsia="zh-CN"/>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年度收、</w:t>
      </w:r>
      <w:r>
        <w:rPr>
          <w:rFonts w:ascii="仿宋_GB2312" w:eastAsia="仿宋_GB2312"/>
          <w:color w:val="auto"/>
          <w:sz w:val="28"/>
          <w:szCs w:val="28"/>
        </w:rPr>
        <w:t>支</w:t>
      </w:r>
      <w:r>
        <w:rPr>
          <w:rFonts w:hint="eastAsia" w:ascii="仿宋_GB2312" w:eastAsia="仿宋_GB2312"/>
          <w:color w:val="auto"/>
          <w:sz w:val="28"/>
          <w:szCs w:val="28"/>
        </w:rPr>
        <w:t>总计</w:t>
      </w:r>
      <w:r>
        <w:rPr>
          <w:rFonts w:ascii="仿宋_GB2312" w:eastAsia="仿宋_GB2312"/>
          <w:color w:val="auto"/>
          <w:sz w:val="28"/>
          <w:szCs w:val="28"/>
        </w:rPr>
        <w:t>52334.18</w:t>
      </w:r>
      <w:r>
        <w:rPr>
          <w:rFonts w:hint="eastAsia" w:ascii="仿宋_GB2312" w:eastAsia="仿宋_GB2312"/>
          <w:color w:val="auto"/>
          <w:sz w:val="28"/>
          <w:szCs w:val="28"/>
        </w:rPr>
        <w:t>万元，</w:t>
      </w:r>
      <w:r>
        <w:rPr>
          <w:rFonts w:hint="eastAsia" w:ascii="仿宋_GB2312" w:hAnsi="仿宋" w:eastAsia="仿宋_GB2312"/>
          <w:color w:val="auto"/>
          <w:sz w:val="32"/>
          <w:szCs w:val="32"/>
          <w:lang w:val="en-US" w:eastAsia="zh-CN"/>
        </w:rPr>
        <w:t>比2022年34465.43万元增加17868.75万元，</w:t>
      </w:r>
      <w:r>
        <w:rPr>
          <w:rFonts w:hint="eastAsia" w:ascii="仿宋_GB2312" w:eastAsia="仿宋_GB2312"/>
          <w:color w:val="auto"/>
          <w:sz w:val="28"/>
          <w:szCs w:val="28"/>
        </w:rPr>
        <w:t>增长</w:t>
      </w:r>
      <w:r>
        <w:rPr>
          <w:rFonts w:hint="eastAsia" w:ascii="仿宋_GB2312" w:eastAsia="仿宋_GB2312"/>
          <w:color w:val="auto"/>
          <w:sz w:val="28"/>
          <w:szCs w:val="28"/>
          <w:lang w:val="en-US" w:eastAsia="zh-CN"/>
        </w:rPr>
        <w:t>51.85</w:t>
      </w:r>
      <w:r>
        <w:rPr>
          <w:rFonts w:hint="eastAsia" w:ascii="仿宋_GB2312" w:eastAsia="仿宋_GB2312"/>
          <w:color w:val="auto"/>
          <w:sz w:val="28"/>
          <w:szCs w:val="28"/>
        </w:rPr>
        <w:t>%</w:t>
      </w:r>
      <w:r>
        <w:rPr>
          <w:rFonts w:hint="eastAsia" w:ascii="仿宋_GB2312" w:eastAsia="仿宋_GB2312"/>
          <w:color w:val="auto"/>
          <w:sz w:val="28"/>
          <w:szCs w:val="28"/>
          <w:lang w:eastAsia="zh-CN"/>
        </w:rPr>
        <w:t>，</w:t>
      </w:r>
      <w:r>
        <w:rPr>
          <w:rFonts w:hint="eastAsia" w:ascii="仿宋_GB2312" w:hAnsi="仿宋" w:eastAsia="仿宋_GB2312"/>
          <w:color w:val="auto"/>
          <w:sz w:val="32"/>
          <w:szCs w:val="32"/>
          <w:lang w:val="en-US" w:eastAsia="zh-CN"/>
        </w:rPr>
        <w:t>其主要原因为2023年加大民生项目资金投入。</w:t>
      </w:r>
    </w:p>
    <w:p>
      <w:pPr>
        <w:tabs>
          <w:tab w:val="center" w:pos="6979"/>
        </w:tabs>
        <w:spacing w:line="580" w:lineRule="exact"/>
        <w:ind w:firstLine="57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w:t>
      </w:r>
      <w:r>
        <w:rPr>
          <w:rFonts w:ascii="仿宋_GB2312" w:eastAsia="仿宋_GB2312"/>
          <w:color w:val="auto"/>
          <w:sz w:val="28"/>
          <w:szCs w:val="28"/>
          <w:highlight w:val="none"/>
        </w:rPr>
        <w:t>）</w:t>
      </w:r>
      <w:r>
        <w:rPr>
          <w:rFonts w:hint="eastAsia" w:ascii="仿宋_GB2312" w:eastAsia="仿宋_GB2312"/>
          <w:color w:val="auto"/>
          <w:sz w:val="28"/>
          <w:szCs w:val="28"/>
          <w:highlight w:val="none"/>
        </w:rPr>
        <w:t>收入决算</w:t>
      </w:r>
      <w:r>
        <w:rPr>
          <w:rFonts w:ascii="仿宋_GB2312" w:eastAsia="仿宋_GB2312"/>
          <w:color w:val="auto"/>
          <w:sz w:val="28"/>
          <w:szCs w:val="28"/>
          <w:highlight w:val="none"/>
        </w:rPr>
        <w:t>说明</w:t>
      </w:r>
    </w:p>
    <w:p>
      <w:pPr>
        <w:tabs>
          <w:tab w:val="center" w:pos="6979"/>
        </w:tabs>
        <w:spacing w:line="580" w:lineRule="exact"/>
        <w:ind w:firstLine="570"/>
        <w:rPr>
          <w:rFonts w:hint="eastAsia" w:ascii="仿宋_GB2312" w:eastAsia="仿宋_GB2312"/>
          <w:color w:val="auto"/>
          <w:sz w:val="28"/>
          <w:szCs w:val="28"/>
          <w:lang w:eastAsia="zh-CN"/>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年度本年收入合计</w:t>
      </w:r>
      <w:r>
        <w:rPr>
          <w:rFonts w:ascii="仿宋_GB2312" w:eastAsia="仿宋_GB2312"/>
          <w:color w:val="auto"/>
          <w:sz w:val="28"/>
          <w:szCs w:val="28"/>
        </w:rPr>
        <w:t>47808.84</w:t>
      </w:r>
      <w:r>
        <w:rPr>
          <w:rFonts w:hint="eastAsia" w:ascii="仿宋_GB2312" w:eastAsia="仿宋_GB2312"/>
          <w:color w:val="auto"/>
          <w:sz w:val="28"/>
          <w:szCs w:val="28"/>
        </w:rPr>
        <w:t>万元，</w:t>
      </w:r>
      <w:r>
        <w:rPr>
          <w:rFonts w:hint="eastAsia" w:ascii="仿宋_GB2312" w:hAnsi="仿宋" w:eastAsia="仿宋_GB2312"/>
          <w:color w:val="auto"/>
          <w:sz w:val="32"/>
          <w:szCs w:val="32"/>
          <w:lang w:val="en-US" w:eastAsia="zh-CN"/>
        </w:rPr>
        <w:t>比2022年安排资金预算32022.90万元增加15785.94万元，</w:t>
      </w:r>
      <w:r>
        <w:rPr>
          <w:rFonts w:hint="eastAsia" w:ascii="仿宋_GB2312" w:eastAsia="仿宋_GB2312"/>
          <w:color w:val="auto"/>
          <w:sz w:val="28"/>
          <w:szCs w:val="28"/>
        </w:rPr>
        <w:t>增长</w:t>
      </w:r>
      <w:r>
        <w:rPr>
          <w:rFonts w:hint="eastAsia" w:ascii="仿宋_GB2312" w:eastAsia="仿宋_GB2312"/>
          <w:color w:val="auto"/>
          <w:sz w:val="28"/>
          <w:szCs w:val="28"/>
          <w:lang w:val="en-US" w:eastAsia="zh-CN"/>
        </w:rPr>
        <w:t>49.3</w:t>
      </w:r>
      <w:r>
        <w:rPr>
          <w:rFonts w:hint="eastAsia" w:ascii="仿宋_GB2312" w:eastAsia="仿宋_GB2312"/>
          <w:color w:val="auto"/>
          <w:sz w:val="28"/>
          <w:szCs w:val="28"/>
        </w:rPr>
        <w:t>%</w:t>
      </w:r>
      <w:r>
        <w:rPr>
          <w:rFonts w:hint="eastAsia" w:ascii="仿宋_GB2312" w:eastAsia="仿宋_GB2312"/>
          <w:color w:val="auto"/>
          <w:sz w:val="28"/>
          <w:szCs w:val="28"/>
          <w:lang w:eastAsia="zh-CN"/>
        </w:rPr>
        <w:t>，</w:t>
      </w:r>
      <w:r>
        <w:rPr>
          <w:rFonts w:hint="eastAsia" w:ascii="仿宋_GB2312" w:hAnsi="仿宋" w:eastAsia="仿宋_GB2312"/>
          <w:color w:val="auto"/>
          <w:sz w:val="32"/>
          <w:szCs w:val="32"/>
          <w:lang w:val="en-US" w:eastAsia="zh-CN"/>
        </w:rPr>
        <w:t>增加原因为2023年加大民生项目资金投入。</w:t>
      </w:r>
    </w:p>
    <w:p>
      <w:pPr>
        <w:tabs>
          <w:tab w:val="center" w:pos="6979"/>
        </w:tabs>
        <w:spacing w:line="580" w:lineRule="exact"/>
        <w:ind w:firstLine="560" w:firstLineChars="200"/>
        <w:rPr>
          <w:rFonts w:hint="eastAsia"/>
          <w:color w:val="auto"/>
        </w:rPr>
      </w:pPr>
      <w:r>
        <w:rPr>
          <w:rFonts w:hint="eastAsia" w:ascii="仿宋_GB2312" w:eastAsia="仿宋_GB2312"/>
          <w:color w:val="auto"/>
          <w:sz w:val="28"/>
          <w:szCs w:val="28"/>
        </w:rPr>
        <w:t>1.财政拨款收入</w:t>
      </w:r>
      <w:r>
        <w:rPr>
          <w:rFonts w:ascii="仿宋_GB2312" w:eastAsia="仿宋_GB2312"/>
          <w:color w:val="auto"/>
          <w:sz w:val="28"/>
          <w:szCs w:val="28"/>
        </w:rPr>
        <w:t>47808.84</w:t>
      </w:r>
      <w:r>
        <w:rPr>
          <w:rFonts w:hint="eastAsia" w:ascii="仿宋_GB2312" w:eastAsia="仿宋_GB2312"/>
          <w:color w:val="auto"/>
          <w:sz w:val="28"/>
          <w:szCs w:val="28"/>
        </w:rPr>
        <w:t>万元，占收入合计的</w:t>
      </w:r>
      <w:r>
        <w:rPr>
          <w:rFonts w:ascii="仿宋_GB2312" w:eastAsia="仿宋_GB2312"/>
          <w:color w:val="auto"/>
          <w:sz w:val="28"/>
          <w:szCs w:val="28"/>
        </w:rPr>
        <w:t>100</w:t>
      </w:r>
      <w:r>
        <w:rPr>
          <w:rFonts w:hint="eastAsia" w:ascii="仿宋_GB2312" w:eastAsia="仿宋_GB2312"/>
          <w:color w:val="auto"/>
          <w:sz w:val="28"/>
          <w:szCs w:val="28"/>
        </w:rPr>
        <w:t>%。其中：一般公共预算财政拨款收入</w:t>
      </w:r>
      <w:r>
        <w:rPr>
          <w:rFonts w:ascii="仿宋_GB2312" w:eastAsia="仿宋_GB2312"/>
          <w:color w:val="auto"/>
          <w:sz w:val="28"/>
          <w:szCs w:val="28"/>
        </w:rPr>
        <w:t>46334.94</w:t>
      </w:r>
      <w:r>
        <w:rPr>
          <w:rFonts w:hint="eastAsia" w:ascii="仿宋_GB2312" w:eastAsia="仿宋_GB2312"/>
          <w:color w:val="auto"/>
          <w:sz w:val="28"/>
          <w:szCs w:val="28"/>
        </w:rPr>
        <w:t>万元，占收入合计的</w:t>
      </w:r>
      <w:r>
        <w:rPr>
          <w:rFonts w:ascii="仿宋_GB2312" w:eastAsia="仿宋_GB2312"/>
          <w:color w:val="auto"/>
          <w:sz w:val="28"/>
          <w:szCs w:val="28"/>
        </w:rPr>
        <w:t>96.91</w:t>
      </w:r>
      <w:r>
        <w:rPr>
          <w:rFonts w:hint="eastAsia" w:ascii="仿宋_GB2312" w:eastAsia="仿宋_GB2312"/>
          <w:color w:val="auto"/>
          <w:sz w:val="28"/>
          <w:szCs w:val="28"/>
        </w:rPr>
        <w:t>%；政府性基金预算财政拨款收入</w:t>
      </w:r>
      <w:r>
        <w:rPr>
          <w:rFonts w:ascii="仿宋_GB2312" w:eastAsia="仿宋_GB2312"/>
          <w:color w:val="auto"/>
          <w:sz w:val="28"/>
          <w:szCs w:val="28"/>
        </w:rPr>
        <w:t>1473.9</w:t>
      </w:r>
      <w:r>
        <w:rPr>
          <w:rFonts w:hint="eastAsia" w:ascii="仿宋_GB2312" w:eastAsia="仿宋_GB2312"/>
          <w:color w:val="auto"/>
          <w:sz w:val="28"/>
          <w:szCs w:val="28"/>
        </w:rPr>
        <w:t>万元，占收入合计的</w:t>
      </w:r>
      <w:r>
        <w:rPr>
          <w:rFonts w:ascii="仿宋_GB2312" w:eastAsia="仿宋_GB2312"/>
          <w:color w:val="auto"/>
          <w:sz w:val="28"/>
          <w:szCs w:val="28"/>
        </w:rPr>
        <w:t>3.08</w:t>
      </w:r>
      <w:r>
        <w:rPr>
          <w:rFonts w:hint="eastAsia" w:ascii="仿宋_GB2312" w:eastAsia="仿宋_GB2312"/>
          <w:color w:val="auto"/>
          <w:sz w:val="28"/>
          <w:szCs w:val="28"/>
        </w:rPr>
        <w:t>%；国有资本经营预算财政拨款收入</w:t>
      </w:r>
      <w:r>
        <w:rPr>
          <w:rFonts w:ascii="仿宋_GB2312" w:eastAsia="仿宋_GB2312"/>
          <w:color w:val="auto"/>
          <w:sz w:val="28"/>
          <w:szCs w:val="28"/>
        </w:rPr>
        <w:t>0</w:t>
      </w:r>
      <w:r>
        <w:rPr>
          <w:rFonts w:hint="eastAsia" w:ascii="仿宋_GB2312" w:eastAsia="仿宋_GB2312"/>
          <w:color w:val="auto"/>
          <w:sz w:val="28"/>
          <w:szCs w:val="28"/>
        </w:rPr>
        <w:t>万元，占收入合计的</w:t>
      </w:r>
      <w:r>
        <w:rPr>
          <w:rFonts w:ascii="仿宋_GB2312" w:eastAsia="仿宋_GB2312"/>
          <w:color w:val="auto"/>
          <w:sz w:val="28"/>
          <w:szCs w:val="28"/>
        </w:rPr>
        <w:t>0</w:t>
      </w:r>
      <w:r>
        <w:rPr>
          <w:rFonts w:hint="eastAsia" w:ascii="仿宋_GB2312" w:eastAsia="仿宋_GB2312"/>
          <w:color w:val="auto"/>
          <w:sz w:val="28"/>
          <w:szCs w:val="28"/>
        </w:rPr>
        <w:t>%；</w:t>
      </w:r>
    </w:p>
    <w:p>
      <w:pPr>
        <w:tabs>
          <w:tab w:val="center" w:pos="6979"/>
        </w:tabs>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2.上级补助收入</w:t>
      </w:r>
      <w:r>
        <w:rPr>
          <w:rFonts w:ascii="仿宋_GB2312" w:eastAsia="仿宋_GB2312"/>
          <w:color w:val="auto"/>
          <w:sz w:val="28"/>
          <w:szCs w:val="28"/>
        </w:rPr>
        <w:t>0</w:t>
      </w:r>
      <w:r>
        <w:rPr>
          <w:rFonts w:hint="eastAsia" w:ascii="仿宋_GB2312" w:eastAsia="仿宋_GB2312"/>
          <w:color w:val="auto"/>
          <w:sz w:val="28"/>
          <w:szCs w:val="28"/>
        </w:rPr>
        <w:t>万元，占收入合计的</w:t>
      </w:r>
      <w:r>
        <w:rPr>
          <w:rFonts w:ascii="仿宋_GB2312" w:eastAsia="仿宋_GB2312"/>
          <w:color w:val="auto"/>
          <w:sz w:val="28"/>
          <w:szCs w:val="28"/>
        </w:rPr>
        <w:t>0</w:t>
      </w:r>
      <w:r>
        <w:rPr>
          <w:rFonts w:hint="eastAsia" w:ascii="仿宋_GB2312" w:eastAsia="仿宋_GB2312"/>
          <w:color w:val="auto"/>
          <w:sz w:val="28"/>
          <w:szCs w:val="28"/>
        </w:rPr>
        <w:t>%；</w:t>
      </w:r>
    </w:p>
    <w:p>
      <w:pPr>
        <w:tabs>
          <w:tab w:val="center" w:pos="6979"/>
        </w:tabs>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3.事业收入</w:t>
      </w:r>
      <w:r>
        <w:rPr>
          <w:rFonts w:ascii="仿宋_GB2312" w:eastAsia="仿宋_GB2312"/>
          <w:color w:val="auto"/>
          <w:sz w:val="28"/>
          <w:szCs w:val="28"/>
        </w:rPr>
        <w:t>0</w:t>
      </w:r>
      <w:r>
        <w:rPr>
          <w:rFonts w:hint="eastAsia" w:ascii="仿宋_GB2312" w:eastAsia="仿宋_GB2312"/>
          <w:color w:val="auto"/>
          <w:sz w:val="28"/>
          <w:szCs w:val="28"/>
        </w:rPr>
        <w:t>万元，占收入合计的</w:t>
      </w:r>
      <w:r>
        <w:rPr>
          <w:rFonts w:ascii="仿宋_GB2312" w:eastAsia="仿宋_GB2312"/>
          <w:color w:val="auto"/>
          <w:sz w:val="28"/>
          <w:szCs w:val="28"/>
        </w:rPr>
        <w:t>0</w:t>
      </w:r>
      <w:r>
        <w:rPr>
          <w:rFonts w:hint="eastAsia" w:ascii="仿宋_GB2312" w:eastAsia="仿宋_GB2312"/>
          <w:color w:val="auto"/>
          <w:sz w:val="28"/>
          <w:szCs w:val="28"/>
        </w:rPr>
        <w:t>%；</w:t>
      </w:r>
    </w:p>
    <w:p>
      <w:pPr>
        <w:tabs>
          <w:tab w:val="center" w:pos="6979"/>
        </w:tabs>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4.经营收入</w:t>
      </w:r>
      <w:r>
        <w:rPr>
          <w:rFonts w:ascii="仿宋_GB2312" w:eastAsia="仿宋_GB2312"/>
          <w:color w:val="auto"/>
          <w:sz w:val="28"/>
          <w:szCs w:val="28"/>
        </w:rPr>
        <w:t>0</w:t>
      </w:r>
      <w:r>
        <w:rPr>
          <w:rFonts w:hint="eastAsia" w:ascii="仿宋_GB2312" w:eastAsia="仿宋_GB2312"/>
          <w:color w:val="auto"/>
          <w:sz w:val="28"/>
          <w:szCs w:val="28"/>
        </w:rPr>
        <w:t>万元，占收入合计的</w:t>
      </w:r>
      <w:r>
        <w:rPr>
          <w:rFonts w:ascii="仿宋_GB2312" w:eastAsia="仿宋_GB2312"/>
          <w:color w:val="auto"/>
          <w:sz w:val="28"/>
          <w:szCs w:val="28"/>
        </w:rPr>
        <w:t>0</w:t>
      </w:r>
      <w:r>
        <w:rPr>
          <w:rFonts w:hint="eastAsia" w:ascii="仿宋_GB2312" w:eastAsia="仿宋_GB2312"/>
          <w:color w:val="auto"/>
          <w:sz w:val="28"/>
          <w:szCs w:val="28"/>
        </w:rPr>
        <w:t>%；</w:t>
      </w:r>
    </w:p>
    <w:p>
      <w:pPr>
        <w:tabs>
          <w:tab w:val="center" w:pos="6979"/>
        </w:tabs>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5.附属单位上缴收入</w:t>
      </w:r>
      <w:r>
        <w:rPr>
          <w:rFonts w:ascii="仿宋_GB2312" w:eastAsia="仿宋_GB2312"/>
          <w:color w:val="auto"/>
          <w:sz w:val="28"/>
          <w:szCs w:val="28"/>
        </w:rPr>
        <w:t>0</w:t>
      </w:r>
      <w:r>
        <w:rPr>
          <w:rFonts w:hint="eastAsia" w:ascii="仿宋_GB2312" w:eastAsia="仿宋_GB2312"/>
          <w:color w:val="auto"/>
          <w:sz w:val="28"/>
          <w:szCs w:val="28"/>
        </w:rPr>
        <w:t>万元，占收入合计的</w:t>
      </w:r>
      <w:r>
        <w:rPr>
          <w:rFonts w:ascii="仿宋_GB2312" w:eastAsia="仿宋_GB2312"/>
          <w:color w:val="auto"/>
          <w:sz w:val="28"/>
          <w:szCs w:val="28"/>
        </w:rPr>
        <w:t>0</w:t>
      </w:r>
      <w:r>
        <w:rPr>
          <w:rFonts w:hint="eastAsia" w:ascii="仿宋_GB2312" w:eastAsia="仿宋_GB2312"/>
          <w:color w:val="auto"/>
          <w:sz w:val="28"/>
          <w:szCs w:val="28"/>
        </w:rPr>
        <w:t>%；</w:t>
      </w:r>
    </w:p>
    <w:p>
      <w:pPr>
        <w:tabs>
          <w:tab w:val="center" w:pos="6979"/>
        </w:tabs>
        <w:spacing w:line="58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6.其他收入</w:t>
      </w:r>
      <w:r>
        <w:rPr>
          <w:rFonts w:ascii="仿宋_GB2312" w:eastAsia="仿宋_GB2312"/>
          <w:color w:val="auto"/>
          <w:sz w:val="28"/>
          <w:szCs w:val="28"/>
        </w:rPr>
        <w:t>0</w:t>
      </w:r>
      <w:r>
        <w:rPr>
          <w:rFonts w:hint="eastAsia" w:ascii="仿宋_GB2312" w:eastAsia="仿宋_GB2312"/>
          <w:color w:val="auto"/>
          <w:sz w:val="28"/>
          <w:szCs w:val="28"/>
        </w:rPr>
        <w:t>万元，占收入合计的</w:t>
      </w:r>
      <w:r>
        <w:rPr>
          <w:rFonts w:ascii="仿宋_GB2312" w:eastAsia="仿宋_GB2312"/>
          <w:color w:val="auto"/>
          <w:sz w:val="28"/>
          <w:szCs w:val="28"/>
        </w:rPr>
        <w:t>0</w:t>
      </w:r>
      <w:r>
        <w:rPr>
          <w:rFonts w:hint="eastAsia" w:ascii="仿宋_GB2312" w:eastAsia="仿宋_GB2312"/>
          <w:color w:val="auto"/>
          <w:sz w:val="28"/>
          <w:szCs w:val="28"/>
        </w:rPr>
        <w:t>%。</w:t>
      </w:r>
    </w:p>
    <w:p>
      <w:pPr>
        <w:pStyle w:val="6"/>
        <w:rPr>
          <w:rFonts w:hint="eastAsia"/>
          <w:color w:val="auto"/>
          <w:lang w:eastAsia="zh-CN"/>
        </w:rPr>
      </w:pPr>
      <w:r>
        <w:rPr>
          <w:rFonts w:hint="eastAsia" w:ascii="仿宋_GB2312" w:hAnsi="仿宋" w:eastAsia="仿宋_GB2312"/>
          <w:color w:val="auto"/>
          <w:sz w:val="32"/>
          <w:szCs w:val="32"/>
          <w:lang w:eastAsia="zh-CN"/>
        </w:rPr>
        <w:drawing>
          <wp:inline distT="0" distB="0" distL="114300" distR="114300">
            <wp:extent cx="9107805" cy="4827905"/>
            <wp:effectExtent l="0" t="0" r="17145" b="10795"/>
            <wp:docPr id="4" name="图片 3" descr="2023年度部门收入项目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023年度部门收入项目结构图"/>
                    <pic:cNvPicPr>
                      <a:picLocks noChangeAspect="1"/>
                    </pic:cNvPicPr>
                  </pic:nvPicPr>
                  <pic:blipFill>
                    <a:blip r:embed="rId8"/>
                    <a:stretch>
                      <a:fillRect/>
                    </a:stretch>
                  </pic:blipFill>
                  <pic:spPr>
                    <a:xfrm>
                      <a:off x="0" y="0"/>
                      <a:ext cx="9107805" cy="4827905"/>
                    </a:xfrm>
                    <a:prstGeom prst="rect">
                      <a:avLst/>
                    </a:prstGeom>
                    <a:noFill/>
                    <a:ln>
                      <a:noFill/>
                    </a:ln>
                  </pic:spPr>
                </pic:pic>
              </a:graphicData>
            </a:graphic>
          </wp:inline>
        </w:drawing>
      </w:r>
    </w:p>
    <w:p>
      <w:pPr>
        <w:pStyle w:val="4"/>
        <w:ind w:firstLine="0"/>
        <w:jc w:val="center"/>
        <w:rPr>
          <w:rFonts w:hint="default"/>
          <w:color w:val="auto"/>
          <w:lang w:val="en-US"/>
        </w:rPr>
      </w:pPr>
      <w:r>
        <w:rPr>
          <w:rFonts w:hint="eastAsia" w:ascii="仿宋_GB2312" w:eastAsia="仿宋_GB2312"/>
          <w:color w:val="auto"/>
          <w:sz w:val="32"/>
          <w:szCs w:val="32"/>
          <w:highlight w:val="none"/>
          <w:lang w:val="en-US" w:eastAsia="zh-CN"/>
        </w:rPr>
        <w:t>图1：收入决算</w:t>
      </w:r>
    </w:p>
    <w:p>
      <w:pPr>
        <w:bidi w:val="0"/>
        <w:jc w:val="center"/>
        <w:rPr>
          <w:rFonts w:hint="eastAsia"/>
          <w:color w:val="auto"/>
          <w:lang w:val="en-US" w:eastAsia="zh-CN"/>
        </w:rPr>
      </w:pPr>
      <w:r>
        <w:rPr>
          <w:rFonts w:hint="eastAsia"/>
          <w:color w:val="auto"/>
          <w:lang w:val="en-US" w:eastAsia="zh-CN"/>
        </w:rPr>
        <w:drawing>
          <wp:inline distT="0" distB="0" distL="114300" distR="114300">
            <wp:extent cx="8979535" cy="5335270"/>
            <wp:effectExtent l="4445" t="4445" r="7620" b="13335"/>
            <wp:docPr id="2" name="图表 2"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center" w:pos="6979"/>
        </w:tabs>
        <w:spacing w:line="580" w:lineRule="exact"/>
        <w:ind w:firstLine="570"/>
        <w:rPr>
          <w:rFonts w:hint="eastAsia" w:ascii="仿宋_GB2312" w:eastAsia="仿宋_GB2312"/>
          <w:color w:val="auto"/>
          <w:sz w:val="28"/>
          <w:szCs w:val="28"/>
        </w:rPr>
      </w:pPr>
      <w:r>
        <w:rPr>
          <w:rFonts w:hint="eastAsia" w:ascii="仿宋_GB2312" w:eastAsia="仿宋_GB2312"/>
          <w:color w:val="auto"/>
          <w:sz w:val="28"/>
          <w:szCs w:val="28"/>
        </w:rPr>
        <w:t>（二</w:t>
      </w:r>
      <w:r>
        <w:rPr>
          <w:rFonts w:ascii="仿宋_GB2312" w:eastAsia="仿宋_GB2312"/>
          <w:color w:val="auto"/>
          <w:sz w:val="28"/>
          <w:szCs w:val="28"/>
        </w:rPr>
        <w:t>）</w:t>
      </w:r>
      <w:r>
        <w:rPr>
          <w:rFonts w:hint="eastAsia" w:ascii="仿宋_GB2312" w:eastAsia="仿宋_GB2312"/>
          <w:color w:val="auto"/>
          <w:sz w:val="28"/>
          <w:szCs w:val="28"/>
        </w:rPr>
        <w:t>支出决算</w:t>
      </w:r>
      <w:r>
        <w:rPr>
          <w:rFonts w:ascii="仿宋_GB2312" w:eastAsia="仿宋_GB2312"/>
          <w:color w:val="auto"/>
          <w:sz w:val="28"/>
          <w:szCs w:val="28"/>
        </w:rPr>
        <w:t>说明</w:t>
      </w:r>
    </w:p>
    <w:p>
      <w:pPr>
        <w:tabs>
          <w:tab w:val="center" w:pos="6979"/>
        </w:tabs>
        <w:spacing w:line="580" w:lineRule="exact"/>
        <w:ind w:firstLine="570"/>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年度本年支出合计</w:t>
      </w:r>
      <w:r>
        <w:rPr>
          <w:rFonts w:ascii="仿宋_GB2312" w:eastAsia="仿宋_GB2312"/>
          <w:color w:val="auto"/>
          <w:sz w:val="28"/>
          <w:szCs w:val="28"/>
        </w:rPr>
        <w:t>52334.18</w:t>
      </w:r>
      <w:r>
        <w:rPr>
          <w:rFonts w:hint="eastAsia" w:ascii="仿宋_GB2312" w:eastAsia="仿宋_GB2312"/>
          <w:color w:val="auto"/>
          <w:sz w:val="28"/>
          <w:szCs w:val="28"/>
        </w:rPr>
        <w:t>万元，</w:t>
      </w:r>
      <w:r>
        <w:rPr>
          <w:rFonts w:ascii="仿宋_GB2312" w:eastAsia="仿宋_GB2312"/>
          <w:color w:val="auto"/>
          <w:sz w:val="28"/>
          <w:szCs w:val="28"/>
        </w:rPr>
        <w:t>比上年</w:t>
      </w:r>
      <w:r>
        <w:rPr>
          <w:rFonts w:hint="eastAsia" w:ascii="仿宋_GB2312" w:eastAsia="仿宋_GB2312"/>
          <w:color w:val="auto"/>
          <w:sz w:val="28"/>
          <w:szCs w:val="28"/>
        </w:rPr>
        <w:t>34465</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4</w:t>
      </w:r>
      <w:r>
        <w:rPr>
          <w:rFonts w:hint="eastAsia" w:ascii="仿宋_GB2312" w:eastAsia="仿宋_GB2312"/>
          <w:color w:val="auto"/>
          <w:sz w:val="28"/>
          <w:szCs w:val="28"/>
          <w:lang w:val="en-US" w:eastAsia="zh-CN"/>
        </w:rPr>
        <w:t>万元</w:t>
      </w:r>
      <w:r>
        <w:rPr>
          <w:rFonts w:ascii="仿宋_GB2312" w:eastAsia="仿宋_GB2312"/>
          <w:color w:val="auto"/>
          <w:sz w:val="28"/>
          <w:szCs w:val="28"/>
        </w:rPr>
        <w:t>增加</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17868.78</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51.85</w:t>
      </w:r>
      <w:r>
        <w:rPr>
          <w:rFonts w:hint="eastAsia" w:ascii="仿宋_GB2312" w:eastAsia="仿宋_GB2312"/>
          <w:color w:val="auto"/>
          <w:sz w:val="28"/>
          <w:szCs w:val="28"/>
        </w:rPr>
        <w:t>%，其中：基本支出</w:t>
      </w:r>
      <w:r>
        <w:rPr>
          <w:rFonts w:ascii="仿宋_GB2312" w:eastAsia="仿宋_GB2312"/>
          <w:color w:val="auto"/>
          <w:sz w:val="28"/>
          <w:szCs w:val="28"/>
        </w:rPr>
        <w:t>4179.93</w:t>
      </w:r>
      <w:r>
        <w:rPr>
          <w:rFonts w:hint="eastAsia" w:ascii="仿宋_GB2312" w:eastAsia="仿宋_GB2312"/>
          <w:color w:val="auto"/>
          <w:sz w:val="28"/>
          <w:szCs w:val="28"/>
        </w:rPr>
        <w:t>万元，占支出合计的</w:t>
      </w:r>
      <w:r>
        <w:rPr>
          <w:rFonts w:ascii="仿宋_GB2312" w:eastAsia="仿宋_GB2312"/>
          <w:color w:val="auto"/>
          <w:sz w:val="28"/>
          <w:szCs w:val="28"/>
        </w:rPr>
        <w:t>7.98</w:t>
      </w:r>
      <w:r>
        <w:rPr>
          <w:rFonts w:hint="eastAsia" w:ascii="仿宋_GB2312" w:eastAsia="仿宋_GB2312"/>
          <w:color w:val="auto"/>
          <w:sz w:val="28"/>
          <w:szCs w:val="28"/>
        </w:rPr>
        <w:t>%；项目支出</w:t>
      </w:r>
      <w:r>
        <w:rPr>
          <w:rFonts w:ascii="仿宋_GB2312" w:eastAsia="仿宋_GB2312"/>
          <w:color w:val="auto"/>
          <w:sz w:val="28"/>
          <w:szCs w:val="28"/>
        </w:rPr>
        <w:t>48154.25</w:t>
      </w:r>
      <w:r>
        <w:rPr>
          <w:rFonts w:hint="eastAsia" w:ascii="仿宋_GB2312" w:eastAsia="仿宋_GB2312"/>
          <w:color w:val="auto"/>
          <w:sz w:val="28"/>
          <w:szCs w:val="28"/>
        </w:rPr>
        <w:t>万元，占支出合计的</w:t>
      </w:r>
      <w:r>
        <w:rPr>
          <w:rFonts w:ascii="仿宋_GB2312" w:eastAsia="仿宋_GB2312"/>
          <w:color w:val="auto"/>
          <w:sz w:val="28"/>
          <w:szCs w:val="28"/>
        </w:rPr>
        <w:t>92.01</w:t>
      </w:r>
      <w:r>
        <w:rPr>
          <w:rFonts w:hint="eastAsia" w:ascii="仿宋_GB2312" w:eastAsia="仿宋_GB2312"/>
          <w:color w:val="auto"/>
          <w:sz w:val="28"/>
          <w:szCs w:val="28"/>
        </w:rPr>
        <w:t>%;上缴上级支出</w:t>
      </w:r>
      <w:r>
        <w:rPr>
          <w:rFonts w:ascii="仿宋_GB2312" w:eastAsia="仿宋_GB2312"/>
          <w:color w:val="auto"/>
          <w:sz w:val="28"/>
          <w:szCs w:val="28"/>
        </w:rPr>
        <w:t>0</w:t>
      </w:r>
      <w:r>
        <w:rPr>
          <w:rFonts w:hint="eastAsia" w:ascii="仿宋_GB2312" w:eastAsia="仿宋_GB2312"/>
          <w:color w:val="auto"/>
          <w:sz w:val="28"/>
          <w:szCs w:val="28"/>
        </w:rPr>
        <w:t>万元，占支出合计的</w:t>
      </w:r>
      <w:r>
        <w:rPr>
          <w:rFonts w:ascii="仿宋_GB2312" w:eastAsia="仿宋_GB2312"/>
          <w:color w:val="auto"/>
          <w:sz w:val="28"/>
          <w:szCs w:val="28"/>
        </w:rPr>
        <w:t>0</w:t>
      </w:r>
      <w:r>
        <w:rPr>
          <w:rFonts w:hint="eastAsia" w:ascii="仿宋_GB2312" w:eastAsia="仿宋_GB2312"/>
          <w:color w:val="auto"/>
          <w:sz w:val="28"/>
          <w:szCs w:val="28"/>
        </w:rPr>
        <w:t>%；经营支出</w:t>
      </w:r>
      <w:r>
        <w:rPr>
          <w:rFonts w:ascii="仿宋_GB2312" w:eastAsia="仿宋_GB2312"/>
          <w:color w:val="auto"/>
          <w:sz w:val="28"/>
          <w:szCs w:val="28"/>
        </w:rPr>
        <w:t>0</w:t>
      </w:r>
      <w:r>
        <w:rPr>
          <w:rFonts w:hint="eastAsia" w:ascii="仿宋_GB2312" w:eastAsia="仿宋_GB2312"/>
          <w:color w:val="auto"/>
          <w:sz w:val="28"/>
          <w:szCs w:val="28"/>
        </w:rPr>
        <w:t>万元，占支出合计的</w:t>
      </w:r>
      <w:r>
        <w:rPr>
          <w:rFonts w:ascii="仿宋_GB2312" w:eastAsia="仿宋_GB2312"/>
          <w:color w:val="auto"/>
          <w:sz w:val="28"/>
          <w:szCs w:val="28"/>
        </w:rPr>
        <w:t>0</w:t>
      </w:r>
      <w:r>
        <w:rPr>
          <w:rFonts w:hint="eastAsia" w:ascii="仿宋_GB2312" w:eastAsia="仿宋_GB2312"/>
          <w:color w:val="auto"/>
          <w:sz w:val="28"/>
          <w:szCs w:val="28"/>
        </w:rPr>
        <w:t>%；对附属单位补助支出</w:t>
      </w:r>
      <w:r>
        <w:rPr>
          <w:rFonts w:ascii="仿宋_GB2312" w:eastAsia="仿宋_GB2312"/>
          <w:color w:val="auto"/>
          <w:sz w:val="28"/>
          <w:szCs w:val="28"/>
        </w:rPr>
        <w:t>0</w:t>
      </w:r>
      <w:r>
        <w:rPr>
          <w:rFonts w:hint="eastAsia" w:ascii="仿宋_GB2312" w:eastAsia="仿宋_GB2312"/>
          <w:color w:val="auto"/>
          <w:sz w:val="28"/>
          <w:szCs w:val="28"/>
        </w:rPr>
        <w:t>万元，占支出合计的</w:t>
      </w:r>
      <w:r>
        <w:rPr>
          <w:rFonts w:ascii="仿宋_GB2312" w:eastAsia="仿宋_GB2312"/>
          <w:color w:val="auto"/>
          <w:sz w:val="28"/>
          <w:szCs w:val="28"/>
        </w:rPr>
        <w:t>0</w:t>
      </w:r>
      <w:r>
        <w:rPr>
          <w:rFonts w:hint="eastAsia" w:ascii="仿宋_GB2312" w:eastAsia="仿宋_GB2312"/>
          <w:color w:val="auto"/>
          <w:sz w:val="28"/>
          <w:szCs w:val="28"/>
        </w:rPr>
        <w:t>%。</w:t>
      </w:r>
    </w:p>
    <w:p>
      <w:pPr>
        <w:pStyle w:val="4"/>
        <w:ind w:firstLine="642"/>
        <w:jc w:val="center"/>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图2：基本支出和项目支出情况</w:t>
      </w:r>
    </w:p>
    <w:p>
      <w:pPr>
        <w:jc w:val="center"/>
        <w:rPr>
          <w:rFonts w:hint="eastAsia" w:ascii="黑体" w:eastAsia="黑体"/>
          <w:b/>
          <w:color w:val="auto"/>
          <w:sz w:val="28"/>
          <w:szCs w:val="28"/>
        </w:rPr>
      </w:pPr>
      <w:r>
        <w:rPr>
          <w:color w:val="auto"/>
        </w:rPr>
        <w:drawing>
          <wp:inline distT="0" distB="0" distL="114300" distR="114300">
            <wp:extent cx="6996430" cy="5293360"/>
            <wp:effectExtent l="4445" t="4445" r="9525" b="1714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tabs>
          <w:tab w:val="center" w:pos="6979"/>
        </w:tabs>
        <w:spacing w:line="580" w:lineRule="exact"/>
        <w:ind w:firstLine="548" w:firstLineChars="196"/>
        <w:rPr>
          <w:rFonts w:hint="eastAsia" w:ascii="黑体" w:eastAsia="黑体"/>
          <w:b w:val="0"/>
          <w:bCs/>
          <w:color w:val="auto"/>
          <w:sz w:val="28"/>
          <w:szCs w:val="28"/>
        </w:rPr>
      </w:pPr>
      <w:r>
        <w:rPr>
          <w:rFonts w:hint="eastAsia" w:ascii="黑体" w:eastAsia="黑体"/>
          <w:b w:val="0"/>
          <w:bCs/>
          <w:color w:val="auto"/>
          <w:sz w:val="28"/>
          <w:szCs w:val="28"/>
        </w:rPr>
        <w:t>三</w:t>
      </w:r>
      <w:r>
        <w:rPr>
          <w:rFonts w:ascii="黑体" w:eastAsia="黑体"/>
          <w:b w:val="0"/>
          <w:bCs/>
          <w:color w:val="auto"/>
          <w:sz w:val="28"/>
          <w:szCs w:val="28"/>
        </w:rPr>
        <w:t>、财政拨款</w:t>
      </w:r>
      <w:r>
        <w:rPr>
          <w:rFonts w:hint="eastAsia" w:ascii="黑体" w:eastAsia="黑体"/>
          <w:b w:val="0"/>
          <w:bCs/>
          <w:color w:val="auto"/>
          <w:sz w:val="28"/>
          <w:szCs w:val="28"/>
        </w:rPr>
        <w:t>收入支出决算</w:t>
      </w:r>
      <w:r>
        <w:rPr>
          <w:rFonts w:ascii="黑体" w:eastAsia="黑体"/>
          <w:b w:val="0"/>
          <w:bCs/>
          <w:color w:val="auto"/>
          <w:sz w:val="28"/>
          <w:szCs w:val="28"/>
        </w:rPr>
        <w:t>总体情况说明</w:t>
      </w:r>
    </w:p>
    <w:p>
      <w:pPr>
        <w:tabs>
          <w:tab w:val="center" w:pos="6979"/>
        </w:tabs>
        <w:spacing w:line="580" w:lineRule="exact"/>
        <w:ind w:firstLine="570"/>
        <w:rPr>
          <w:rFonts w:hint="eastAsia" w:ascii="仿宋_GB2312" w:eastAsia="仿宋_GB2312"/>
          <w:color w:val="auto"/>
          <w:sz w:val="28"/>
          <w:szCs w:val="28"/>
          <w:lang w:eastAsia="zh-CN"/>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年度财政拨款收、</w:t>
      </w:r>
      <w:r>
        <w:rPr>
          <w:rFonts w:ascii="仿宋_GB2312" w:eastAsia="仿宋_GB2312"/>
          <w:color w:val="auto"/>
          <w:sz w:val="28"/>
          <w:szCs w:val="28"/>
        </w:rPr>
        <w:t>支</w:t>
      </w:r>
      <w:r>
        <w:rPr>
          <w:rFonts w:hint="eastAsia" w:ascii="仿宋_GB2312" w:eastAsia="仿宋_GB2312"/>
          <w:color w:val="auto"/>
          <w:sz w:val="28"/>
          <w:szCs w:val="28"/>
        </w:rPr>
        <w:t>总计</w:t>
      </w:r>
      <w:r>
        <w:rPr>
          <w:rFonts w:ascii="仿宋_GB2312" w:eastAsia="仿宋_GB2312"/>
          <w:color w:val="auto"/>
          <w:sz w:val="28"/>
          <w:szCs w:val="28"/>
        </w:rPr>
        <w:t>52288.87</w:t>
      </w:r>
      <w:r>
        <w:rPr>
          <w:rFonts w:hint="eastAsia" w:ascii="仿宋_GB2312" w:eastAsia="仿宋_GB2312"/>
          <w:color w:val="auto"/>
          <w:sz w:val="28"/>
          <w:szCs w:val="28"/>
        </w:rPr>
        <w:t>万元，202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年度本年收入合计</w:t>
      </w:r>
      <w:r>
        <w:rPr>
          <w:rFonts w:ascii="仿宋_GB2312" w:eastAsia="仿宋_GB2312"/>
          <w:color w:val="auto"/>
          <w:sz w:val="28"/>
          <w:szCs w:val="28"/>
        </w:rPr>
        <w:t>47808.84</w:t>
      </w:r>
      <w:r>
        <w:rPr>
          <w:rFonts w:hint="eastAsia" w:ascii="仿宋_GB2312" w:eastAsia="仿宋_GB2312"/>
          <w:color w:val="auto"/>
          <w:sz w:val="28"/>
          <w:szCs w:val="28"/>
        </w:rPr>
        <w:t>万元，</w:t>
      </w:r>
      <w:r>
        <w:rPr>
          <w:rFonts w:hint="eastAsia" w:ascii="仿宋_GB2312" w:hAnsi="仿宋" w:eastAsia="仿宋_GB2312"/>
          <w:color w:val="auto"/>
          <w:sz w:val="32"/>
          <w:szCs w:val="32"/>
          <w:lang w:val="en-US" w:eastAsia="zh-CN"/>
        </w:rPr>
        <w:t>比2022年安排资金预算32022.90万元增加15785.94万元，</w:t>
      </w:r>
      <w:r>
        <w:rPr>
          <w:rFonts w:hint="eastAsia" w:ascii="仿宋_GB2312" w:eastAsia="仿宋_GB2312"/>
          <w:color w:val="auto"/>
          <w:sz w:val="28"/>
          <w:szCs w:val="28"/>
        </w:rPr>
        <w:t>增长</w:t>
      </w:r>
      <w:r>
        <w:rPr>
          <w:rFonts w:hint="eastAsia" w:ascii="仿宋_GB2312" w:eastAsia="仿宋_GB2312"/>
          <w:color w:val="auto"/>
          <w:sz w:val="28"/>
          <w:szCs w:val="28"/>
          <w:lang w:val="en-US" w:eastAsia="zh-CN"/>
        </w:rPr>
        <w:t>49.3</w:t>
      </w:r>
      <w:r>
        <w:rPr>
          <w:rFonts w:hint="eastAsia" w:ascii="仿宋_GB2312" w:eastAsia="仿宋_GB2312"/>
          <w:color w:val="auto"/>
          <w:sz w:val="28"/>
          <w:szCs w:val="28"/>
        </w:rPr>
        <w:t>%</w:t>
      </w:r>
      <w:r>
        <w:rPr>
          <w:rFonts w:hint="eastAsia" w:ascii="仿宋_GB2312" w:eastAsia="仿宋_GB2312"/>
          <w:color w:val="auto"/>
          <w:sz w:val="28"/>
          <w:szCs w:val="28"/>
          <w:lang w:eastAsia="zh-CN"/>
        </w:rPr>
        <w:t>，</w:t>
      </w:r>
      <w:r>
        <w:rPr>
          <w:rFonts w:hint="eastAsia" w:ascii="仿宋_GB2312" w:hAnsi="仿宋" w:eastAsia="仿宋_GB2312"/>
          <w:color w:val="auto"/>
          <w:sz w:val="32"/>
          <w:szCs w:val="32"/>
          <w:lang w:val="en-US" w:eastAsia="zh-CN"/>
        </w:rPr>
        <w:t>增加原因为2023年加大民生项目资金投入。</w:t>
      </w:r>
    </w:p>
    <w:p>
      <w:pPr>
        <w:tabs>
          <w:tab w:val="center" w:pos="6979"/>
        </w:tabs>
        <w:spacing w:line="580" w:lineRule="exact"/>
        <w:ind w:firstLine="548" w:firstLineChars="196"/>
        <w:rPr>
          <w:rFonts w:hint="eastAsia" w:ascii="黑体" w:eastAsia="黑体"/>
          <w:b w:val="0"/>
          <w:bCs/>
          <w:color w:val="auto"/>
          <w:sz w:val="28"/>
          <w:szCs w:val="28"/>
        </w:rPr>
      </w:pPr>
      <w:r>
        <w:rPr>
          <w:rFonts w:hint="eastAsia" w:ascii="黑体" w:eastAsia="黑体"/>
          <w:b w:val="0"/>
          <w:bCs/>
          <w:color w:val="auto"/>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年度一般公共预算财政拨款支出</w:t>
      </w:r>
      <w:r>
        <w:rPr>
          <w:rFonts w:ascii="仿宋_GB2312" w:eastAsia="仿宋_GB2312"/>
          <w:color w:val="auto"/>
          <w:sz w:val="28"/>
          <w:szCs w:val="28"/>
        </w:rPr>
        <w:t>50814.97</w:t>
      </w:r>
      <w:r>
        <w:rPr>
          <w:rFonts w:hint="eastAsia" w:ascii="仿宋_GB2312" w:eastAsia="仿宋_GB2312"/>
          <w:color w:val="auto"/>
          <w:sz w:val="28"/>
          <w:szCs w:val="28"/>
        </w:rPr>
        <w:t>万元，主要用于以下方面（按大类）：一般公共服务支出</w:t>
      </w:r>
      <w:r>
        <w:rPr>
          <w:rFonts w:hint="eastAsia" w:ascii="仿宋_GB2312" w:eastAsia="仿宋_GB2312"/>
          <w:color w:val="auto"/>
          <w:sz w:val="28"/>
          <w:szCs w:val="28"/>
          <w:lang w:val="en-US" w:eastAsia="zh-CN"/>
        </w:rPr>
        <w:t>1.9</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%；社会保障和就业支出</w:t>
      </w:r>
      <w:r>
        <w:rPr>
          <w:rFonts w:hint="eastAsia" w:ascii="仿宋_GB2312" w:eastAsia="仿宋_GB2312"/>
          <w:color w:val="auto"/>
          <w:sz w:val="28"/>
          <w:szCs w:val="28"/>
          <w:lang w:val="en-US" w:eastAsia="zh-CN"/>
        </w:rPr>
        <w:t>559.09</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%；卫生健康支出</w:t>
      </w:r>
      <w:r>
        <w:rPr>
          <w:rFonts w:hint="eastAsia" w:ascii="仿宋_GB2312" w:eastAsia="仿宋_GB2312"/>
          <w:color w:val="auto"/>
          <w:sz w:val="28"/>
          <w:szCs w:val="28"/>
          <w:lang w:val="en-US" w:eastAsia="zh-CN"/>
        </w:rPr>
        <w:t>292.74</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0.58</w:t>
      </w:r>
      <w:r>
        <w:rPr>
          <w:rFonts w:hint="eastAsia" w:ascii="仿宋_GB2312" w:eastAsia="仿宋_GB2312"/>
          <w:color w:val="auto"/>
          <w:sz w:val="28"/>
          <w:szCs w:val="28"/>
        </w:rPr>
        <w:t>%；节能环保支出</w:t>
      </w:r>
      <w:r>
        <w:rPr>
          <w:rFonts w:hint="eastAsia" w:ascii="仿宋_GB2312" w:eastAsia="仿宋_GB2312"/>
          <w:color w:val="auto"/>
          <w:sz w:val="28"/>
          <w:szCs w:val="28"/>
          <w:lang w:val="en-US" w:eastAsia="zh-CN"/>
        </w:rPr>
        <w:t>36599.62</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72.03</w:t>
      </w:r>
      <w:r>
        <w:rPr>
          <w:rFonts w:hint="eastAsia" w:ascii="仿宋_GB2312" w:eastAsia="仿宋_GB2312"/>
          <w:color w:val="auto"/>
          <w:sz w:val="28"/>
          <w:szCs w:val="28"/>
        </w:rPr>
        <w:t>%；农林水支出</w:t>
      </w:r>
      <w:r>
        <w:rPr>
          <w:rFonts w:hint="eastAsia" w:ascii="仿宋_GB2312" w:eastAsia="仿宋_GB2312"/>
          <w:color w:val="auto"/>
          <w:sz w:val="28"/>
          <w:szCs w:val="28"/>
          <w:lang w:val="en-US" w:eastAsia="zh-CN"/>
        </w:rPr>
        <w:t>13361.62</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26.29</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1、“一般公共服务支出”（类）202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1.99万元减少0.09</w:t>
      </w:r>
      <w:r>
        <w:rPr>
          <w:rFonts w:hint="eastAsia" w:ascii="仿宋_GB2312" w:eastAsia="仿宋_GB2312"/>
          <w:color w:val="auto"/>
          <w:sz w:val="28"/>
          <w:szCs w:val="28"/>
        </w:rPr>
        <w:t>万元，</w:t>
      </w:r>
      <w:r>
        <w:rPr>
          <w:rFonts w:hint="eastAsia" w:ascii="仿宋_GB2312" w:eastAsia="仿宋_GB2312"/>
          <w:color w:val="auto"/>
          <w:sz w:val="28"/>
          <w:szCs w:val="28"/>
          <w:lang w:val="en-US" w:eastAsia="zh-CN"/>
        </w:rPr>
        <w:t>减少4.5</w:t>
      </w:r>
      <w:r>
        <w:rPr>
          <w:rFonts w:hint="eastAsia" w:ascii="仿宋_GB2312" w:eastAsia="仿宋_GB2312"/>
          <w:color w:val="auto"/>
          <w:sz w:val="28"/>
          <w:szCs w:val="28"/>
        </w:rPr>
        <w:t>%。其中：</w:t>
      </w:r>
    </w:p>
    <w:p>
      <w:pPr>
        <w:spacing w:line="5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“党委办公厅（室）及相关机构事务”202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减少0.09</w:t>
      </w:r>
      <w:r>
        <w:rPr>
          <w:rFonts w:hint="eastAsia" w:ascii="仿宋_GB2312" w:eastAsia="仿宋_GB2312"/>
          <w:color w:val="auto"/>
          <w:sz w:val="28"/>
          <w:szCs w:val="28"/>
        </w:rPr>
        <w:t>万元，</w:t>
      </w:r>
      <w:r>
        <w:rPr>
          <w:rFonts w:hint="eastAsia" w:ascii="仿宋_GB2312" w:eastAsia="仿宋_GB2312"/>
          <w:color w:val="auto"/>
          <w:sz w:val="28"/>
          <w:szCs w:val="28"/>
          <w:lang w:val="en-US" w:eastAsia="zh-CN"/>
        </w:rPr>
        <w:t>减少4.5</w:t>
      </w:r>
      <w:r>
        <w:rPr>
          <w:rFonts w:hint="eastAsia" w:ascii="仿宋_GB2312" w:eastAsia="仿宋_GB2312"/>
          <w:color w:val="auto"/>
          <w:sz w:val="28"/>
          <w:szCs w:val="28"/>
        </w:rPr>
        <w:t>%。主要原因：专项业务</w:t>
      </w:r>
      <w:r>
        <w:rPr>
          <w:rFonts w:hint="eastAsia" w:ascii="仿宋_GB2312" w:eastAsia="仿宋_GB2312"/>
          <w:color w:val="auto"/>
          <w:sz w:val="28"/>
          <w:szCs w:val="28"/>
          <w:lang w:val="en-US" w:eastAsia="zh-CN"/>
        </w:rPr>
        <w:t>支出1.9万元。</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2、“社会保障和就业支出”(类)202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559.09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年度年初预算489</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5</w:t>
      </w:r>
      <w:r>
        <w:rPr>
          <w:rFonts w:hint="eastAsia" w:ascii="仿宋_GB2312" w:eastAsia="仿宋_GB2312"/>
          <w:color w:val="auto"/>
          <w:sz w:val="28"/>
          <w:szCs w:val="28"/>
          <w:lang w:val="en-US" w:eastAsia="zh-CN"/>
        </w:rPr>
        <w:t>3万元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69.56</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14.21</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“行政事业单位养老支出”（款）202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559.09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年度年初预算489</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5</w:t>
      </w:r>
      <w:r>
        <w:rPr>
          <w:rFonts w:hint="eastAsia" w:ascii="仿宋_GB2312" w:eastAsia="仿宋_GB2312"/>
          <w:color w:val="auto"/>
          <w:sz w:val="28"/>
          <w:szCs w:val="28"/>
          <w:lang w:val="en-US" w:eastAsia="zh-CN"/>
        </w:rPr>
        <w:t>3万元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69.56</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14.21</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保险基数增加。</w:t>
      </w:r>
    </w:p>
    <w:p>
      <w:pPr>
        <w:spacing w:line="580" w:lineRule="exact"/>
        <w:ind w:firstLine="560" w:firstLineChars="200"/>
        <w:rPr>
          <w:rFonts w:hint="eastAsia" w:ascii="仿宋_GB2312" w:eastAsia="仿宋_GB2312"/>
          <w:color w:val="auto"/>
          <w:sz w:val="28"/>
          <w:szCs w:val="28"/>
        </w:rPr>
      </w:pPr>
      <w:r>
        <w:rPr>
          <w:rFonts w:hint="eastAsia"/>
          <w:color w:val="auto"/>
          <w:sz w:val="28"/>
          <w:szCs w:val="28"/>
          <w:lang w:val="en-US" w:eastAsia="zh-CN"/>
        </w:rPr>
        <w:t>3、</w:t>
      </w:r>
      <w:r>
        <w:rPr>
          <w:rFonts w:hint="eastAsia" w:ascii="仿宋_GB2312" w:eastAsia="仿宋_GB2312"/>
          <w:color w:val="auto"/>
          <w:sz w:val="28"/>
          <w:szCs w:val="28"/>
        </w:rPr>
        <w:t>“卫生健康支出”(类)202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292.74</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年度年初预算270</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2</w:t>
      </w:r>
      <w:r>
        <w:rPr>
          <w:rFonts w:hint="eastAsia" w:ascii="仿宋_GB2312" w:eastAsia="仿宋_GB2312"/>
          <w:color w:val="auto"/>
          <w:sz w:val="28"/>
          <w:szCs w:val="28"/>
          <w:lang w:val="en-US" w:eastAsia="zh-CN"/>
        </w:rPr>
        <w:t>5万元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22.49</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8.3</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“行政事业单位医疗”（款）202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292.74</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年度年初预算270</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2</w:t>
      </w:r>
      <w:r>
        <w:rPr>
          <w:rFonts w:hint="eastAsia" w:ascii="仿宋_GB2312" w:eastAsia="仿宋_GB2312"/>
          <w:color w:val="auto"/>
          <w:sz w:val="28"/>
          <w:szCs w:val="28"/>
          <w:lang w:val="en-US" w:eastAsia="zh-CN"/>
        </w:rPr>
        <w:t>5万元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22.49</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8.3</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保险基数增加。</w:t>
      </w:r>
    </w:p>
    <w:p>
      <w:pPr>
        <w:spacing w:line="580" w:lineRule="exact"/>
        <w:ind w:firstLine="420" w:firstLineChars="200"/>
        <w:rPr>
          <w:rFonts w:hint="eastAsia" w:ascii="仿宋_GB2312" w:eastAsia="仿宋_GB2312"/>
          <w:color w:val="auto"/>
          <w:sz w:val="28"/>
          <w:szCs w:val="28"/>
        </w:rPr>
      </w:pPr>
      <w:r>
        <w:rPr>
          <w:rFonts w:hint="eastAsia"/>
          <w:color w:val="auto"/>
          <w:lang w:val="en-US" w:eastAsia="zh-CN"/>
        </w:rPr>
        <w:t>4、</w:t>
      </w:r>
      <w:r>
        <w:rPr>
          <w:rFonts w:hint="eastAsia" w:ascii="仿宋_GB2312" w:eastAsia="仿宋_GB2312"/>
          <w:color w:val="auto"/>
          <w:sz w:val="28"/>
          <w:szCs w:val="28"/>
        </w:rPr>
        <w:t>“节能环保支出”(类)202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36599.62</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年度年初预算18164</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6</w:t>
      </w:r>
      <w:r>
        <w:rPr>
          <w:rFonts w:hint="eastAsia" w:ascii="仿宋_GB2312" w:eastAsia="仿宋_GB2312"/>
          <w:color w:val="auto"/>
          <w:sz w:val="28"/>
          <w:szCs w:val="28"/>
          <w:lang w:val="en-US" w:eastAsia="zh-CN"/>
        </w:rPr>
        <w:t>1万元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18435.01</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101.49</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“大气”（款）202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33909.60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年度年初预算18164</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6</w:t>
      </w:r>
      <w:r>
        <w:rPr>
          <w:rFonts w:hint="eastAsia" w:ascii="仿宋_GB2312" w:eastAsia="仿宋_GB2312"/>
          <w:color w:val="auto"/>
          <w:sz w:val="28"/>
          <w:szCs w:val="28"/>
          <w:lang w:val="en-US" w:eastAsia="zh-CN"/>
        </w:rPr>
        <w:t>1万元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15744.99</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86.68</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煤改电及能源投入增加。</w:t>
      </w:r>
    </w:p>
    <w:p>
      <w:pPr>
        <w:spacing w:line="580" w:lineRule="exact"/>
        <w:ind w:firstLine="420" w:firstLineChars="200"/>
        <w:rPr>
          <w:rFonts w:hint="eastAsia" w:ascii="仿宋_GB2312" w:eastAsia="仿宋_GB2312"/>
          <w:color w:val="auto"/>
          <w:sz w:val="28"/>
          <w:szCs w:val="28"/>
          <w:lang w:val="en-US" w:eastAsia="zh-CN"/>
        </w:rPr>
      </w:pPr>
      <w:r>
        <w:rPr>
          <w:rFonts w:hint="eastAsia"/>
          <w:color w:val="auto"/>
          <w:lang w:val="en-US" w:eastAsia="zh-CN"/>
        </w:rPr>
        <w:t xml:space="preserve">  </w:t>
      </w:r>
      <w:r>
        <w:rPr>
          <w:rFonts w:hint="eastAsia" w:ascii="仿宋_GB2312" w:eastAsia="仿宋_GB2312"/>
          <w:color w:val="auto"/>
          <w:sz w:val="28"/>
          <w:szCs w:val="28"/>
        </w:rPr>
        <w:t>“其他污染防治支出”（款）202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2690.03</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0万元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2690.03</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煤改电及能源投入增加。</w:t>
      </w:r>
    </w:p>
    <w:p>
      <w:pPr>
        <w:spacing w:line="580" w:lineRule="exact"/>
        <w:ind w:firstLine="420" w:firstLineChars="200"/>
        <w:rPr>
          <w:rFonts w:hint="eastAsia" w:ascii="仿宋_GB2312" w:eastAsia="仿宋_GB2312"/>
          <w:color w:val="auto"/>
          <w:sz w:val="28"/>
          <w:szCs w:val="28"/>
        </w:rPr>
      </w:pPr>
      <w:r>
        <w:rPr>
          <w:rFonts w:hint="eastAsia"/>
          <w:color w:val="auto"/>
          <w:lang w:val="en-US" w:eastAsia="zh-CN"/>
        </w:rPr>
        <w:t>5、</w:t>
      </w:r>
      <w:r>
        <w:rPr>
          <w:rFonts w:hint="eastAsia" w:ascii="仿宋_GB2312" w:eastAsia="仿宋_GB2312"/>
          <w:color w:val="auto"/>
          <w:sz w:val="28"/>
          <w:szCs w:val="28"/>
        </w:rPr>
        <w:t>“农林水支出”(类)202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13361.62</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年度年初预算48643</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59</w:t>
      </w:r>
      <w:r>
        <w:rPr>
          <w:rFonts w:hint="eastAsia" w:ascii="仿宋_GB2312" w:eastAsia="仿宋_GB2312"/>
          <w:color w:val="auto"/>
          <w:sz w:val="28"/>
          <w:szCs w:val="28"/>
          <w:lang w:val="en-US" w:eastAsia="zh-CN"/>
        </w:rPr>
        <w:t>万元减少35281.97</w:t>
      </w:r>
      <w:r>
        <w:rPr>
          <w:rFonts w:hint="eastAsia" w:ascii="仿宋_GB2312" w:eastAsia="仿宋_GB2312"/>
          <w:color w:val="auto"/>
          <w:sz w:val="28"/>
          <w:szCs w:val="28"/>
        </w:rPr>
        <w:t>万元，</w:t>
      </w:r>
      <w:r>
        <w:rPr>
          <w:rFonts w:hint="eastAsia" w:ascii="仿宋_GB2312" w:eastAsia="仿宋_GB2312"/>
          <w:color w:val="auto"/>
          <w:sz w:val="28"/>
          <w:szCs w:val="28"/>
          <w:lang w:val="en-US" w:eastAsia="zh-CN"/>
        </w:rPr>
        <w:t>减少72.53</w:t>
      </w:r>
      <w:r>
        <w:rPr>
          <w:rFonts w:hint="eastAsia" w:ascii="仿宋_GB2312" w:eastAsia="仿宋_GB2312"/>
          <w:color w:val="auto"/>
          <w:sz w:val="28"/>
          <w:szCs w:val="28"/>
        </w:rPr>
        <w:t>%。其中：</w:t>
      </w:r>
    </w:p>
    <w:p>
      <w:pPr>
        <w:spacing w:line="5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“农业农村”（款）202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13255.26</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年度年初预算48643</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59</w:t>
      </w:r>
      <w:r>
        <w:rPr>
          <w:rFonts w:hint="eastAsia" w:ascii="仿宋_GB2312" w:eastAsia="仿宋_GB2312"/>
          <w:color w:val="auto"/>
          <w:sz w:val="28"/>
          <w:szCs w:val="28"/>
          <w:lang w:val="en-US" w:eastAsia="zh-CN"/>
        </w:rPr>
        <w:t>万元减少35388.33</w:t>
      </w:r>
      <w:r>
        <w:rPr>
          <w:rFonts w:hint="eastAsia" w:ascii="仿宋_GB2312" w:eastAsia="仿宋_GB2312"/>
          <w:color w:val="auto"/>
          <w:sz w:val="28"/>
          <w:szCs w:val="28"/>
        </w:rPr>
        <w:t>万元，</w:t>
      </w:r>
      <w:r>
        <w:rPr>
          <w:rFonts w:hint="eastAsia" w:ascii="仿宋_GB2312" w:eastAsia="仿宋_GB2312"/>
          <w:color w:val="auto"/>
          <w:sz w:val="28"/>
          <w:szCs w:val="28"/>
          <w:lang w:val="en-US" w:eastAsia="zh-CN"/>
        </w:rPr>
        <w:t>减少72.75</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财政部分项目投入减少。</w:t>
      </w:r>
    </w:p>
    <w:p>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rPr>
        <w:t>“其他农林水支出”（款）202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hint="eastAsia" w:ascii="仿宋_GB2312" w:eastAsia="仿宋_GB2312"/>
          <w:color w:val="auto"/>
          <w:sz w:val="28"/>
          <w:szCs w:val="28"/>
          <w:lang w:val="en-US" w:eastAsia="zh-CN"/>
        </w:rPr>
        <w:t>106.36</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w:t>
      </w:r>
      <w:r>
        <w:rPr>
          <w:rFonts w:hint="eastAsia" w:ascii="仿宋_GB2312" w:eastAsia="仿宋_GB2312"/>
          <w:color w:val="auto"/>
          <w:sz w:val="28"/>
          <w:szCs w:val="28"/>
          <w:lang w:val="en-US" w:eastAsia="zh-CN"/>
        </w:rPr>
        <w:t>0万元</w:t>
      </w:r>
      <w:r>
        <w:rPr>
          <w:rFonts w:hint="eastAsia" w:ascii="仿宋_GB2312" w:eastAsia="仿宋_GB2312"/>
          <w:color w:val="auto"/>
          <w:sz w:val="28"/>
          <w:szCs w:val="28"/>
        </w:rPr>
        <w:t>增加</w:t>
      </w:r>
      <w:r>
        <w:rPr>
          <w:rFonts w:hint="eastAsia" w:ascii="仿宋_GB2312" w:eastAsia="仿宋_GB2312"/>
          <w:color w:val="auto"/>
          <w:sz w:val="28"/>
          <w:szCs w:val="28"/>
          <w:lang w:val="en-US" w:eastAsia="zh-CN"/>
        </w:rPr>
        <w:t>106.36</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w:t>
      </w:r>
      <w:r>
        <w:rPr>
          <w:rFonts w:hint="eastAsia" w:ascii="仿宋_GB2312" w:eastAsia="仿宋_GB2312"/>
          <w:color w:val="auto"/>
          <w:sz w:val="28"/>
          <w:szCs w:val="28"/>
          <w:lang w:val="en-US" w:eastAsia="zh-CN"/>
        </w:rPr>
        <w:t>项目增加。</w:t>
      </w:r>
    </w:p>
    <w:p>
      <w:pPr>
        <w:spacing w:line="580" w:lineRule="exact"/>
        <w:ind w:firstLine="560" w:firstLineChars="200"/>
        <w:rPr>
          <w:rFonts w:hint="eastAsia" w:ascii="仿宋_GB2312" w:eastAsia="仿宋_GB2312"/>
          <w:b w:val="0"/>
          <w:bCs/>
          <w:color w:val="auto"/>
          <w:sz w:val="28"/>
          <w:szCs w:val="28"/>
        </w:rPr>
      </w:pPr>
      <w:r>
        <w:rPr>
          <w:rFonts w:hint="eastAsia" w:ascii="黑体" w:eastAsia="黑体"/>
          <w:b w:val="0"/>
          <w:bCs/>
          <w:color w:val="auto"/>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年度政府性基金预算财政拨款支出</w:t>
      </w:r>
      <w:r>
        <w:rPr>
          <w:rFonts w:ascii="仿宋_GB2312" w:eastAsia="仿宋_GB2312"/>
          <w:color w:val="auto"/>
          <w:sz w:val="28"/>
          <w:szCs w:val="28"/>
        </w:rPr>
        <w:t>1473.9</w:t>
      </w:r>
      <w:r>
        <w:rPr>
          <w:rFonts w:hint="eastAsia" w:ascii="仿宋_GB2312" w:eastAsia="仿宋_GB2312"/>
          <w:color w:val="auto"/>
          <w:sz w:val="28"/>
          <w:szCs w:val="28"/>
        </w:rPr>
        <w:t>万元，主要用于以下方面（按大类）：城乡社区支出</w:t>
      </w:r>
      <w:r>
        <w:rPr>
          <w:rFonts w:ascii="仿宋_GB2312" w:eastAsia="仿宋_GB2312"/>
          <w:color w:val="auto"/>
          <w:sz w:val="28"/>
          <w:szCs w:val="28"/>
        </w:rPr>
        <w:t>1473.9</w:t>
      </w:r>
      <w:r>
        <w:rPr>
          <w:rFonts w:hint="eastAsia" w:ascii="仿宋_GB2312" w:eastAsia="仿宋_GB2312"/>
          <w:color w:val="auto"/>
          <w:sz w:val="28"/>
          <w:szCs w:val="28"/>
        </w:rPr>
        <w:t>万元，占本年财政拨款支出</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w:t>
      </w:r>
      <w:r>
        <w:rPr>
          <w:rFonts w:ascii="仿宋_GB2312" w:eastAsia="仿宋_GB2312"/>
          <w:color w:val="auto"/>
          <w:sz w:val="28"/>
          <w:szCs w:val="28"/>
        </w:rPr>
        <w:t>……</w:t>
      </w:r>
      <w:r>
        <w:rPr>
          <w:rFonts w:hint="eastAsia" w:ascii="仿宋_GB2312" w:eastAsia="仿宋_GB2312"/>
          <w:color w:val="auto"/>
          <w:sz w:val="28"/>
          <w:szCs w:val="28"/>
        </w:rPr>
        <w:t>.。</w:t>
      </w:r>
    </w:p>
    <w:p>
      <w:pPr>
        <w:autoSpaceDE w:val="0"/>
        <w:autoSpaceDN w:val="0"/>
        <w:adjustRightInd w:val="0"/>
        <w:spacing w:line="580" w:lineRule="exact"/>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color w:val="auto"/>
          <w:sz w:val="28"/>
          <w:szCs w:val="28"/>
        </w:rPr>
      </w:pPr>
      <w:r>
        <w:rPr>
          <w:rFonts w:hint="eastAsia" w:ascii="仿宋_GB2312" w:eastAsia="仿宋_GB2312"/>
          <w:color w:val="auto"/>
          <w:sz w:val="28"/>
          <w:szCs w:val="28"/>
        </w:rPr>
        <w:t>1、“城乡社区支出”（类，下同）202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ascii="仿宋_GB2312" w:eastAsia="仿宋_GB2312"/>
          <w:color w:val="auto"/>
          <w:sz w:val="28"/>
          <w:szCs w:val="28"/>
        </w:rPr>
        <w:t>1473.9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年度年初预算增加</w:t>
      </w:r>
      <w:r>
        <w:rPr>
          <w:rFonts w:ascii="仿宋_GB2312" w:eastAsia="仿宋_GB2312"/>
          <w:color w:val="auto"/>
          <w:sz w:val="28"/>
          <w:szCs w:val="28"/>
        </w:rPr>
        <w:t>1473.9</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%。其中：</w:t>
      </w:r>
    </w:p>
    <w:p>
      <w:pPr>
        <w:autoSpaceDE w:val="0"/>
        <w:autoSpaceDN w:val="0"/>
        <w:adjustRightInd w:val="0"/>
        <w:spacing w:line="580" w:lineRule="exact"/>
        <w:ind w:firstLine="700" w:firstLineChars="250"/>
        <w:jc w:val="left"/>
        <w:rPr>
          <w:rFonts w:hint="eastAsia" w:ascii="仿宋_GB2312" w:eastAsia="仿宋_GB2312"/>
          <w:color w:val="auto"/>
          <w:sz w:val="28"/>
          <w:szCs w:val="28"/>
        </w:rPr>
      </w:pPr>
      <w:r>
        <w:rPr>
          <w:rFonts w:hint="eastAsia" w:ascii="仿宋_GB2312" w:eastAsia="仿宋_GB2312"/>
          <w:color w:val="auto"/>
          <w:sz w:val="28"/>
          <w:szCs w:val="28"/>
        </w:rPr>
        <w:t>“国有土地使用权出让收入安排的支出”（款，下同）202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w:t>
      </w:r>
      <w:r>
        <w:rPr>
          <w:rFonts w:ascii="仿宋_GB2312" w:eastAsia="仿宋_GB2312"/>
          <w:color w:val="auto"/>
          <w:sz w:val="28"/>
          <w:szCs w:val="28"/>
        </w:rPr>
        <w:t>1473.9</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年度年初预算增加</w:t>
      </w:r>
      <w:r>
        <w:rPr>
          <w:rFonts w:ascii="仿宋_GB2312" w:eastAsia="仿宋_GB2312"/>
          <w:color w:val="auto"/>
          <w:sz w:val="28"/>
          <w:szCs w:val="28"/>
        </w:rPr>
        <w:t>1473.9</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100</w:t>
      </w:r>
      <w:r>
        <w:rPr>
          <w:rFonts w:hint="eastAsia" w:ascii="仿宋_GB2312" w:eastAsia="仿宋_GB2312"/>
          <w:color w:val="auto"/>
          <w:sz w:val="28"/>
          <w:szCs w:val="28"/>
        </w:rPr>
        <w:t>%。主要原因：农业生产发展支出增加</w:t>
      </w:r>
      <w:r>
        <w:rPr>
          <w:rFonts w:ascii="仿宋_GB2312" w:eastAsia="仿宋_GB2312"/>
          <w:color w:val="auto"/>
          <w:sz w:val="28"/>
          <w:szCs w:val="28"/>
        </w:rPr>
        <w:t>1473.9</w:t>
      </w:r>
      <w:r>
        <w:rPr>
          <w:rFonts w:hint="eastAsia" w:ascii="仿宋_GB2312" w:eastAsia="仿宋_GB2312"/>
          <w:color w:val="auto"/>
          <w:sz w:val="28"/>
          <w:szCs w:val="28"/>
        </w:rPr>
        <w:t>万元。</w:t>
      </w:r>
    </w:p>
    <w:p>
      <w:pPr>
        <w:spacing w:line="580" w:lineRule="exact"/>
        <w:ind w:firstLine="560" w:firstLineChars="200"/>
        <w:rPr>
          <w:rFonts w:hint="eastAsia" w:ascii="黑体" w:eastAsia="黑体"/>
          <w:b w:val="0"/>
          <w:bCs/>
          <w:color w:val="auto"/>
          <w:sz w:val="28"/>
          <w:szCs w:val="28"/>
        </w:rPr>
      </w:pPr>
      <w:r>
        <w:rPr>
          <w:rFonts w:hint="eastAsia" w:ascii="黑体" w:eastAsia="黑体"/>
          <w:b w:val="0"/>
          <w:bCs/>
          <w:color w:val="auto"/>
          <w:sz w:val="28"/>
          <w:szCs w:val="28"/>
        </w:rPr>
        <w:t>六、国有资本经营预算财</w:t>
      </w:r>
      <w:r>
        <w:rPr>
          <w:rFonts w:ascii="黑体" w:eastAsia="黑体"/>
          <w:b w:val="0"/>
          <w:bCs/>
          <w:color w:val="auto"/>
          <w:sz w:val="28"/>
          <w:szCs w:val="28"/>
        </w:rPr>
        <w:t>政拨款</w:t>
      </w:r>
      <w:r>
        <w:rPr>
          <w:rFonts w:hint="eastAsia" w:ascii="黑体" w:eastAsia="黑体"/>
          <w:b w:val="0"/>
          <w:bCs/>
          <w:color w:val="auto"/>
          <w:sz w:val="28"/>
          <w:szCs w:val="28"/>
        </w:rPr>
        <w:t>收支情况</w:t>
      </w:r>
    </w:p>
    <w:p>
      <w:pPr>
        <w:ind w:firstLine="537" w:firstLineChars="192"/>
        <w:rPr>
          <w:rFonts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年度国有资本经营预算财政</w:t>
      </w:r>
      <w:r>
        <w:rPr>
          <w:rFonts w:ascii="仿宋_GB2312" w:eastAsia="仿宋_GB2312"/>
          <w:color w:val="auto"/>
          <w:sz w:val="28"/>
          <w:szCs w:val="28"/>
        </w:rPr>
        <w:t>拨款</w:t>
      </w:r>
      <w:r>
        <w:rPr>
          <w:rFonts w:hint="eastAsia" w:ascii="仿宋_GB2312" w:eastAsia="仿宋_GB2312"/>
          <w:color w:val="auto"/>
          <w:sz w:val="28"/>
          <w:szCs w:val="28"/>
        </w:rPr>
        <w:t>收入总</w:t>
      </w:r>
      <w:r>
        <w:rPr>
          <w:rFonts w:ascii="仿宋_GB2312" w:eastAsia="仿宋_GB2312"/>
          <w:color w:val="auto"/>
          <w:sz w:val="28"/>
          <w:szCs w:val="28"/>
        </w:rPr>
        <w:t>计0</w:t>
      </w:r>
      <w:r>
        <w:rPr>
          <w:rFonts w:hint="eastAsia" w:ascii="仿宋_GB2312" w:eastAsia="仿宋_GB2312"/>
          <w:color w:val="auto"/>
          <w:sz w:val="28"/>
          <w:szCs w:val="28"/>
        </w:rPr>
        <w:t>万元，国有资本经营预算财政</w:t>
      </w:r>
      <w:r>
        <w:rPr>
          <w:rFonts w:ascii="仿宋_GB2312" w:eastAsia="仿宋_GB2312"/>
          <w:color w:val="auto"/>
          <w:sz w:val="28"/>
          <w:szCs w:val="28"/>
        </w:rPr>
        <w:t>拨款</w:t>
      </w:r>
      <w:r>
        <w:rPr>
          <w:rFonts w:hint="eastAsia" w:ascii="仿宋_GB2312" w:eastAsia="仿宋_GB2312"/>
          <w:color w:val="auto"/>
          <w:sz w:val="28"/>
          <w:szCs w:val="28"/>
        </w:rPr>
        <w:t>支出总</w:t>
      </w:r>
      <w:r>
        <w:rPr>
          <w:rFonts w:ascii="仿宋_GB2312" w:eastAsia="仿宋_GB2312"/>
          <w:color w:val="auto"/>
          <w:sz w:val="28"/>
          <w:szCs w:val="28"/>
        </w:rPr>
        <w:t>计0</w:t>
      </w:r>
      <w:r>
        <w:rPr>
          <w:rFonts w:hint="eastAsia" w:ascii="仿宋_GB2312" w:eastAsia="仿宋_GB2312"/>
          <w:color w:val="auto"/>
          <w:sz w:val="28"/>
          <w:szCs w:val="28"/>
        </w:rPr>
        <w:t>万元。</w:t>
      </w:r>
    </w:p>
    <w:p>
      <w:pPr>
        <w:spacing w:line="580" w:lineRule="exact"/>
        <w:ind w:firstLine="548" w:firstLineChars="196"/>
        <w:rPr>
          <w:rFonts w:hint="eastAsia" w:ascii="黑体" w:eastAsia="黑体"/>
          <w:b w:val="0"/>
          <w:bCs/>
          <w:color w:val="auto"/>
          <w:sz w:val="28"/>
          <w:szCs w:val="28"/>
        </w:rPr>
      </w:pPr>
      <w:r>
        <w:rPr>
          <w:rFonts w:hint="eastAsia" w:ascii="黑体" w:eastAsia="黑体"/>
          <w:b w:val="0"/>
          <w:bCs/>
          <w:color w:val="auto"/>
          <w:sz w:val="28"/>
          <w:szCs w:val="28"/>
        </w:rPr>
        <w:t>七、财政拨款基本支出决算情况说明</w:t>
      </w:r>
    </w:p>
    <w:p>
      <w:pPr>
        <w:tabs>
          <w:tab w:val="center" w:pos="6979"/>
        </w:tabs>
        <w:spacing w:line="580" w:lineRule="exact"/>
        <w:ind w:firstLine="548" w:firstLineChars="196"/>
        <w:rPr>
          <w:rFonts w:hint="eastAsia" w:ascii="黑体" w:eastAsia="黑体"/>
          <w:b/>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年度使用一般公共预算财政拨款安排基本支出</w:t>
      </w:r>
      <w:r>
        <w:rPr>
          <w:rFonts w:ascii="仿宋_GB2312" w:eastAsia="仿宋_GB2312"/>
          <w:color w:val="auto"/>
          <w:sz w:val="28"/>
          <w:szCs w:val="28"/>
        </w:rPr>
        <w:t>4179.93</w:t>
      </w:r>
      <w:r>
        <w:rPr>
          <w:rFonts w:hint="eastAsia" w:ascii="仿宋_GB2312" w:eastAsia="仿宋_GB2312"/>
          <w:color w:val="auto"/>
          <w:sz w:val="28"/>
          <w:szCs w:val="28"/>
        </w:rPr>
        <w:t>万元，使用政府性基金财政拨款安排基本支出</w:t>
      </w:r>
      <w:r>
        <w:rPr>
          <w:rFonts w:ascii="仿宋_GB2312" w:eastAsia="仿宋_GB2312"/>
          <w:color w:val="auto"/>
          <w:sz w:val="28"/>
          <w:szCs w:val="28"/>
        </w:rPr>
        <w:t>0</w:t>
      </w:r>
      <w:r>
        <w:rPr>
          <w:rFonts w:hint="eastAsia" w:ascii="仿宋_GB2312" w:eastAsia="仿宋_GB2312"/>
          <w:color w:val="auto"/>
          <w:sz w:val="28"/>
          <w:szCs w:val="28"/>
        </w:rPr>
        <w:t>万元，其中：（1）工资福利支出包括基本工资</w:t>
      </w:r>
      <w:r>
        <w:rPr>
          <w:rFonts w:ascii="仿宋_GB2312" w:eastAsia="仿宋_GB2312"/>
          <w:color w:val="auto"/>
          <w:sz w:val="28"/>
          <w:szCs w:val="28"/>
        </w:rPr>
        <w:t>、津贴补贴、奖金、伙食补助费、绩效工资、</w:t>
      </w:r>
      <w:r>
        <w:rPr>
          <w:rFonts w:hint="eastAsia" w:ascii="仿宋_GB2312" w:eastAsia="仿宋_GB2312"/>
          <w:color w:val="auto"/>
          <w:sz w:val="28"/>
          <w:szCs w:val="28"/>
        </w:rPr>
        <w:t>其他</w:t>
      </w:r>
      <w:r>
        <w:rPr>
          <w:rFonts w:ascii="仿宋_GB2312" w:eastAsia="仿宋_GB2312"/>
          <w:color w:val="auto"/>
          <w:sz w:val="28"/>
          <w:szCs w:val="28"/>
        </w:rPr>
        <w:t>社会保障缴费、其他工资福利</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rPr>
        <w:t>；（2）商品和服务支出包括</w:t>
      </w:r>
      <w:r>
        <w:rPr>
          <w:rFonts w:ascii="仿宋_GB2312" w:eastAsia="仿宋_GB2312"/>
          <w:color w:val="auto"/>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rPr>
        <w:t>；（3）对个人和家庭补助支出包括</w:t>
      </w:r>
      <w:r>
        <w:rPr>
          <w:rFonts w:ascii="仿宋_GB2312" w:eastAsia="仿宋_GB2312"/>
          <w:color w:val="auto"/>
          <w:sz w:val="28"/>
          <w:szCs w:val="28"/>
        </w:rPr>
        <w:t>离休费、退休费、抚恤金、生活补助、</w:t>
      </w:r>
      <w:r>
        <w:rPr>
          <w:rFonts w:hint="eastAsia" w:ascii="仿宋_GB2312" w:eastAsia="仿宋_GB2312"/>
          <w:color w:val="auto"/>
          <w:sz w:val="28"/>
          <w:szCs w:val="28"/>
        </w:rPr>
        <w:t>救济费</w:t>
      </w:r>
      <w:r>
        <w:rPr>
          <w:rFonts w:ascii="仿宋_GB2312" w:eastAsia="仿宋_GB2312"/>
          <w:color w:val="auto"/>
          <w:sz w:val="28"/>
          <w:szCs w:val="28"/>
        </w:rPr>
        <w:t>、医疗费</w:t>
      </w:r>
      <w:r>
        <w:rPr>
          <w:rFonts w:hint="eastAsia" w:ascii="仿宋_GB2312" w:eastAsia="仿宋_GB2312"/>
          <w:color w:val="auto"/>
          <w:sz w:val="28"/>
          <w:szCs w:val="28"/>
        </w:rPr>
        <w:t>补助</w:t>
      </w:r>
      <w:r>
        <w:rPr>
          <w:rFonts w:ascii="仿宋_GB2312" w:eastAsia="仿宋_GB2312"/>
          <w:color w:val="auto"/>
          <w:sz w:val="28"/>
          <w:szCs w:val="28"/>
        </w:rPr>
        <w:t>、助学金、奖励金</w:t>
      </w:r>
      <w:r>
        <w:rPr>
          <w:rFonts w:hint="eastAsia" w:ascii="仿宋_GB2312" w:eastAsia="仿宋_GB2312"/>
          <w:color w:val="auto"/>
          <w:sz w:val="28"/>
          <w:szCs w:val="28"/>
        </w:rPr>
        <w:t>、</w:t>
      </w:r>
      <w:r>
        <w:rPr>
          <w:rFonts w:ascii="仿宋_GB2312" w:eastAsia="仿宋_GB2312"/>
          <w:color w:val="auto"/>
          <w:sz w:val="28"/>
          <w:szCs w:val="28"/>
        </w:rPr>
        <w:t>其他对个人和家庭的补助</w:t>
      </w:r>
      <w:r>
        <w:rPr>
          <w:rFonts w:hint="eastAsia" w:ascii="仿宋_GB2312" w:eastAsia="仿宋_GB2312"/>
          <w:color w:val="auto"/>
          <w:sz w:val="28"/>
          <w:szCs w:val="28"/>
        </w:rPr>
        <w:t>等</w:t>
      </w:r>
      <w:r>
        <w:rPr>
          <w:rFonts w:ascii="仿宋_GB2312" w:eastAsia="仿宋_GB2312"/>
          <w:color w:val="auto"/>
          <w:sz w:val="28"/>
          <w:szCs w:val="28"/>
        </w:rPr>
        <w:t>支出</w:t>
      </w:r>
      <w:r>
        <w:rPr>
          <w:rFonts w:hint="eastAsia" w:ascii="仿宋_GB2312" w:eastAsia="仿宋_GB2312"/>
          <w:color w:val="auto"/>
          <w:sz w:val="28"/>
          <w:szCs w:val="28"/>
        </w:rPr>
        <w:t>。（4）其他资本性支出包括</w:t>
      </w:r>
      <w:r>
        <w:rPr>
          <w:rFonts w:ascii="仿宋_GB2312" w:eastAsia="仿宋_GB2312"/>
          <w:color w:val="auto"/>
          <w:sz w:val="28"/>
          <w:szCs w:val="28"/>
        </w:rPr>
        <w:t>办公设备购置、专用设备购置</w:t>
      </w:r>
      <w:r>
        <w:rPr>
          <w:rFonts w:hint="eastAsia" w:ascii="仿宋_GB2312" w:eastAsia="仿宋_GB2312"/>
          <w:color w:val="auto"/>
          <w:sz w:val="28"/>
          <w:szCs w:val="28"/>
        </w:rPr>
        <w:t>等</w:t>
      </w:r>
      <w:r>
        <w:rPr>
          <w:rFonts w:ascii="仿宋_GB2312" w:eastAsia="仿宋_GB2312"/>
          <w:color w:val="auto"/>
          <w:sz w:val="28"/>
          <w:szCs w:val="28"/>
        </w:rPr>
        <w:t>。</w:t>
      </w:r>
    </w:p>
    <w:p>
      <w:pPr>
        <w:autoSpaceDE w:val="0"/>
        <w:autoSpaceDN w:val="0"/>
        <w:adjustRightInd w:val="0"/>
        <w:spacing w:line="580" w:lineRule="exact"/>
        <w:jc w:val="center"/>
        <w:rPr>
          <w:rFonts w:hint="eastAsia" w:ascii="宋体" w:hAnsi="宋体" w:cs="宋体"/>
          <w:b/>
          <w:color w:val="auto"/>
          <w:spacing w:val="40"/>
          <w:kern w:val="0"/>
          <w:sz w:val="32"/>
          <w:szCs w:val="32"/>
        </w:rPr>
      </w:pPr>
      <w:r>
        <w:rPr>
          <w:rFonts w:ascii="仿宋_GB2312" w:eastAsia="仿宋_GB2312"/>
          <w:color w:val="auto"/>
          <w:sz w:val="28"/>
          <w:szCs w:val="28"/>
        </w:rPr>
        <w:br w:type="page"/>
      </w:r>
      <w:r>
        <w:rPr>
          <w:rFonts w:hint="eastAsia" w:ascii="宋体" w:hAnsi="宋体" w:cs="宋体"/>
          <w:b/>
          <w:bCs/>
          <w:color w:val="auto"/>
          <w:spacing w:val="40"/>
          <w:kern w:val="0"/>
          <w:sz w:val="32"/>
          <w:szCs w:val="32"/>
        </w:rPr>
        <w:t>第三部分</w:t>
      </w:r>
      <w:r>
        <w:rPr>
          <w:rFonts w:hint="eastAsia" w:ascii="宋体" w:hAnsi="宋体"/>
          <w:b/>
          <w:color w:val="auto"/>
          <w:spacing w:val="40"/>
          <w:sz w:val="32"/>
          <w:szCs w:val="32"/>
        </w:rPr>
        <w:t>202</w:t>
      </w:r>
      <w:r>
        <w:rPr>
          <w:rFonts w:hint="eastAsia" w:ascii="宋体" w:hAnsi="宋体"/>
          <w:b/>
          <w:color w:val="auto"/>
          <w:spacing w:val="40"/>
          <w:sz w:val="32"/>
          <w:szCs w:val="32"/>
          <w:lang w:val="en-US" w:eastAsia="zh-CN"/>
        </w:rPr>
        <w:t>3</w:t>
      </w:r>
      <w:r>
        <w:rPr>
          <w:rFonts w:hint="eastAsia" w:ascii="宋体" w:hAnsi="宋体"/>
          <w:b/>
          <w:color w:val="auto"/>
          <w:spacing w:val="40"/>
          <w:sz w:val="32"/>
          <w:szCs w:val="32"/>
        </w:rPr>
        <w:t>年度</w:t>
      </w:r>
      <w:r>
        <w:rPr>
          <w:rFonts w:hint="eastAsia" w:ascii="宋体" w:hAnsi="宋体" w:cs="宋体"/>
          <w:b/>
          <w:color w:val="auto"/>
          <w:spacing w:val="40"/>
          <w:kern w:val="0"/>
          <w:sz w:val="32"/>
          <w:szCs w:val="32"/>
        </w:rPr>
        <w:t>其他重要事项的情况说明</w:t>
      </w:r>
    </w:p>
    <w:p>
      <w:pPr>
        <w:spacing w:line="560" w:lineRule="exact"/>
        <w:ind w:firstLine="560" w:firstLineChars="200"/>
        <w:rPr>
          <w:rFonts w:hint="eastAsia" w:ascii="黑体" w:eastAsia="黑体"/>
          <w:color w:val="auto"/>
          <w:sz w:val="28"/>
          <w:szCs w:val="28"/>
        </w:rPr>
      </w:pPr>
      <w:r>
        <w:rPr>
          <w:rFonts w:hint="eastAsia" w:ascii="黑体" w:eastAsia="黑体"/>
          <w:color w:val="auto"/>
          <w:sz w:val="28"/>
          <w:szCs w:val="28"/>
        </w:rPr>
        <w:t>一、“三公”经费财政拨款决算情况</w:t>
      </w:r>
    </w:p>
    <w:p>
      <w:p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“三公”经费包括本部门/单位所属</w:t>
      </w:r>
      <w:r>
        <w:rPr>
          <w:rFonts w:hint="eastAsia" w:ascii="仿宋_GB2312" w:eastAsia="仿宋_GB2312"/>
          <w:bCs/>
          <w:color w:val="auto"/>
          <w:sz w:val="28"/>
          <w:szCs w:val="28"/>
          <w:lang w:val="en-US" w:eastAsia="zh-CN"/>
        </w:rPr>
        <w:t>1</w:t>
      </w:r>
      <w:r>
        <w:rPr>
          <w:rFonts w:hint="eastAsia" w:ascii="仿宋_GB2312" w:eastAsia="仿宋_GB2312"/>
          <w:color w:val="auto"/>
          <w:sz w:val="28"/>
          <w:szCs w:val="28"/>
        </w:rPr>
        <w:t>个行政单位、</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个</w:t>
      </w:r>
      <w:r>
        <w:rPr>
          <w:rFonts w:ascii="仿宋_GB2312" w:eastAsia="仿宋_GB2312"/>
          <w:color w:val="auto"/>
          <w:sz w:val="28"/>
          <w:szCs w:val="28"/>
        </w:rPr>
        <w:t>参</w:t>
      </w:r>
      <w:r>
        <w:rPr>
          <w:rFonts w:hint="eastAsia" w:ascii="仿宋_GB2312" w:eastAsia="仿宋_GB2312"/>
          <w:color w:val="auto"/>
          <w:sz w:val="28"/>
          <w:szCs w:val="28"/>
        </w:rPr>
        <w:t>照</w:t>
      </w:r>
      <w:r>
        <w:rPr>
          <w:rFonts w:ascii="仿宋_GB2312" w:eastAsia="仿宋_GB2312"/>
          <w:color w:val="auto"/>
          <w:sz w:val="28"/>
          <w:szCs w:val="28"/>
        </w:rPr>
        <w:t>公务员法管理事业单位</w:t>
      </w:r>
      <w:r>
        <w:rPr>
          <w:rFonts w:hint="eastAsia" w:ascii="仿宋_GB2312" w:eastAsia="仿宋_GB2312"/>
          <w:color w:val="auto"/>
          <w:sz w:val="28"/>
          <w:szCs w:val="28"/>
        </w:rPr>
        <w:t>、</w:t>
      </w:r>
      <w:r>
        <w:rPr>
          <w:rFonts w:hint="eastAsia" w:ascii="仿宋_GB2312" w:eastAsia="仿宋_GB2312"/>
          <w:bCs/>
          <w:color w:val="auto"/>
          <w:sz w:val="28"/>
          <w:szCs w:val="28"/>
          <w:lang w:val="en-US" w:eastAsia="zh-CN"/>
        </w:rPr>
        <w:t>0</w:t>
      </w:r>
      <w:r>
        <w:rPr>
          <w:rFonts w:hint="eastAsia" w:ascii="仿宋_GB2312" w:eastAsia="仿宋_GB2312"/>
          <w:bCs/>
          <w:color w:val="auto"/>
          <w:sz w:val="28"/>
          <w:szCs w:val="28"/>
        </w:rPr>
        <w:t>个</w:t>
      </w:r>
      <w:r>
        <w:rPr>
          <w:rFonts w:hint="eastAsia" w:ascii="仿宋_GB2312" w:eastAsia="仿宋_GB2312"/>
          <w:color w:val="auto"/>
          <w:sz w:val="28"/>
          <w:szCs w:val="28"/>
        </w:rPr>
        <w:t>事业单位。202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年度“三公”经费财政拨款决算数</w:t>
      </w:r>
      <w:r>
        <w:rPr>
          <w:rFonts w:ascii="仿宋_GB2312" w:eastAsia="仿宋_GB2312"/>
          <w:color w:val="auto"/>
          <w:sz w:val="28"/>
          <w:szCs w:val="28"/>
        </w:rPr>
        <w:t>19.77</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年度“三公”经费财政拨款年初预算</w:t>
      </w:r>
      <w:r>
        <w:rPr>
          <w:rFonts w:ascii="仿宋_GB2312" w:eastAsia="仿宋_GB2312"/>
          <w:color w:val="auto"/>
          <w:sz w:val="28"/>
          <w:szCs w:val="28"/>
        </w:rPr>
        <w:t>20.21</w:t>
      </w:r>
      <w:r>
        <w:rPr>
          <w:rFonts w:hint="eastAsia" w:ascii="仿宋_GB2312" w:eastAsia="仿宋_GB2312"/>
          <w:color w:val="auto"/>
          <w:sz w:val="28"/>
          <w:szCs w:val="28"/>
        </w:rPr>
        <w:t>万元减少</w:t>
      </w:r>
      <w:r>
        <w:rPr>
          <w:rFonts w:ascii="仿宋_GB2312" w:eastAsia="仿宋_GB2312"/>
          <w:color w:val="auto"/>
          <w:sz w:val="28"/>
          <w:szCs w:val="28"/>
        </w:rPr>
        <w:t>0.43</w:t>
      </w:r>
      <w:r>
        <w:rPr>
          <w:rFonts w:hint="eastAsia" w:ascii="仿宋_GB2312" w:eastAsia="仿宋_GB2312"/>
          <w:color w:val="auto"/>
          <w:sz w:val="28"/>
          <w:szCs w:val="28"/>
        </w:rPr>
        <w:t>万元。其中：</w:t>
      </w:r>
    </w:p>
    <w:p>
      <w:pPr>
        <w:numPr>
          <w:ilvl w:val="0"/>
          <w:numId w:val="2"/>
        </w:numPr>
        <w:spacing w:line="560" w:lineRule="exact"/>
        <w:ind w:firstLine="600"/>
        <w:rPr>
          <w:rFonts w:hint="eastAsia" w:ascii="仿宋_GB2312" w:eastAsia="仿宋_GB2312"/>
          <w:color w:val="auto"/>
          <w:sz w:val="28"/>
          <w:szCs w:val="28"/>
        </w:rPr>
      </w:pPr>
      <w:r>
        <w:rPr>
          <w:rFonts w:hint="eastAsia" w:ascii="仿宋_GB2312" w:eastAsia="仿宋_GB2312"/>
          <w:color w:val="auto"/>
          <w:sz w:val="28"/>
          <w:szCs w:val="28"/>
        </w:rPr>
        <w:t>因公出国（境）费用。202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万元增加（减少）</w:t>
      </w:r>
      <w:r>
        <w:rPr>
          <w:rFonts w:ascii="仿宋_GB2312" w:eastAsia="仿宋_GB2312"/>
          <w:color w:val="auto"/>
          <w:sz w:val="28"/>
          <w:szCs w:val="28"/>
        </w:rPr>
        <w:t>0</w:t>
      </w:r>
      <w:r>
        <w:rPr>
          <w:rFonts w:hint="eastAsia" w:ascii="仿宋_GB2312" w:eastAsia="仿宋_GB2312"/>
          <w:color w:val="auto"/>
          <w:sz w:val="28"/>
          <w:szCs w:val="28"/>
        </w:rPr>
        <w:t>万元。</w:t>
      </w:r>
    </w:p>
    <w:p>
      <w:pPr>
        <w:numPr>
          <w:ilvl w:val="0"/>
          <w:numId w:val="2"/>
        </w:numPr>
        <w:spacing w:line="560" w:lineRule="exact"/>
        <w:ind w:left="0" w:leftChars="0" w:firstLine="600" w:firstLineChars="0"/>
        <w:rPr>
          <w:rFonts w:hint="eastAsia" w:ascii="仿宋_GB2312" w:eastAsia="仿宋_GB2312"/>
          <w:color w:val="auto"/>
          <w:sz w:val="28"/>
          <w:szCs w:val="28"/>
        </w:rPr>
      </w:pPr>
      <w:r>
        <w:rPr>
          <w:rFonts w:hint="eastAsia" w:ascii="仿宋_GB2312" w:eastAsia="仿宋_GB2312"/>
          <w:color w:val="auto"/>
          <w:sz w:val="28"/>
          <w:szCs w:val="28"/>
        </w:rPr>
        <w:t>公务接待费。202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万元增加（减少）</w:t>
      </w:r>
      <w:r>
        <w:rPr>
          <w:rFonts w:ascii="仿宋_GB2312" w:eastAsia="仿宋_GB2312"/>
          <w:color w:val="auto"/>
          <w:sz w:val="28"/>
          <w:szCs w:val="28"/>
        </w:rPr>
        <w:t>0</w:t>
      </w:r>
      <w:r>
        <w:rPr>
          <w:rFonts w:hint="eastAsia" w:ascii="仿宋_GB2312" w:eastAsia="仿宋_GB2312"/>
          <w:color w:val="auto"/>
          <w:sz w:val="28"/>
          <w:szCs w:val="28"/>
        </w:rPr>
        <w:t>万元。</w:t>
      </w:r>
    </w:p>
    <w:p>
      <w:pPr>
        <w:numPr>
          <w:ilvl w:val="0"/>
          <w:numId w:val="0"/>
        </w:numPr>
        <w:spacing w:line="560" w:lineRule="exact"/>
        <w:ind w:left="600" w:leftChars="0"/>
        <w:rPr>
          <w:rFonts w:hint="eastAsia" w:ascii="仿宋_GB2312" w:eastAsia="仿宋_GB2312"/>
          <w:color w:val="auto"/>
          <w:sz w:val="28"/>
          <w:szCs w:val="28"/>
        </w:rPr>
      </w:pPr>
      <w:r>
        <w:rPr>
          <w:rFonts w:hint="eastAsia" w:ascii="仿宋_GB2312" w:eastAsia="仿宋_GB2312"/>
          <w:color w:val="auto"/>
          <w:sz w:val="28"/>
          <w:szCs w:val="28"/>
        </w:rPr>
        <w:t>3.公务用车购置及运行维护费。202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万元增加（减少）</w:t>
      </w:r>
      <w:r>
        <w:rPr>
          <w:rFonts w:ascii="仿宋_GB2312" w:eastAsia="仿宋_GB2312"/>
          <w:color w:val="auto"/>
          <w:sz w:val="28"/>
          <w:szCs w:val="28"/>
        </w:rPr>
        <w:t>0</w:t>
      </w:r>
      <w:r>
        <w:rPr>
          <w:rFonts w:hint="eastAsia" w:ascii="仿宋_GB2312" w:eastAsia="仿宋_GB2312"/>
          <w:color w:val="auto"/>
          <w:sz w:val="28"/>
          <w:szCs w:val="28"/>
        </w:rPr>
        <w:t>万元。</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其中，公务用车购置费202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rPr>
        <w:t>0</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rPr>
        <w:t>0</w:t>
      </w:r>
      <w:r>
        <w:rPr>
          <w:rFonts w:hint="eastAsia" w:ascii="仿宋_GB2312" w:eastAsia="仿宋_GB2312"/>
          <w:color w:val="auto"/>
          <w:sz w:val="28"/>
          <w:szCs w:val="28"/>
        </w:rPr>
        <w:t>万元增加（减少）</w:t>
      </w:r>
      <w:r>
        <w:rPr>
          <w:rFonts w:ascii="仿宋_GB2312" w:eastAsia="仿宋_GB2312"/>
          <w:color w:val="auto"/>
          <w:sz w:val="28"/>
          <w:szCs w:val="28"/>
        </w:rPr>
        <w:t>0</w:t>
      </w:r>
      <w:r>
        <w:rPr>
          <w:rFonts w:hint="eastAsia" w:ascii="仿宋_GB2312" w:eastAsia="仿宋_GB2312"/>
          <w:color w:val="auto"/>
          <w:sz w:val="28"/>
          <w:szCs w:val="28"/>
        </w:rPr>
        <w:t>万元。202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年度购置（更新）</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辆，车均购置费</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万元。公务用车运行维护费202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年度决算数</w:t>
      </w:r>
      <w:r>
        <w:rPr>
          <w:rFonts w:ascii="仿宋_GB2312" w:eastAsia="仿宋_GB2312"/>
          <w:color w:val="auto"/>
          <w:sz w:val="28"/>
          <w:szCs w:val="28"/>
          <w:highlight w:val="none"/>
        </w:rPr>
        <w:t>19.77</w:t>
      </w:r>
      <w:r>
        <w:rPr>
          <w:rFonts w:hint="eastAsia" w:ascii="仿宋_GB2312" w:eastAsia="仿宋_GB2312"/>
          <w:color w:val="auto"/>
          <w:sz w:val="28"/>
          <w:szCs w:val="28"/>
        </w:rPr>
        <w:t>万元，比202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年度年初预算数</w:t>
      </w:r>
      <w:r>
        <w:rPr>
          <w:rFonts w:ascii="仿宋_GB2312" w:eastAsia="仿宋_GB2312"/>
          <w:color w:val="auto"/>
          <w:sz w:val="28"/>
          <w:szCs w:val="28"/>
          <w:highlight w:val="none"/>
        </w:rPr>
        <w:t>20.21</w:t>
      </w:r>
      <w:r>
        <w:rPr>
          <w:rFonts w:hint="eastAsia" w:ascii="仿宋_GB2312" w:eastAsia="仿宋_GB2312"/>
          <w:color w:val="auto"/>
          <w:sz w:val="28"/>
          <w:szCs w:val="28"/>
        </w:rPr>
        <w:t>万元减少</w:t>
      </w:r>
      <w:r>
        <w:rPr>
          <w:rFonts w:hint="eastAsia" w:ascii="仿宋_GB2312" w:eastAsia="仿宋_GB2312"/>
          <w:color w:val="auto"/>
          <w:sz w:val="28"/>
          <w:szCs w:val="28"/>
          <w:lang w:val="en-US" w:eastAsia="zh-CN"/>
        </w:rPr>
        <w:t>0.43</w:t>
      </w:r>
      <w:r>
        <w:rPr>
          <w:rFonts w:hint="eastAsia" w:ascii="仿宋_GB2312" w:eastAsia="仿宋_GB2312"/>
          <w:color w:val="auto"/>
          <w:sz w:val="28"/>
          <w:szCs w:val="28"/>
        </w:rPr>
        <w:t>万元，主要原因：……。202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年度公务用车运行维护费中，公务用车加油</w:t>
      </w:r>
      <w:r>
        <w:rPr>
          <w:rFonts w:hint="eastAsia" w:ascii="仿宋_GB2312" w:eastAsia="仿宋_GB2312"/>
          <w:color w:val="auto"/>
          <w:sz w:val="28"/>
          <w:szCs w:val="28"/>
          <w:highlight w:val="none"/>
          <w:lang w:val="en-US" w:eastAsia="zh-CN"/>
        </w:rPr>
        <w:t>9.4</w:t>
      </w:r>
      <w:r>
        <w:rPr>
          <w:rFonts w:hint="eastAsia" w:ascii="仿宋_GB2312" w:eastAsia="仿宋_GB2312"/>
          <w:color w:val="auto"/>
          <w:sz w:val="28"/>
          <w:szCs w:val="28"/>
        </w:rPr>
        <w:t>万元，公务用车维修</w:t>
      </w:r>
      <w:r>
        <w:rPr>
          <w:rFonts w:hint="eastAsia" w:ascii="仿宋_GB2312" w:eastAsia="仿宋_GB2312"/>
          <w:color w:val="auto"/>
          <w:sz w:val="28"/>
          <w:szCs w:val="28"/>
          <w:highlight w:val="none"/>
          <w:lang w:val="en-US" w:eastAsia="zh-CN"/>
        </w:rPr>
        <w:t>7.22</w:t>
      </w:r>
      <w:r>
        <w:rPr>
          <w:rFonts w:hint="eastAsia" w:ascii="仿宋_GB2312" w:eastAsia="仿宋_GB2312"/>
          <w:color w:val="auto"/>
          <w:sz w:val="28"/>
          <w:szCs w:val="28"/>
        </w:rPr>
        <w:t>万元，公务用车保险</w:t>
      </w:r>
      <w:r>
        <w:rPr>
          <w:rFonts w:hint="eastAsia" w:ascii="仿宋_GB2312" w:eastAsia="仿宋_GB2312"/>
          <w:color w:val="auto"/>
          <w:sz w:val="28"/>
          <w:szCs w:val="28"/>
          <w:highlight w:val="none"/>
          <w:lang w:val="en-US" w:eastAsia="zh-CN"/>
        </w:rPr>
        <w:t>1.33</w:t>
      </w:r>
      <w:r>
        <w:rPr>
          <w:rFonts w:hint="eastAsia" w:ascii="仿宋_GB2312" w:eastAsia="仿宋_GB2312"/>
          <w:color w:val="auto"/>
          <w:sz w:val="28"/>
          <w:szCs w:val="28"/>
        </w:rPr>
        <w:t>万元，公务用车其他支出</w:t>
      </w:r>
      <w:r>
        <w:rPr>
          <w:rFonts w:hint="eastAsia" w:ascii="仿宋_GB2312" w:eastAsia="仿宋_GB2312"/>
          <w:color w:val="auto"/>
          <w:sz w:val="28"/>
          <w:szCs w:val="28"/>
          <w:highlight w:val="none"/>
          <w:lang w:val="en-US" w:eastAsia="zh-CN"/>
        </w:rPr>
        <w:t>1.82</w:t>
      </w:r>
      <w:r>
        <w:rPr>
          <w:rFonts w:hint="eastAsia" w:ascii="仿宋_GB2312" w:eastAsia="仿宋_GB2312"/>
          <w:color w:val="auto"/>
          <w:sz w:val="28"/>
          <w:szCs w:val="28"/>
        </w:rPr>
        <w:t>万元。202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年度公务用车保有量</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辆，车均运行维护费</w:t>
      </w:r>
      <w:r>
        <w:rPr>
          <w:rFonts w:hint="eastAsia" w:ascii="仿宋_GB2312" w:eastAsia="仿宋_GB2312"/>
          <w:color w:val="auto"/>
          <w:sz w:val="28"/>
          <w:szCs w:val="28"/>
          <w:lang w:val="en-US" w:eastAsia="zh-CN"/>
        </w:rPr>
        <w:t>2.2</w:t>
      </w:r>
      <w:r>
        <w:rPr>
          <w:rFonts w:hint="eastAsia" w:ascii="仿宋_GB2312" w:eastAsia="仿宋_GB2312"/>
          <w:color w:val="auto"/>
          <w:sz w:val="28"/>
          <w:szCs w:val="28"/>
        </w:rPr>
        <w:t>万元。</w:t>
      </w:r>
    </w:p>
    <w:p>
      <w:pPr>
        <w:tabs>
          <w:tab w:val="center" w:pos="6979"/>
        </w:tabs>
        <w:ind w:firstLine="554" w:firstLineChars="198"/>
        <w:rPr>
          <w:rFonts w:hint="eastAsia" w:ascii="黑体" w:eastAsia="黑体"/>
          <w:color w:val="auto"/>
          <w:sz w:val="28"/>
          <w:szCs w:val="28"/>
        </w:rPr>
      </w:pPr>
      <w:r>
        <w:rPr>
          <w:rFonts w:hint="eastAsia" w:ascii="黑体" w:eastAsia="黑体"/>
          <w:color w:val="auto"/>
          <w:sz w:val="28"/>
          <w:szCs w:val="28"/>
        </w:rPr>
        <w:t>二、机关运行经费支出情况</w:t>
      </w:r>
    </w:p>
    <w:p>
      <w:pPr>
        <w:ind w:firstLine="537" w:firstLineChars="192"/>
        <w:rPr>
          <w:rFonts w:hint="default" w:ascii="仿宋_GB2312" w:eastAsia="仿宋_GB2312"/>
          <w:color w:val="auto"/>
          <w:sz w:val="28"/>
          <w:szCs w:val="28"/>
          <w:lang w:val="en-US" w:eastAsia="zh-CN"/>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年度使用财政拨款安排的基本支出中的日常公用经费支出，合计246</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8</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万元，比上年</w:t>
      </w:r>
      <w:r>
        <w:rPr>
          <w:rFonts w:hint="eastAsia" w:ascii="仿宋_GB2312" w:eastAsia="仿宋_GB2312"/>
          <w:color w:val="auto"/>
          <w:sz w:val="28"/>
          <w:szCs w:val="28"/>
          <w:lang w:val="en-US" w:eastAsia="zh-CN"/>
        </w:rPr>
        <w:t>支出</w:t>
      </w:r>
      <w:r>
        <w:rPr>
          <w:rFonts w:hint="eastAsia" w:ascii="仿宋_GB2312" w:eastAsia="仿宋_GB2312"/>
          <w:color w:val="auto"/>
          <w:sz w:val="28"/>
          <w:szCs w:val="28"/>
        </w:rPr>
        <w:t>203</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13万元增加</w:t>
      </w:r>
      <w:r>
        <w:rPr>
          <w:rFonts w:hint="eastAsia" w:ascii="仿宋_GB2312" w:eastAsia="仿宋_GB2312"/>
          <w:color w:val="auto"/>
          <w:sz w:val="28"/>
          <w:szCs w:val="28"/>
          <w:lang w:val="en-US" w:eastAsia="zh-CN"/>
        </w:rPr>
        <w:t>43.72万元，</w:t>
      </w:r>
      <w:r>
        <w:rPr>
          <w:rFonts w:hint="eastAsia" w:ascii="仿宋_GB2312" w:eastAsia="仿宋_GB2312"/>
          <w:color w:val="auto"/>
          <w:sz w:val="28"/>
          <w:szCs w:val="28"/>
        </w:rPr>
        <w:t>增加原因：</w:t>
      </w:r>
      <w:r>
        <w:rPr>
          <w:rFonts w:hint="eastAsia" w:ascii="仿宋_GB2312" w:eastAsia="仿宋_GB2312"/>
          <w:color w:val="auto"/>
          <w:sz w:val="28"/>
          <w:szCs w:val="28"/>
          <w:lang w:val="en-US" w:eastAsia="zh-CN"/>
        </w:rPr>
        <w:t>保险及人员</w:t>
      </w:r>
    </w:p>
    <w:p>
      <w:pPr>
        <w:ind w:left="540"/>
        <w:rPr>
          <w:rFonts w:hint="eastAsia" w:ascii="黑体" w:eastAsia="黑体"/>
          <w:color w:val="auto"/>
          <w:sz w:val="28"/>
          <w:szCs w:val="28"/>
        </w:rPr>
      </w:pPr>
      <w:r>
        <w:rPr>
          <w:rFonts w:hint="eastAsia" w:ascii="黑体" w:eastAsia="黑体"/>
          <w:color w:val="auto"/>
          <w:sz w:val="28"/>
          <w:szCs w:val="28"/>
        </w:rPr>
        <w:t>三、政府采购支出情况</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年度政府采购支出总额</w:t>
      </w:r>
      <w:r>
        <w:rPr>
          <w:rFonts w:ascii="仿宋_GB2312" w:eastAsia="仿宋_GB2312"/>
          <w:color w:val="auto"/>
          <w:sz w:val="28"/>
          <w:szCs w:val="28"/>
        </w:rPr>
        <w:t>116.25</w:t>
      </w:r>
      <w:r>
        <w:rPr>
          <w:rFonts w:hint="eastAsia" w:ascii="仿宋_GB2312" w:eastAsia="仿宋_GB2312"/>
          <w:color w:val="auto"/>
          <w:sz w:val="28"/>
          <w:szCs w:val="28"/>
        </w:rPr>
        <w:t>万元，其中：政府采购货物支出</w:t>
      </w:r>
      <w:r>
        <w:rPr>
          <w:rFonts w:ascii="仿宋_GB2312" w:eastAsia="仿宋_GB2312"/>
          <w:color w:val="auto"/>
          <w:sz w:val="28"/>
          <w:szCs w:val="28"/>
        </w:rPr>
        <w:t>0</w:t>
      </w:r>
      <w:r>
        <w:rPr>
          <w:rFonts w:hint="eastAsia" w:ascii="仿宋_GB2312" w:eastAsia="仿宋_GB2312"/>
          <w:color w:val="auto"/>
          <w:sz w:val="28"/>
          <w:szCs w:val="28"/>
        </w:rPr>
        <w:t>万元，政府采购工程支出</w:t>
      </w:r>
      <w:r>
        <w:rPr>
          <w:rFonts w:ascii="仿宋_GB2312" w:eastAsia="仿宋_GB2312"/>
          <w:color w:val="auto"/>
          <w:sz w:val="28"/>
          <w:szCs w:val="28"/>
        </w:rPr>
        <w:t>0</w:t>
      </w:r>
      <w:r>
        <w:rPr>
          <w:rFonts w:hint="eastAsia" w:ascii="仿宋_GB2312" w:eastAsia="仿宋_GB2312"/>
          <w:color w:val="auto"/>
          <w:sz w:val="28"/>
          <w:szCs w:val="28"/>
        </w:rPr>
        <w:t>万元，政府采购服务支出</w:t>
      </w:r>
      <w:r>
        <w:rPr>
          <w:rFonts w:ascii="仿宋_GB2312" w:eastAsia="仿宋_GB2312"/>
          <w:color w:val="auto"/>
          <w:sz w:val="28"/>
          <w:szCs w:val="28"/>
        </w:rPr>
        <w:t>116.25</w:t>
      </w:r>
      <w:r>
        <w:rPr>
          <w:rFonts w:hint="eastAsia" w:ascii="仿宋_GB2312" w:eastAsia="仿宋_GB2312"/>
          <w:color w:val="auto"/>
          <w:sz w:val="28"/>
          <w:szCs w:val="28"/>
        </w:rPr>
        <w:t>万元。授予中小企业合同金额</w:t>
      </w:r>
      <w:r>
        <w:rPr>
          <w:rFonts w:ascii="仿宋_GB2312" w:eastAsia="仿宋_GB2312"/>
          <w:color w:val="auto"/>
          <w:sz w:val="28"/>
          <w:szCs w:val="28"/>
          <w:highlight w:val="none"/>
        </w:rPr>
        <w:t>0</w:t>
      </w:r>
      <w:r>
        <w:rPr>
          <w:rFonts w:hint="eastAsia" w:ascii="仿宋_GB2312" w:eastAsia="仿宋_GB2312"/>
          <w:color w:val="auto"/>
          <w:sz w:val="28"/>
          <w:szCs w:val="28"/>
        </w:rPr>
        <w:t>万元，占政府采购支出总额的</w:t>
      </w:r>
      <w:r>
        <w:rPr>
          <w:rFonts w:ascii="仿宋_GB2312" w:eastAsia="仿宋_GB2312"/>
          <w:color w:val="auto"/>
          <w:sz w:val="28"/>
          <w:szCs w:val="28"/>
          <w:highlight w:val="none"/>
        </w:rPr>
        <w:t>0</w:t>
      </w:r>
      <w:r>
        <w:rPr>
          <w:rFonts w:hint="eastAsia" w:ascii="仿宋_GB2312" w:eastAsia="仿宋_GB2312"/>
          <w:color w:val="auto"/>
          <w:sz w:val="28"/>
          <w:szCs w:val="28"/>
        </w:rPr>
        <w:t>%，其中：授予小微企业合同金额</w:t>
      </w:r>
      <w:r>
        <w:rPr>
          <w:rFonts w:ascii="仿宋_GB2312" w:eastAsia="仿宋_GB2312"/>
          <w:color w:val="auto"/>
          <w:sz w:val="28"/>
          <w:szCs w:val="28"/>
          <w:highlight w:val="none"/>
        </w:rPr>
        <w:t>0</w:t>
      </w:r>
      <w:r>
        <w:rPr>
          <w:rFonts w:hint="eastAsia" w:ascii="仿宋_GB2312" w:eastAsia="仿宋_GB2312"/>
          <w:color w:val="auto"/>
          <w:sz w:val="28"/>
          <w:szCs w:val="28"/>
        </w:rPr>
        <w:t>万元，占政府采购支出总额的</w:t>
      </w:r>
      <w:r>
        <w:rPr>
          <w:rFonts w:ascii="仿宋_GB2312" w:eastAsia="仿宋_GB2312"/>
          <w:color w:val="auto"/>
          <w:sz w:val="28"/>
          <w:szCs w:val="28"/>
          <w:highlight w:val="none"/>
        </w:rPr>
        <w:t>0</w:t>
      </w:r>
      <w:r>
        <w:rPr>
          <w:rFonts w:hint="eastAsia" w:ascii="仿宋_GB2312" w:eastAsia="仿宋_GB2312"/>
          <w:color w:val="auto"/>
          <w:sz w:val="28"/>
          <w:szCs w:val="28"/>
          <w:highlight w:val="none"/>
        </w:rPr>
        <w:t>%</w:t>
      </w:r>
      <w:r>
        <w:rPr>
          <w:rFonts w:hint="eastAsia" w:ascii="仿宋_GB2312" w:eastAsia="仿宋_GB2312"/>
          <w:color w:val="auto"/>
          <w:sz w:val="28"/>
          <w:szCs w:val="28"/>
        </w:rPr>
        <w:t>。</w:t>
      </w:r>
    </w:p>
    <w:p>
      <w:pPr>
        <w:ind w:firstLine="560" w:firstLineChars="200"/>
        <w:rPr>
          <w:rFonts w:hint="eastAsia" w:ascii="黑体" w:eastAsia="黑体"/>
          <w:color w:val="auto"/>
          <w:sz w:val="28"/>
          <w:szCs w:val="28"/>
          <w:highlight w:val="yellow"/>
        </w:rPr>
      </w:pPr>
      <w:r>
        <w:rPr>
          <w:rFonts w:hint="eastAsia" w:ascii="黑体" w:eastAsia="黑体"/>
          <w:color w:val="auto"/>
          <w:sz w:val="28"/>
          <w:szCs w:val="28"/>
          <w:highlight w:val="none"/>
        </w:rPr>
        <w:t>四、国有资产占用情况</w:t>
      </w:r>
    </w:p>
    <w:p>
      <w:pPr>
        <w:ind w:firstLine="560" w:firstLineChars="200"/>
        <w:rPr>
          <w:rFonts w:ascii="仿宋_GB2312" w:eastAsia="仿宋_GB2312"/>
          <w:color w:val="auto"/>
          <w:sz w:val="32"/>
          <w:szCs w:val="32"/>
        </w:rPr>
      </w:pPr>
      <w:r>
        <w:rPr>
          <w:rFonts w:hint="eastAsia" w:ascii="仿宋_GB2312" w:eastAsia="仿宋_GB2312"/>
          <w:color w:val="auto"/>
          <w:sz w:val="28"/>
          <w:szCs w:val="28"/>
          <w:lang w:val="en-US" w:eastAsia="zh-CN"/>
        </w:rPr>
        <w:t>2023年度新购置车辆0</w:t>
      </w:r>
      <w:r>
        <w:rPr>
          <w:rFonts w:hint="eastAsia" w:ascii="仿宋_GB2312" w:eastAsia="仿宋_GB2312"/>
          <w:color w:val="auto"/>
          <w:sz w:val="28"/>
          <w:szCs w:val="28"/>
        </w:rPr>
        <w:t>台，</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；新购置</w:t>
      </w:r>
      <w:r>
        <w:rPr>
          <w:rFonts w:hint="eastAsia" w:ascii="仿宋_GB2312" w:eastAsia="仿宋_GB2312"/>
          <w:color w:val="auto"/>
          <w:sz w:val="28"/>
          <w:szCs w:val="28"/>
        </w:rPr>
        <w:t>单位价值100万元</w:t>
      </w:r>
      <w:r>
        <w:rPr>
          <w:rFonts w:hint="eastAsia" w:ascii="仿宋_GB2312" w:eastAsia="仿宋_GB2312"/>
          <w:color w:val="auto"/>
          <w:sz w:val="28"/>
          <w:szCs w:val="28"/>
          <w:lang w:eastAsia="zh-CN"/>
        </w:rPr>
        <w:t>（含）</w:t>
      </w:r>
      <w:r>
        <w:rPr>
          <w:rFonts w:hint="eastAsia" w:ascii="仿宋_GB2312" w:eastAsia="仿宋_GB2312"/>
          <w:color w:val="auto"/>
          <w:sz w:val="28"/>
          <w:szCs w:val="28"/>
        </w:rPr>
        <w:t>以上的设备</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台（套）</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r>
        <w:rPr>
          <w:rFonts w:hint="eastAsia" w:ascii="仿宋_GB2312" w:eastAsia="仿宋_GB2312"/>
          <w:color w:val="auto"/>
          <w:sz w:val="28"/>
          <w:szCs w:val="28"/>
          <w:lang w:eastAsia="zh-CN"/>
        </w:rPr>
        <w:t>截至</w:t>
      </w:r>
      <w:r>
        <w:rPr>
          <w:rFonts w:hint="eastAsia" w:ascii="仿宋_GB2312" w:eastAsia="仿宋_GB2312"/>
          <w:color w:val="auto"/>
          <w:sz w:val="28"/>
          <w:szCs w:val="28"/>
          <w:lang w:val="en-US" w:eastAsia="zh-CN"/>
        </w:rPr>
        <w:t>12月31日，本</w:t>
      </w:r>
      <w:r>
        <w:rPr>
          <w:rFonts w:hint="eastAsia" w:ascii="仿宋_GB2312" w:eastAsia="仿宋_GB2312"/>
          <w:color w:val="auto"/>
          <w:sz w:val="28"/>
          <w:szCs w:val="28"/>
          <w:lang w:eastAsia="zh-CN"/>
        </w:rPr>
        <w:t>部门共有</w:t>
      </w:r>
      <w:r>
        <w:rPr>
          <w:rFonts w:hint="eastAsia" w:ascii="仿宋_GB2312" w:eastAsia="仿宋_GB2312"/>
          <w:color w:val="auto"/>
          <w:sz w:val="28"/>
          <w:szCs w:val="28"/>
        </w:rPr>
        <w:t>车辆</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台，</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157.91</w:t>
      </w:r>
      <w:r>
        <w:rPr>
          <w:rFonts w:hint="eastAsia" w:ascii="仿宋_GB2312" w:eastAsia="仿宋_GB2312"/>
          <w:color w:val="auto"/>
          <w:sz w:val="28"/>
          <w:szCs w:val="28"/>
        </w:rPr>
        <w:t>万元；单位价值100万元</w:t>
      </w:r>
      <w:r>
        <w:rPr>
          <w:rFonts w:hint="eastAsia" w:ascii="仿宋_GB2312" w:eastAsia="仿宋_GB2312"/>
          <w:color w:val="auto"/>
          <w:sz w:val="28"/>
          <w:szCs w:val="28"/>
          <w:lang w:eastAsia="zh-CN"/>
        </w:rPr>
        <w:t>（含）</w:t>
      </w:r>
      <w:r>
        <w:rPr>
          <w:rFonts w:hint="eastAsia" w:ascii="仿宋_GB2312" w:eastAsia="仿宋_GB2312"/>
          <w:color w:val="auto"/>
          <w:sz w:val="28"/>
          <w:szCs w:val="28"/>
        </w:rPr>
        <w:t>以上的设备</w:t>
      </w:r>
      <w:r>
        <w:rPr>
          <w:rFonts w:hint="eastAsia" w:ascii="仿宋_GB2312" w:eastAsia="仿宋_GB2312"/>
          <w:color w:val="auto"/>
          <w:sz w:val="28"/>
          <w:szCs w:val="28"/>
          <w:lang w:val="en-US" w:eastAsia="zh-CN"/>
        </w:rPr>
        <w:t>00</w:t>
      </w:r>
      <w:r>
        <w:rPr>
          <w:rFonts w:hint="eastAsia" w:ascii="仿宋_GB2312" w:eastAsia="仿宋_GB2312"/>
          <w:color w:val="auto"/>
          <w:sz w:val="28"/>
          <w:szCs w:val="28"/>
        </w:rPr>
        <w:t>台（套）</w:t>
      </w:r>
      <w:r>
        <w:rPr>
          <w:rFonts w:hint="eastAsia" w:ascii="仿宋_GB2312" w:eastAsia="仿宋_GB2312"/>
          <w:color w:val="auto"/>
          <w:sz w:val="28"/>
          <w:szCs w:val="28"/>
          <w:lang w:eastAsia="zh-CN"/>
        </w:rPr>
        <w:t>，共计</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万元。</w:t>
      </w:r>
    </w:p>
    <w:p>
      <w:pPr>
        <w:ind w:firstLine="537" w:firstLineChars="192"/>
        <w:rPr>
          <w:rFonts w:ascii="黑体" w:eastAsia="黑体"/>
          <w:color w:val="auto"/>
          <w:sz w:val="28"/>
          <w:szCs w:val="28"/>
        </w:rPr>
      </w:pPr>
      <w:r>
        <w:rPr>
          <w:rFonts w:hint="eastAsia" w:ascii="黑体" w:eastAsia="黑体"/>
          <w:color w:val="auto"/>
          <w:sz w:val="28"/>
          <w:szCs w:val="28"/>
        </w:rPr>
        <w:t>五</w:t>
      </w:r>
      <w:r>
        <w:rPr>
          <w:rFonts w:ascii="黑体" w:eastAsia="黑体"/>
          <w:color w:val="auto"/>
          <w:sz w:val="28"/>
          <w:szCs w:val="28"/>
        </w:rPr>
        <w:t>、政府购买服务</w:t>
      </w:r>
      <w:r>
        <w:rPr>
          <w:rFonts w:hint="eastAsia" w:ascii="黑体" w:eastAsia="黑体"/>
          <w:color w:val="auto"/>
          <w:sz w:val="28"/>
          <w:szCs w:val="28"/>
        </w:rPr>
        <w:t>支出</w:t>
      </w:r>
      <w:r>
        <w:rPr>
          <w:rFonts w:ascii="黑体" w:eastAsia="黑体"/>
          <w:color w:val="auto"/>
          <w:sz w:val="28"/>
          <w:szCs w:val="28"/>
        </w:rPr>
        <w:t>说明</w:t>
      </w:r>
    </w:p>
    <w:p>
      <w:pPr>
        <w:ind w:firstLine="537" w:firstLineChars="192"/>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w:t>
      </w:r>
      <w:r>
        <w:rPr>
          <w:rFonts w:ascii="仿宋_GB2312" w:eastAsia="仿宋_GB2312"/>
          <w:color w:val="auto"/>
          <w:sz w:val="28"/>
          <w:szCs w:val="28"/>
        </w:rPr>
        <w:t>政府购买服务决算</w:t>
      </w:r>
      <w:r>
        <w:rPr>
          <w:rFonts w:ascii="仿宋_GB2312" w:eastAsia="仿宋_GB2312"/>
          <w:color w:val="auto"/>
          <w:sz w:val="28"/>
          <w:szCs w:val="28"/>
          <w:highlight w:val="none"/>
        </w:rPr>
        <w:t>116.25</w:t>
      </w:r>
      <w:r>
        <w:rPr>
          <w:rFonts w:hint="eastAsia" w:ascii="仿宋_GB2312" w:eastAsia="仿宋_GB2312"/>
          <w:color w:val="auto"/>
          <w:sz w:val="28"/>
          <w:szCs w:val="28"/>
        </w:rPr>
        <w:t>万元。</w:t>
      </w:r>
    </w:p>
    <w:p>
      <w:pPr>
        <w:ind w:firstLine="560" w:firstLineChars="200"/>
        <w:jc w:val="left"/>
        <w:rPr>
          <w:rFonts w:hint="eastAsia" w:ascii="仿宋_GB2312" w:eastAsia="仿宋_GB2312"/>
          <w:color w:val="auto"/>
          <w:sz w:val="32"/>
          <w:szCs w:val="32"/>
        </w:rPr>
      </w:pPr>
      <w:r>
        <w:rPr>
          <w:rFonts w:hint="eastAsia" w:ascii="黑体" w:eastAsia="黑体"/>
          <w:color w:val="auto"/>
          <w:sz w:val="28"/>
          <w:szCs w:val="28"/>
        </w:rPr>
        <w:t>六、</w:t>
      </w:r>
      <w:r>
        <w:rPr>
          <w:rFonts w:ascii="黑体" w:eastAsia="黑体"/>
          <w:color w:val="auto"/>
          <w:sz w:val="28"/>
          <w:szCs w:val="28"/>
        </w:rPr>
        <w:t>专业名词解释</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1.基本支出：指为保障机构正常运转、完成日常工作任务而发生的人员支出和公用支出。</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2.项目支出：指在基本支出之外为完成特定行政任务或事业发展目标所发生的支出。</w:t>
      </w:r>
    </w:p>
    <w:p>
      <w:pPr>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3.“三公”经费：</w:t>
      </w:r>
      <w:r>
        <w:rPr>
          <w:rFonts w:hint="eastAsia" w:ascii="仿宋_GB2312" w:hAnsi="宋体" w:eastAsia="仿宋_GB2312"/>
          <w:color w:val="auto"/>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4</w:t>
      </w:r>
      <w:r>
        <w:rPr>
          <w:rFonts w:ascii="仿宋_GB2312" w:eastAsia="仿宋_GB2312"/>
          <w:color w:val="auto"/>
          <w:sz w:val="28"/>
          <w:szCs w:val="28"/>
        </w:rPr>
        <w:t>.</w:t>
      </w:r>
      <w:r>
        <w:rPr>
          <w:rFonts w:hint="eastAsia" w:ascii="仿宋_GB2312" w:eastAsia="仿宋_GB2312"/>
          <w:color w:val="auto"/>
          <w:sz w:val="28"/>
          <w:szCs w:val="28"/>
        </w:rPr>
        <w:t>机关运行经费：</w:t>
      </w:r>
      <w:r>
        <w:rPr>
          <w:rFonts w:hint="eastAsia" w:ascii="仿宋_GB2312" w:hAnsi="宋体" w:eastAsia="仿宋_GB2312"/>
          <w:color w:val="auto"/>
          <w:sz w:val="28"/>
          <w:szCs w:val="28"/>
        </w:rPr>
        <w:t>指为</w:t>
      </w:r>
      <w:r>
        <w:rPr>
          <w:rFonts w:ascii="仿宋_GB2312" w:hAnsi="宋体" w:eastAsia="仿宋_GB2312"/>
          <w:color w:val="auto"/>
          <w:sz w:val="28"/>
          <w:szCs w:val="28"/>
        </w:rPr>
        <w:t>保障</w:t>
      </w:r>
      <w:r>
        <w:rPr>
          <w:rFonts w:hint="eastAsia" w:ascii="仿宋_GB2312" w:hAnsi="宋体" w:eastAsia="仿宋_GB2312"/>
          <w:color w:val="auto"/>
          <w:sz w:val="28"/>
          <w:szCs w:val="28"/>
        </w:rPr>
        <w:t>行政单位（含参照公务员法管理事业单位）运行用于</w:t>
      </w:r>
      <w:r>
        <w:rPr>
          <w:rFonts w:ascii="仿宋_GB2312" w:hAnsi="宋体" w:eastAsia="仿宋_GB2312"/>
          <w:color w:val="auto"/>
          <w:sz w:val="28"/>
          <w:szCs w:val="28"/>
        </w:rPr>
        <w:t>购买货物和服务的各项资金</w:t>
      </w:r>
      <w:r>
        <w:rPr>
          <w:rFonts w:hint="eastAsia" w:ascii="仿宋_GB2312" w:hAnsi="宋体" w:eastAsia="仿宋_GB2312"/>
          <w:color w:val="auto"/>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color w:val="auto"/>
          <w:sz w:val="28"/>
          <w:szCs w:val="28"/>
        </w:rPr>
      </w:pPr>
      <w:r>
        <w:rPr>
          <w:rFonts w:hint="eastAsia" w:ascii="仿宋_GB2312" w:eastAsia="仿宋_GB2312"/>
          <w:color w:val="auto"/>
          <w:sz w:val="28"/>
          <w:szCs w:val="28"/>
        </w:rPr>
        <w:t>5</w:t>
      </w:r>
      <w:r>
        <w:rPr>
          <w:rFonts w:ascii="仿宋_GB2312" w:eastAsia="仿宋_GB2312"/>
          <w:color w:val="auto"/>
          <w:sz w:val="28"/>
          <w:szCs w:val="28"/>
        </w:rPr>
        <w:t>.</w:t>
      </w:r>
      <w:r>
        <w:rPr>
          <w:rFonts w:hint="eastAsia" w:ascii="仿宋_GB2312" w:eastAsia="仿宋_GB2312"/>
          <w:color w:val="auto"/>
          <w:sz w:val="28"/>
          <w:szCs w:val="28"/>
        </w:rPr>
        <w:t>政府采购</w:t>
      </w:r>
      <w:r>
        <w:rPr>
          <w:rFonts w:ascii="仿宋_GB2312" w:eastAsia="仿宋_GB2312"/>
          <w:color w:val="auto"/>
          <w:sz w:val="28"/>
          <w:szCs w:val="28"/>
        </w:rPr>
        <w:t>：</w:t>
      </w:r>
      <w:r>
        <w:rPr>
          <w:rFonts w:hint="eastAsia" w:ascii="仿宋_GB2312" w:eastAsia="仿宋_GB2312"/>
          <w:color w:val="auto"/>
          <w:sz w:val="28"/>
          <w:szCs w:val="28"/>
        </w:rPr>
        <w:t>指</w:t>
      </w:r>
      <w:r>
        <w:rPr>
          <w:rFonts w:ascii="仿宋_GB2312" w:eastAsia="仿宋_GB2312"/>
          <w:color w:val="auto"/>
          <w:sz w:val="28"/>
          <w:szCs w:val="28"/>
        </w:rPr>
        <w:t>各级国家机关、事业单位和团体组织，使用</w:t>
      </w:r>
      <w:r>
        <w:rPr>
          <w:rFonts w:hint="eastAsia" w:ascii="仿宋_GB2312" w:eastAsia="仿宋_GB2312"/>
          <w:color w:val="auto"/>
          <w:sz w:val="28"/>
          <w:szCs w:val="28"/>
        </w:rPr>
        <w:t>财政性</w:t>
      </w:r>
      <w:r>
        <w:rPr>
          <w:rFonts w:ascii="仿宋_GB2312" w:eastAsia="仿宋_GB2312"/>
          <w:color w:val="auto"/>
          <w:sz w:val="28"/>
          <w:szCs w:val="28"/>
        </w:rPr>
        <w:t>资金采购依法制定的集中目录以内的或者采购限额标准以上的货物、工程和服务的行为</w:t>
      </w:r>
      <w:r>
        <w:rPr>
          <w:rFonts w:hint="eastAsia" w:ascii="仿宋_GB2312" w:eastAsia="仿宋_GB2312"/>
          <w:color w:val="auto"/>
          <w:sz w:val="28"/>
          <w:szCs w:val="28"/>
        </w:rPr>
        <w:t>，</w:t>
      </w:r>
      <w:r>
        <w:rPr>
          <w:rFonts w:ascii="仿宋_GB2312" w:eastAsia="仿宋_GB2312"/>
          <w:color w:val="auto"/>
          <w:sz w:val="28"/>
          <w:szCs w:val="28"/>
        </w:rPr>
        <w:t>是规范财政支出管理和强化预算约束的有效措施。</w:t>
      </w:r>
    </w:p>
    <w:p>
      <w:pPr>
        <w:ind w:firstLine="420" w:firstLineChars="150"/>
        <w:rPr>
          <w:rFonts w:hint="eastAsia" w:ascii="仿宋_GB2312" w:eastAsia="仿宋_GB2312"/>
          <w:color w:val="auto"/>
          <w:sz w:val="28"/>
          <w:szCs w:val="28"/>
        </w:rPr>
      </w:pPr>
      <w:r>
        <w:rPr>
          <w:rFonts w:hint="eastAsia" w:ascii="仿宋_GB2312" w:eastAsia="仿宋_GB2312"/>
          <w:color w:val="auto"/>
          <w:sz w:val="28"/>
          <w:szCs w:val="28"/>
        </w:rPr>
        <w:t>6</w:t>
      </w:r>
      <w:r>
        <w:rPr>
          <w:rFonts w:ascii="仿宋_GB2312" w:eastAsia="仿宋_GB2312"/>
          <w:color w:val="auto"/>
          <w:sz w:val="28"/>
          <w:szCs w:val="28"/>
        </w:rPr>
        <w:t>.政府购买服务：</w:t>
      </w:r>
      <w:r>
        <w:rPr>
          <w:rFonts w:hint="eastAsia" w:ascii="仿宋_GB2312" w:eastAsia="仿宋_GB2312"/>
          <w:color w:val="auto"/>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各</w:t>
      </w:r>
      <w:r>
        <w:rPr>
          <w:rFonts w:hint="eastAsia" w:ascii="仿宋_GB2312" w:eastAsia="仿宋_GB2312"/>
          <w:color w:val="auto"/>
          <w:sz w:val="28"/>
          <w:szCs w:val="28"/>
          <w:lang w:eastAsia="zh-CN"/>
        </w:rPr>
        <w:t>单位</w:t>
      </w:r>
      <w:r>
        <w:rPr>
          <w:rFonts w:hint="eastAsia" w:ascii="仿宋_GB2312" w:eastAsia="仿宋_GB2312"/>
          <w:color w:val="auto"/>
          <w:sz w:val="28"/>
          <w:szCs w:val="28"/>
        </w:rPr>
        <w:t>需根据自身业务职能，</w:t>
      </w:r>
      <w:r>
        <w:rPr>
          <w:rFonts w:hint="eastAsia" w:ascii="仿宋_GB2312" w:eastAsia="仿宋_GB2312"/>
          <w:color w:val="auto"/>
          <w:sz w:val="28"/>
          <w:szCs w:val="28"/>
          <w:lang w:eastAsia="zh-CN"/>
        </w:rPr>
        <w:t>补充当年</w:t>
      </w:r>
      <w:r>
        <w:rPr>
          <w:rFonts w:hint="eastAsia" w:ascii="仿宋_GB2312" w:eastAsia="仿宋_GB2312"/>
          <w:color w:val="auto"/>
          <w:sz w:val="28"/>
          <w:szCs w:val="28"/>
          <w:lang w:val="en-US" w:eastAsia="zh-CN"/>
        </w:rPr>
        <w:t>使用的所有</w:t>
      </w:r>
      <w:r>
        <w:rPr>
          <w:rFonts w:hint="eastAsia" w:ascii="仿宋_GB2312" w:eastAsia="仿宋_GB2312"/>
          <w:color w:val="auto"/>
          <w:sz w:val="28"/>
          <w:szCs w:val="28"/>
          <w:lang w:eastAsia="zh-CN"/>
        </w:rPr>
        <w:t>支出功能分类项级科目名词解释，例如：</w:t>
      </w:r>
    </w:p>
    <w:p>
      <w:pPr>
        <w:ind w:firstLine="420" w:firstLineChars="15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一般公共服务支出（类）人大事务（款）行政运行（项）：反映行政单位（包括实行公务员管理的事业单位）的基本支出。</w:t>
      </w:r>
    </w:p>
    <w:p>
      <w:pPr>
        <w:numPr>
          <w:ilvl w:val="0"/>
          <w:numId w:val="0"/>
        </w:numPr>
        <w:rPr>
          <w:rFonts w:hint="eastAsia" w:ascii="仿宋_GB2312" w:eastAsia="仿宋_GB2312"/>
          <w:color w:val="auto"/>
          <w:sz w:val="28"/>
          <w:szCs w:val="28"/>
          <w:lang w:val="en-US" w:eastAsia="zh-CN"/>
        </w:rPr>
      </w:pPr>
    </w:p>
    <w:p>
      <w:pPr>
        <w:ind w:firstLine="635" w:firstLineChars="200"/>
        <w:rPr>
          <w:rFonts w:hint="eastAsia" w:ascii="仿宋_GB2312" w:hAnsi="Times New Roman" w:eastAsia="仿宋_GB2312" w:cs="Times New Roman"/>
          <w:b/>
          <w:color w:val="auto"/>
          <w:spacing w:val="-2"/>
          <w:sz w:val="32"/>
          <w:szCs w:val="32"/>
        </w:rPr>
      </w:pPr>
    </w:p>
    <w:p>
      <w:pPr>
        <w:ind w:firstLine="640" w:firstLineChars="200"/>
        <w:jc w:val="center"/>
        <w:rPr>
          <w:rFonts w:ascii="黑体" w:eastAsia="黑体"/>
          <w:color w:val="auto"/>
          <w:sz w:val="32"/>
          <w:szCs w:val="32"/>
        </w:rPr>
      </w:pPr>
    </w:p>
    <w:p>
      <w:pPr>
        <w:pStyle w:val="2"/>
        <w:rPr>
          <w:rFonts w:ascii="黑体" w:eastAsia="黑体"/>
          <w:color w:val="auto"/>
          <w:sz w:val="32"/>
          <w:szCs w:val="32"/>
        </w:rPr>
      </w:pPr>
    </w:p>
    <w:p>
      <w:pPr>
        <w:ind w:firstLine="643" w:firstLineChars="200"/>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第四部分  202</w:t>
      </w:r>
      <w:r>
        <w:rPr>
          <w:rFonts w:hint="eastAsia" w:asciiTheme="majorEastAsia" w:hAnsiTheme="majorEastAsia" w:eastAsiaTheme="majorEastAsia" w:cstheme="majorEastAsia"/>
          <w:b/>
          <w:bCs/>
          <w:color w:val="auto"/>
          <w:sz w:val="32"/>
          <w:szCs w:val="32"/>
          <w:lang w:val="en-US" w:eastAsia="zh-CN"/>
        </w:rPr>
        <w:t>3</w:t>
      </w:r>
      <w:r>
        <w:rPr>
          <w:rFonts w:hint="eastAsia" w:asciiTheme="majorEastAsia" w:hAnsiTheme="majorEastAsia" w:eastAsiaTheme="majorEastAsia" w:cstheme="majorEastAsia"/>
          <w:b/>
          <w:bCs/>
          <w:color w:val="auto"/>
          <w:sz w:val="32"/>
          <w:szCs w:val="32"/>
        </w:rPr>
        <w:t>年度部门绩效评价情况</w:t>
      </w:r>
    </w:p>
    <w:p>
      <w:pPr>
        <w:ind w:firstLine="560" w:firstLineChars="200"/>
        <w:rPr>
          <w:rFonts w:hint="eastAsia" w:ascii="黑体" w:eastAsia="黑体"/>
          <w:color w:val="auto"/>
          <w:sz w:val="28"/>
          <w:szCs w:val="28"/>
          <w:highlight w:val="yellow"/>
        </w:rPr>
      </w:pPr>
    </w:p>
    <w:p>
      <w:pPr>
        <w:ind w:firstLine="560" w:firstLineChars="200"/>
        <w:rPr>
          <w:rFonts w:hint="eastAsia" w:ascii="黑体" w:eastAsia="黑体"/>
          <w:color w:val="auto"/>
          <w:sz w:val="28"/>
          <w:szCs w:val="28"/>
          <w:lang w:eastAsia="zh-CN"/>
        </w:rPr>
      </w:pPr>
      <w:r>
        <w:rPr>
          <w:rFonts w:hint="eastAsia" w:ascii="黑体" w:eastAsia="黑体"/>
          <w:color w:val="auto"/>
          <w:sz w:val="28"/>
          <w:szCs w:val="28"/>
        </w:rPr>
        <w:t>一、部门整体绩效评价报告</w:t>
      </w:r>
      <w:r>
        <w:rPr>
          <w:rFonts w:hint="eastAsia" w:ascii="黑体" w:eastAsia="黑体"/>
          <w:color w:val="auto"/>
          <w:sz w:val="28"/>
          <w:szCs w:val="28"/>
          <w:lang w:eastAsia="zh-CN"/>
        </w:rPr>
        <w:t>（详见附件）</w:t>
      </w:r>
    </w:p>
    <w:p>
      <w:pPr>
        <w:ind w:firstLine="560" w:firstLineChars="200"/>
        <w:rPr>
          <w:rFonts w:hint="eastAsia" w:ascii="黑体" w:eastAsia="黑体"/>
          <w:color w:val="auto"/>
          <w:sz w:val="28"/>
          <w:szCs w:val="28"/>
        </w:rPr>
      </w:pPr>
      <w:r>
        <w:rPr>
          <w:rFonts w:hint="eastAsia" w:ascii="黑体" w:eastAsia="黑体"/>
          <w:color w:val="auto"/>
          <w:sz w:val="28"/>
          <w:szCs w:val="28"/>
        </w:rPr>
        <w:t>二、项目支出绩效评价报告</w:t>
      </w:r>
      <w:r>
        <w:rPr>
          <w:rFonts w:hint="eastAsia" w:ascii="黑体" w:eastAsia="黑体"/>
          <w:color w:val="auto"/>
          <w:sz w:val="28"/>
          <w:szCs w:val="28"/>
          <w:lang w:eastAsia="zh-CN"/>
        </w:rPr>
        <w:t>（详见附件）</w:t>
      </w:r>
    </w:p>
    <w:p>
      <w:pPr>
        <w:ind w:firstLine="560" w:firstLineChars="200"/>
        <w:rPr>
          <w:rFonts w:ascii="黑体" w:eastAsia="黑体"/>
          <w:color w:val="auto"/>
          <w:sz w:val="28"/>
          <w:szCs w:val="28"/>
        </w:rPr>
      </w:pPr>
      <w:r>
        <w:rPr>
          <w:rFonts w:hint="eastAsia" w:ascii="黑体" w:eastAsia="黑体"/>
          <w:color w:val="auto"/>
          <w:sz w:val="28"/>
          <w:szCs w:val="28"/>
        </w:rPr>
        <w:t>三</w:t>
      </w:r>
      <w:r>
        <w:rPr>
          <w:rFonts w:ascii="黑体" w:eastAsia="黑体"/>
          <w:color w:val="auto"/>
          <w:sz w:val="28"/>
          <w:szCs w:val="28"/>
        </w:rPr>
        <w:t>、</w:t>
      </w:r>
      <w:r>
        <w:rPr>
          <w:rFonts w:hint="eastAsia" w:ascii="黑体" w:eastAsia="黑体"/>
          <w:color w:val="auto"/>
          <w:sz w:val="28"/>
          <w:szCs w:val="28"/>
        </w:rPr>
        <w:t>项目</w:t>
      </w:r>
      <w:r>
        <w:rPr>
          <w:rFonts w:ascii="黑体" w:eastAsia="黑体"/>
          <w:color w:val="auto"/>
          <w:sz w:val="28"/>
          <w:szCs w:val="28"/>
        </w:rPr>
        <w:t>支出绩效自评表</w:t>
      </w:r>
      <w:r>
        <w:rPr>
          <w:rFonts w:hint="eastAsia" w:ascii="黑体" w:eastAsia="黑体"/>
          <w:color w:val="auto"/>
          <w:sz w:val="28"/>
          <w:szCs w:val="28"/>
          <w:lang w:eastAsia="zh-CN"/>
        </w:rPr>
        <w:t>（详见附件）</w:t>
      </w:r>
    </w:p>
    <w:p>
      <w:pPr>
        <w:ind w:firstLine="560" w:firstLineChars="200"/>
        <w:rPr>
          <w:rFonts w:hint="eastAsia" w:ascii="黑体" w:hAnsi="Times New Roman" w:eastAsia="黑体" w:cs="Times New Roman"/>
          <w:color w:val="auto"/>
          <w:sz w:val="28"/>
          <w:szCs w:val="28"/>
          <w:lang w:eastAsia="zh-CN"/>
        </w:rPr>
      </w:pPr>
      <w:r>
        <w:rPr>
          <w:rFonts w:hint="eastAsia" w:ascii="黑体" w:hAnsi="Times New Roman" w:eastAsia="黑体" w:cs="Times New Roman"/>
          <w:color w:val="auto"/>
          <w:sz w:val="28"/>
          <w:szCs w:val="28"/>
          <w:lang w:eastAsia="zh-CN"/>
        </w:rPr>
        <w:t>四、</w:t>
      </w:r>
      <w:r>
        <w:rPr>
          <w:rFonts w:hint="eastAsia" w:ascii="黑体" w:hAnsi="Times New Roman" w:eastAsia="黑体" w:cs="Times New Roman"/>
          <w:color w:val="auto"/>
          <w:sz w:val="28"/>
          <w:szCs w:val="28"/>
          <w:lang w:val="en-US" w:eastAsia="zh-CN"/>
        </w:rPr>
        <w:t>中央对北京XX转移支付预算执行情况绩效自评报告</w:t>
      </w:r>
      <w:r>
        <w:rPr>
          <w:rFonts w:hint="eastAsia" w:ascii="黑体" w:eastAsia="黑体"/>
          <w:color w:val="auto"/>
          <w:sz w:val="28"/>
          <w:szCs w:val="28"/>
          <w:lang w:eastAsia="zh-CN"/>
        </w:rPr>
        <w:t>（详见附件）</w:t>
      </w:r>
    </w:p>
    <w:p>
      <w:pPr>
        <w:spacing w:line="480" w:lineRule="exact"/>
        <w:ind w:firstLine="560"/>
        <w:rPr>
          <w:rFonts w:hint="eastAsia" w:ascii="黑体" w:eastAsia="黑体"/>
          <w:color w:val="auto"/>
          <w:sz w:val="28"/>
          <w:szCs w:val="28"/>
        </w:rPr>
      </w:pPr>
      <w:r>
        <w:rPr>
          <w:rFonts w:hint="eastAsia" w:ascii="黑体" w:eastAsia="黑体"/>
          <w:color w:val="auto"/>
          <w:sz w:val="28"/>
          <w:szCs w:val="28"/>
        </w:rPr>
        <w:t>（注：有中央转移支付的一级预算部门，公开“一、二、三、四”；没有中央转移支付的一级预算部门，公开“一、二、三”；二级预算单位仅公开“三”</w:t>
      </w:r>
      <w:r>
        <w:rPr>
          <w:rFonts w:hint="eastAsia" w:ascii="黑体" w:eastAsia="黑体"/>
          <w:color w:val="auto"/>
          <w:sz w:val="28"/>
          <w:szCs w:val="28"/>
          <w:lang w:eastAsia="zh-CN"/>
        </w:rPr>
        <w:t>。</w:t>
      </w:r>
      <w:r>
        <w:rPr>
          <w:rFonts w:hint="eastAsia" w:ascii="黑体" w:eastAsia="黑体"/>
          <w:color w:val="auto"/>
          <w:sz w:val="28"/>
          <w:szCs w:val="28"/>
        </w:rPr>
        <w:t>）</w:t>
      </w:r>
    </w:p>
    <w:p>
      <w:pPr>
        <w:pStyle w:val="4"/>
        <w:ind w:firstLine="560"/>
        <w:rPr>
          <w:rFonts w:hint="eastAsia"/>
          <w:color w:val="auto"/>
        </w:rPr>
      </w:pPr>
    </w:p>
    <w:p>
      <w:pPr>
        <w:rPr>
          <w:rFonts w:hint="eastAsia"/>
          <w:color w:val="auto"/>
        </w:rPr>
      </w:pPr>
    </w:p>
    <w:p>
      <w:pPr>
        <w:pStyle w:val="2"/>
        <w:ind w:firstLine="0" w:firstLineChars="0"/>
        <w:rPr>
          <w:rFonts w:hint="eastAsia" w:ascii="黑体" w:hAnsi="黑体" w:eastAsia="黑体" w:cs="黑体"/>
          <w:color w:val="auto"/>
          <w:sz w:val="32"/>
          <w:szCs w:val="32"/>
        </w:rPr>
      </w:pPr>
      <w:r>
        <w:rPr>
          <w:rFonts w:hint="eastAsia" w:ascii="黑体" w:hAnsi="黑体" w:eastAsia="黑体" w:cs="黑体"/>
          <w:color w:val="auto"/>
          <w:sz w:val="32"/>
          <w:szCs w:val="32"/>
        </w:rPr>
        <w:t>附件</w:t>
      </w:r>
    </w:p>
    <w:p>
      <w:pPr>
        <w:spacing w:line="560" w:lineRule="exact"/>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部门整体绩效评价报告</w:t>
      </w:r>
    </w:p>
    <w:p>
      <w:pPr>
        <w:jc w:val="center"/>
        <w:rPr>
          <w:rFonts w:ascii="仿宋_GB2312"/>
          <w:color w:val="auto"/>
          <w:szCs w:val="30"/>
        </w:rPr>
      </w:pPr>
    </w:p>
    <w:p>
      <w:pPr>
        <w:spacing w:line="600" w:lineRule="exact"/>
        <w:ind w:firstLine="640" w:firstLineChars="20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一、部门概况</w:t>
      </w:r>
    </w:p>
    <w:p>
      <w:pPr>
        <w:spacing w:line="60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（一）机构设置及职责工作任务情况</w:t>
      </w:r>
    </w:p>
    <w:p>
      <w:pPr>
        <w:snapToGrid w:val="0"/>
        <w:spacing w:line="520" w:lineRule="exact"/>
        <w:ind w:firstLine="640" w:firstLineChars="200"/>
        <w:rPr>
          <w:rFonts w:hint="eastAsia" w:ascii="仿宋_GB2312" w:hAnsi="仿宋" w:eastAsia="仿宋_GB2312"/>
          <w:color w:val="auto"/>
          <w:sz w:val="32"/>
          <w:szCs w:val="32"/>
        </w:rPr>
      </w:pPr>
      <w:r>
        <w:rPr>
          <w:rFonts w:hint="eastAsia" w:ascii="楷体_GB2312" w:eastAsia="楷体_GB2312"/>
          <w:color w:val="auto"/>
          <w:sz w:val="32"/>
          <w:szCs w:val="32"/>
          <w:lang w:val="en-US" w:eastAsia="zh-CN"/>
        </w:rPr>
        <w:t xml:space="preserve">       </w:t>
      </w:r>
      <w:r>
        <w:rPr>
          <w:rFonts w:hint="eastAsia" w:ascii="仿宋_GB2312" w:hAnsi="仿宋" w:eastAsia="仿宋_GB2312"/>
          <w:color w:val="auto"/>
          <w:sz w:val="32"/>
          <w:szCs w:val="32"/>
        </w:rPr>
        <w:t>1．主要职能。</w:t>
      </w:r>
    </w:p>
    <w:p>
      <w:pPr>
        <w:spacing w:line="540" w:lineRule="exact"/>
        <w:ind w:firstLine="640" w:firstLineChars="200"/>
        <w:rPr>
          <w:rFonts w:hint="eastAsia" w:ascii="仿宋_GB2312" w:hAnsi="黑体" w:eastAsia="仿宋_GB2312" w:cs="方正小标宋_GBK"/>
          <w:color w:val="auto"/>
          <w:sz w:val="32"/>
          <w:szCs w:val="32"/>
        </w:rPr>
      </w:pPr>
      <w:r>
        <w:rPr>
          <w:rFonts w:hint="eastAsia" w:ascii="黑体" w:hAnsi="黑体" w:eastAsia="黑体" w:cs="黑体"/>
          <w:color w:val="auto"/>
          <w:sz w:val="32"/>
          <w:szCs w:val="32"/>
        </w:rPr>
        <w:t>第一条</w:t>
      </w:r>
      <w:r>
        <w:rPr>
          <w:rFonts w:hint="eastAsia" w:ascii="仿宋_GB2312" w:hAnsi="黑体" w:eastAsia="仿宋_GB2312" w:cs="方正小标宋_GBK"/>
          <w:color w:val="auto"/>
          <w:sz w:val="32"/>
          <w:szCs w:val="32"/>
        </w:rPr>
        <w:t xml:space="preserve">  根据市委、市政府批准的</w:t>
      </w:r>
      <w:r>
        <w:rPr>
          <w:rFonts w:hint="eastAsia" w:ascii="仿宋_GB2312" w:hAnsi="仿宋_GB2312" w:eastAsia="仿宋_GB2312" w:cs="仿宋_GB2312"/>
          <w:color w:val="auto"/>
          <w:sz w:val="32"/>
          <w:szCs w:val="32"/>
        </w:rPr>
        <w:t>《北京市密云区机构改革方案》</w:t>
      </w:r>
      <w:r>
        <w:rPr>
          <w:rFonts w:hint="eastAsia" w:ascii="仿宋_GB2312" w:hAnsi="黑体" w:eastAsia="仿宋_GB2312" w:cs="方正小标宋_GBK"/>
          <w:color w:val="auto"/>
          <w:sz w:val="32"/>
          <w:szCs w:val="32"/>
        </w:rPr>
        <w:t>，制定本规定。</w:t>
      </w:r>
    </w:p>
    <w:p>
      <w:pPr>
        <w:spacing w:line="540" w:lineRule="exact"/>
        <w:rPr>
          <w:rFonts w:hint="eastAsia" w:ascii="黑体" w:hAnsi="黑体" w:eastAsia="黑体" w:cs="黑体"/>
          <w:color w:val="auto"/>
          <w:sz w:val="32"/>
          <w:szCs w:val="32"/>
        </w:rPr>
      </w:pPr>
      <w:r>
        <w:rPr>
          <w:rFonts w:hint="eastAsia" w:ascii="黑体" w:hAnsi="黑体" w:eastAsia="黑体" w:cs="黑体"/>
          <w:color w:val="auto"/>
          <w:sz w:val="32"/>
          <w:szCs w:val="32"/>
        </w:rPr>
        <w:t xml:space="preserve">    第二条  </w:t>
      </w:r>
      <w:r>
        <w:rPr>
          <w:rFonts w:hint="eastAsia" w:ascii="仿宋_GB2312" w:hAnsi="黑体" w:eastAsia="仿宋_GB2312" w:cs="方正小标宋_GBK"/>
          <w:color w:val="auto"/>
          <w:sz w:val="32"/>
          <w:szCs w:val="32"/>
        </w:rPr>
        <w:t>中共北京市密云区委农村工作委员会（简称区委农工委）是区委派出机构，北京市密云区农业农村局（简称区农业农村局）是</w:t>
      </w:r>
      <w:r>
        <w:rPr>
          <w:rFonts w:hint="eastAsia" w:ascii="仿宋_GB2312" w:hAnsi="仿宋_GB2312" w:eastAsia="仿宋_GB2312" w:cs="仿宋_GB2312"/>
          <w:color w:val="auto"/>
          <w:sz w:val="32"/>
          <w:szCs w:val="32"/>
        </w:rPr>
        <w:t>区政府工作部门，区委农工委与区农业农村局合署办公，为正处级。加挂北京市密云区山区建设办公室（简称区山区建设办）牌子。</w:t>
      </w:r>
      <w:r>
        <w:rPr>
          <w:rFonts w:hint="eastAsia" w:ascii="黑体" w:hAnsi="黑体" w:eastAsia="黑体" w:cs="黑体"/>
          <w:color w:val="auto"/>
          <w:sz w:val="32"/>
          <w:szCs w:val="32"/>
        </w:rPr>
        <w:t xml:space="preserve">    </w:t>
      </w:r>
    </w:p>
    <w:p>
      <w:pPr>
        <w:spacing w:line="540" w:lineRule="exact"/>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    第三条  </w:t>
      </w:r>
      <w:r>
        <w:rPr>
          <w:rFonts w:hint="eastAsia" w:ascii="仿宋_GB2312" w:hAnsi="仿宋_GB2312" w:eastAsia="仿宋_GB2312" w:cs="仿宋_GB2312"/>
          <w:color w:val="auto"/>
          <w:sz w:val="32"/>
          <w:szCs w:val="32"/>
        </w:rPr>
        <w:t>中共北京市密云区委农村工作领导小组办公室（简称区委农办）设在区委农工委，接受中共北京市密云区委农村工作领导小组的直接领导，承担中共北京市密云区委农村工作领导小组具体工作，组织开展本区“三农”重大问题的政策研究并提出意见建议，协调督促检查有关方面落实中共北京市密云区委农村工作领导小组决定事项、工作部署和要求等。负责处理区委农办日常事务，由区委农工委、区农业农村局的内设机构根据工作需要承担区委农办相关工作，接受区委农办的统筹协调。</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区</w:t>
      </w:r>
      <w:r>
        <w:rPr>
          <w:rFonts w:hint="eastAsia" w:ascii="仿宋_GB2312" w:hAnsi="黑体" w:eastAsia="仿宋_GB2312" w:cs="方正小标宋_GBK"/>
          <w:color w:val="auto"/>
          <w:sz w:val="32"/>
          <w:szCs w:val="32"/>
        </w:rPr>
        <w:t>委农工委、区农业农村局贯彻落实</w:t>
      </w:r>
      <w:r>
        <w:rPr>
          <w:rFonts w:hint="eastAsia" w:ascii="仿宋_GB2312" w:hAnsi="黑体" w:eastAsia="仿宋_GB2312" w:cs="方正小标宋_GBK"/>
          <w:b/>
          <w:bCs/>
          <w:color w:val="auto"/>
          <w:sz w:val="32"/>
          <w:szCs w:val="32"/>
          <w:u w:val="single"/>
        </w:rPr>
        <w:t>党</w:t>
      </w:r>
      <w:r>
        <w:rPr>
          <w:rFonts w:hint="eastAsia" w:ascii="仿宋_GB2312" w:hAnsi="仿宋_GB2312" w:eastAsia="仿宋_GB2312" w:cs="仿宋_GB2312"/>
          <w:color w:val="auto"/>
          <w:sz w:val="32"/>
          <w:szCs w:val="32"/>
        </w:rPr>
        <w:t>中央、市委、区委</w:t>
      </w:r>
      <w:r>
        <w:rPr>
          <w:rFonts w:hint="eastAsia" w:ascii="仿宋_GB2312" w:hAnsi="仿宋_GB2312" w:eastAsia="仿宋_GB2312" w:cs="仿宋_GB2312"/>
          <w:b/>
          <w:bCs/>
          <w:color w:val="auto"/>
          <w:sz w:val="32"/>
          <w:szCs w:val="32"/>
          <w:u w:val="single"/>
        </w:rPr>
        <w:t>关于</w:t>
      </w:r>
      <w:r>
        <w:rPr>
          <w:rFonts w:hint="eastAsia" w:ascii="仿宋_GB2312" w:hAnsi="仿宋_GB2312" w:eastAsia="仿宋_GB2312" w:cs="仿宋_GB2312"/>
          <w:color w:val="auto"/>
          <w:sz w:val="32"/>
          <w:szCs w:val="32"/>
        </w:rPr>
        <w:t>“三农”工作的方针政策，决策部署和区委有关工作要求，在履行职责过程中坚持和加强党对“三农”工作</w:t>
      </w:r>
      <w:r>
        <w:rPr>
          <w:rFonts w:hint="eastAsia" w:ascii="仿宋_GB2312" w:hAnsi="仿宋_GB2312" w:eastAsia="仿宋_GB2312" w:cs="仿宋_GB2312"/>
          <w:b/>
          <w:bCs/>
          <w:color w:val="auto"/>
          <w:sz w:val="32"/>
          <w:szCs w:val="32"/>
          <w:u w:val="single"/>
        </w:rPr>
        <w:t>的</w:t>
      </w:r>
      <w:r>
        <w:rPr>
          <w:rFonts w:hint="eastAsia" w:ascii="仿宋_GB2312" w:hAnsi="仿宋_GB2312" w:eastAsia="仿宋_GB2312" w:cs="仿宋_GB2312"/>
          <w:color w:val="auto"/>
          <w:sz w:val="32"/>
          <w:szCs w:val="32"/>
        </w:rPr>
        <w:t>集中统一领导。</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区委农工委主要职责是：</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（一）贯彻落实</w:t>
      </w:r>
      <w:r>
        <w:rPr>
          <w:rFonts w:hint="eastAsia" w:ascii="仿宋_GB2312" w:hAnsi="黑体" w:eastAsia="仿宋_GB2312" w:cs="方正小标宋_GBK"/>
          <w:b/>
          <w:bCs/>
          <w:color w:val="auto"/>
          <w:sz w:val="32"/>
          <w:szCs w:val="32"/>
          <w:u w:val="single"/>
        </w:rPr>
        <w:t>党</w:t>
      </w:r>
      <w:r>
        <w:rPr>
          <w:rFonts w:hint="eastAsia" w:ascii="仿宋_GB2312" w:hAnsi="仿宋_GB2312" w:eastAsia="仿宋_GB2312" w:cs="仿宋_GB2312"/>
          <w:color w:val="auto"/>
          <w:sz w:val="32"/>
          <w:szCs w:val="32"/>
        </w:rPr>
        <w:t>中央关于“三农”工作的方针政策、决策部署和市委、区委有关工作要求，统筹研究和组织实施本区“三农”工作的发展战略、中长期规划、重大政策。</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（二）负责实施</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乡村振兴战略的宣传工作。协调指导乡村文化振兴、培育文明乡风，推进农村精神文明建设及优秀农耕文化建设。协调指导农村形势和政策教育工作。指导农村宣传报道。负责农工委系统的宣传、思想和意识形态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农业农村、农工委系统党的基层组织建设和党员队伍建设。协助做好农工委系统区委管理干部的日常管理工作。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农业农村人才工作。拟订农业农村人才队伍建设规划并组织实施，指导农业教育和农业职业技能开发，指导新型职业农民培育、农业科技人才培养和农村实用人才培训工作。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（五）协调推进</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乡村治理体系和能力建设，协调指导农村基层民主政治建设。负责农工委系统安全稳定工作，配合有关部门协调指导农村社会治安综合治理和维护社会稳定工作。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农工委系统落实全面从严治党主体责任、党风廉政建设主体责任。</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农工委系统统战和群团工作，指导农工委系统离退休干部的管理与服务工作。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（八）完成区委交办的其他任务。</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区农业农村局主要职责是：</w:t>
      </w:r>
    </w:p>
    <w:p>
      <w:pPr>
        <w:numPr>
          <w:ilvl w:val="0"/>
          <w:numId w:val="1"/>
        </w:num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执行国家关于“三农”工作的发展战略、中长期规划、重大政策及有关法律法规、规章。落实本市农业农村有关地方性法规、政府规章，并组织实施。协调推进涉农的价格、收储、金融保险等政策落实。指导农业综合执法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（二）统筹推动发展</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 xml:space="preserve">农村社会事业、农村公共服务、农村文化、农村基础设施。牵头组织改善农村人居环境相关工作。参与编制、修订村镇建设规划，协调推进村镇建设。指导传统村落保护发展工作。统筹协调农民增收和低收入农户帮扶工作。组织农业资源区划工作，指导农业区域协调发展。 </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农村合作经济经营管理工作。贯彻落实深化农村经济体制改革和巩固完善农村基本经营制度的政策。负责农民承包地、农村宅基地改革并指导相关管理工作。负责农村集体产权制度改革，指导农村集体经济组织发展和集体资产管理工作。指导农民合作经济组织、农业社会化服务体系、新型农业经营主体建设与发展。</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（四）指导</w:t>
      </w:r>
      <w:r>
        <w:rPr>
          <w:rFonts w:hint="eastAsia" w:ascii="仿宋_GB2312" w:hAnsi="黑体" w:eastAsia="仿宋_GB2312" w:cs="方正小标宋_GBK"/>
          <w:b/>
          <w:bCs/>
          <w:color w:val="auto"/>
          <w:sz w:val="32"/>
          <w:szCs w:val="32"/>
          <w:u w:val="single"/>
        </w:rPr>
        <w:t>本区</w:t>
      </w:r>
      <w:r>
        <w:rPr>
          <w:rFonts w:hint="eastAsia" w:ascii="仿宋_GB2312" w:hAnsi="仿宋_GB2312" w:eastAsia="仿宋_GB2312" w:cs="仿宋_GB2312"/>
          <w:color w:val="auto"/>
          <w:sz w:val="32"/>
          <w:szCs w:val="32"/>
        </w:rPr>
        <w:t>乡村特色产业、农产品加工业和休闲农业发展工作。会同有关部门，统筹推进农村一二三产业融合发展，推动农村产业结构转型优化升级。负责农业产业化的组织协调工作。组织指导农产品流通工作，研究提出相关政策建议。培育、保护农业品牌。承担主要农产品市场供应信息和价格信息的采集、分析等工作。负责农村经济统计和农业农村信息化有关工作。负责特需农产品供应的组织协调和监督管理。</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（五）组织构建本区现代农业产业体系、生产体系、经营体系。负责推动种植业、畜牧业、渔业、农业机械化等</w:t>
      </w:r>
      <w:r>
        <w:rPr>
          <w:rFonts w:hint="eastAsia" w:ascii="仿宋_GB2312" w:hAnsi="仿宋_GB2312" w:eastAsia="仿宋_GB2312" w:cs="仿宋_GB2312"/>
          <w:b/>
          <w:bCs/>
          <w:color w:val="auto"/>
          <w:sz w:val="32"/>
          <w:szCs w:val="32"/>
          <w:u w:val="single"/>
        </w:rPr>
        <w:t>农业</w:t>
      </w:r>
      <w:r>
        <w:rPr>
          <w:rFonts w:hint="eastAsia" w:ascii="仿宋_GB2312" w:hAnsi="仿宋_GB2312" w:eastAsia="仿宋_GB2312" w:cs="仿宋_GB2312"/>
          <w:color w:val="auto"/>
          <w:sz w:val="32"/>
          <w:szCs w:val="32"/>
        </w:rPr>
        <w:t>各行业发展和监督管理。指导农产品生产，依法负责农业行业安全生产工作。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食用农产品从种植养殖环节到进入批发、零售市场或者生产加工企业前质量安全监督管理。负责组织开展农产品质量安全监测、追溯。指导农业</w:t>
      </w:r>
      <w:r>
        <w:rPr>
          <w:rFonts w:hint="eastAsia" w:ascii="仿宋_GB2312" w:hAnsi="仿宋_GB2312" w:eastAsia="仿宋_GB2312" w:cs="仿宋_GB2312"/>
          <w:b/>
          <w:bCs/>
          <w:color w:val="auto"/>
          <w:sz w:val="32"/>
          <w:szCs w:val="32"/>
          <w:u w:val="single"/>
        </w:rPr>
        <w:t>检验检测</w:t>
      </w:r>
      <w:r>
        <w:rPr>
          <w:rFonts w:hint="eastAsia" w:ascii="仿宋_GB2312" w:hAnsi="仿宋_GB2312" w:eastAsia="仿宋_GB2312" w:cs="仿宋_GB2312"/>
          <w:color w:val="auto"/>
          <w:sz w:val="32"/>
          <w:szCs w:val="32"/>
        </w:rPr>
        <w:t>体系建设。依法管理农业产业、农产品质量安全等方面的标准化工作，贯彻落实相关地方标准组织实施和监督检查。</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（七）指导</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基本农田、渔业水域以及农业生物物种资源保护与管理工作，负责水生野生动植物保护、耕地及永久基本农田质量保护工作。指导农产品产地环境管理和农业清洁生产。指导设施农业、生态循环农业、节水农业发展以及农村可再生能源综合开发利用。承担湿地保护相关管理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有关农业生产资料和农业投入品的监督管理。组织实施农业生产资料、兽药质量、兽药残留限量和残留检测方法等方面的国家标准。组织兽医医政、兽药药政药检工作。负责动物诊疗和畜禽屠宰行业管理。</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农业防灾减灾、农作物重大病虫害防治工作。负责动植物疫病防控的管理工作，承担密云区重大动植物疫情应急指挥部的具体工作。监测、发布农业灾情，组织种子、化肥等救灾物资储备和调拨，提出生产救灾资金安排建议，指导紧急救灾和灾后生产恢复。</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（十）负责</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农业投资管理。提出农业</w:t>
      </w:r>
      <w:r>
        <w:rPr>
          <w:rFonts w:hint="eastAsia" w:ascii="仿宋_GB2312" w:hAnsi="仿宋_GB2312" w:eastAsia="仿宋_GB2312" w:cs="仿宋_GB2312"/>
          <w:b/>
          <w:bCs/>
          <w:color w:val="auto"/>
          <w:sz w:val="32"/>
          <w:szCs w:val="32"/>
          <w:u w:val="single"/>
        </w:rPr>
        <w:t>投资融资</w:t>
      </w:r>
      <w:r>
        <w:rPr>
          <w:rFonts w:hint="eastAsia" w:ascii="仿宋_GB2312" w:hAnsi="仿宋_GB2312" w:eastAsia="仿宋_GB2312" w:cs="仿宋_GB2312"/>
          <w:color w:val="auto"/>
          <w:sz w:val="32"/>
          <w:szCs w:val="32"/>
        </w:rPr>
        <w:t>体制机制改革建议。编制区级投资安排的农业投资项目建设规划，提出农业投资规模和方向、扶持农业农村发展财政项目的建议，按照权限审批农业投资项目，负责农业投资项目资金安排和监督管理。负责农业综合开发项目、农田整治项目、农田水利建设项目管理。组织拟定财政支农资金计划安排，并协调相关政策的落实。协调推进政策性农业保险工作。协调指导农村金融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（十一）推动</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农业科技体制改革和农业科技创新体系建设。推进农业产业技术体系、农技推广体系和新型职业农民培育体系建设，组织开展农业领域的高新技术和应用技术研究、科技成果转化和技术推广。负责农业转基因生物安全监督管理和农业植物新品种保护。承担农业农村对外交流与合作相关工作。</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（十二）研究拟订本区山区发展规划和年度指导性计划。配合有关部门组织山区建设项目的实施。指导山区农民搬迁、生态沟域建设等工作。配合相关部门研究制定生态涵养区保护、发展规划和生态补偿机制。</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（十三）完成区委、区政府交办的其他任务。</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（十四）职能转变。</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1.统筹实施乡村振兴战略，深化农业供给侧结构性改革，提升农业发展质量，扎实推进美丽乡村建设，推动农业全面升级、农村全面进步、农民全面发展，加快实现农业农村现代化。</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2.加强农产品质量安全和相关农业生产资料、农业投入品的监督管理，坚持最严谨的标准、最严格的监管、最严厉的处罚、最严肃的问责，严防、严管、严控质量安全风险，让人民群众吃得放心、安心。</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3.深入推进简政放权，加强对行业内交叉重复以及性质相同、用途相近的农业投资项目的统筹整合，最大限度缩小项目审批范围，进一步下放审批权限，加强事中事后监管，切实提升</w:t>
      </w:r>
      <w:r>
        <w:rPr>
          <w:rFonts w:hint="eastAsia" w:ascii="仿宋_GB2312" w:hAnsi="仿宋_GB2312" w:eastAsia="仿宋_GB2312" w:cs="仿宋_GB2312"/>
          <w:b/>
          <w:bCs/>
          <w:color w:val="auto"/>
          <w:sz w:val="32"/>
          <w:szCs w:val="32"/>
          <w:u w:val="single"/>
        </w:rPr>
        <w:t>本区</w:t>
      </w:r>
      <w:r>
        <w:rPr>
          <w:rFonts w:hint="eastAsia" w:ascii="仿宋_GB2312" w:hAnsi="仿宋_GB2312" w:eastAsia="仿宋_GB2312" w:cs="仿宋_GB2312"/>
          <w:color w:val="auto"/>
          <w:sz w:val="32"/>
          <w:szCs w:val="32"/>
        </w:rPr>
        <w:t>支农政策效果和资金使用效益。</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（十五）与区市场监管局有关职责分工。</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1.区农业农村局负责食用农产品从种植养殖环节到进入批发、零售市场或者生产加工企业前的质量安全监督管理。食用农产品进入批发、零售市场或者生产加工企业后，由区市场监管局监督管理。</w:t>
      </w:r>
    </w:p>
    <w:p>
      <w:pPr>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2.区农业农村局负责动植物疫病防控、畜禽屠宰环节、生鲜乳收购环节质量安全的监督管理。</w:t>
      </w:r>
    </w:p>
    <w:p>
      <w:pPr>
        <w:spacing w:line="540" w:lineRule="exact"/>
        <w:ind w:firstLine="640" w:firstLineChars="200"/>
        <w:rPr>
          <w:rFonts w:hint="eastAsia" w:ascii="仿宋_GB2312" w:hAnsi="黑体" w:eastAsia="仿宋_GB2312" w:cs="方正小标宋_GBK"/>
          <w:color w:val="auto"/>
          <w:sz w:val="32"/>
          <w:szCs w:val="32"/>
        </w:rPr>
      </w:pPr>
      <w:r>
        <w:rPr>
          <w:rFonts w:hint="eastAsia" w:ascii="仿宋_GB2312" w:hAnsi="仿宋_GB2312" w:eastAsia="仿宋_GB2312" w:cs="仿宋_GB2312"/>
          <w:color w:val="auto"/>
          <w:sz w:val="32"/>
          <w:szCs w:val="32"/>
        </w:rPr>
        <w:t>3.两部门要建立食品安全</w:t>
      </w:r>
      <w:r>
        <w:rPr>
          <w:rFonts w:hint="eastAsia" w:ascii="仿宋_GB2312" w:hAnsi="仿宋_GB2312" w:eastAsia="仿宋_GB2312" w:cs="仿宋_GB2312"/>
          <w:b/>
          <w:bCs/>
          <w:color w:val="auto"/>
          <w:sz w:val="32"/>
          <w:szCs w:val="32"/>
          <w:u w:val="single"/>
        </w:rPr>
        <w:t>产地</w:t>
      </w:r>
      <w:r>
        <w:rPr>
          <w:rFonts w:hint="eastAsia" w:ascii="仿宋_GB2312" w:hAnsi="仿宋_GB2312" w:eastAsia="仿宋_GB2312" w:cs="仿宋_GB2312"/>
          <w:color w:val="auto"/>
          <w:sz w:val="32"/>
          <w:szCs w:val="32"/>
        </w:rPr>
        <w:t>准出、市场准入和追溯机制，加强协调配合和工作衔接，形成监管合力。</w:t>
      </w:r>
      <w:r>
        <w:rPr>
          <w:rFonts w:hint="eastAsia" w:ascii="仿宋_GB2312" w:hAnsi="黑体" w:eastAsia="仿宋_GB2312" w:cs="方正小标宋_GBK"/>
          <w:color w:val="auto"/>
          <w:sz w:val="32"/>
          <w:szCs w:val="32"/>
        </w:rPr>
        <w:t xml:space="preserve"> </w:t>
      </w:r>
    </w:p>
    <w:p>
      <w:pPr>
        <w:pStyle w:val="15"/>
        <w:keepNext w:val="0"/>
        <w:keepLines w:val="0"/>
        <w:pageBreakBefore w:val="0"/>
        <w:kinsoku/>
        <w:wordWrap/>
        <w:overflowPunct/>
        <w:topLinePunct w:val="0"/>
        <w:autoSpaceDE/>
        <w:autoSpaceDN/>
        <w:bidi w:val="0"/>
        <w:adjustRightInd/>
        <w:snapToGrid/>
        <w:spacing w:after="0" w:line="560" w:lineRule="exact"/>
        <w:ind w:left="0" w:leftChars="0" w:firstLine="320" w:firstLineChars="100"/>
        <w:textAlignment w:val="auto"/>
        <w:rPr>
          <w:rFonts w:hint="eastAsia" w:ascii="仿宋" w:hAnsi="仿宋" w:eastAsia="仿宋" w:cs="仿宋"/>
          <w:b w:val="0"/>
          <w:bCs w:val="0"/>
          <w:color w:val="auto"/>
          <w:kern w:val="2"/>
          <w:sz w:val="32"/>
          <w:szCs w:val="32"/>
          <w:lang w:val="en-US" w:eastAsia="zh-CN" w:bidi="ar-SA"/>
        </w:rPr>
      </w:pPr>
      <w:r>
        <w:rPr>
          <w:rFonts w:hint="eastAsia" w:ascii="仿宋_GB2312" w:hAnsi="黑体" w:eastAsia="仿宋_GB2312" w:cs="方正小标宋_GBK"/>
          <w:color w:val="auto"/>
          <w:sz w:val="32"/>
          <w:szCs w:val="32"/>
        </w:rPr>
        <w:t xml:space="preserve"> </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．机构情况，</w:t>
      </w:r>
      <w:r>
        <w:rPr>
          <w:rFonts w:hint="eastAsia" w:ascii="仿宋_GB2312" w:hAnsi="仿宋" w:eastAsia="仿宋_GB2312"/>
          <w:color w:val="auto"/>
          <w:sz w:val="32"/>
          <w:szCs w:val="32"/>
          <w:lang w:eastAsia="zh-CN"/>
        </w:rPr>
        <w:t>密云区</w:t>
      </w:r>
      <w:r>
        <w:rPr>
          <w:rFonts w:hint="eastAsia" w:ascii="仿宋_GB2312" w:hAnsi="仿宋" w:eastAsia="仿宋_GB2312"/>
          <w:color w:val="auto"/>
          <w:sz w:val="32"/>
          <w:szCs w:val="32"/>
          <w:lang w:val="en-US" w:eastAsia="zh-CN"/>
        </w:rPr>
        <w:t>农业农村局</w:t>
      </w:r>
      <w:r>
        <w:rPr>
          <w:rFonts w:hint="eastAsia" w:ascii="仿宋_GB2312" w:hAnsi="仿宋" w:eastAsia="仿宋_GB2312"/>
          <w:color w:val="auto"/>
          <w:sz w:val="32"/>
          <w:szCs w:val="32"/>
          <w:lang w:eastAsia="zh-CN"/>
        </w:rPr>
        <w:t>属于一级预算单位，共有</w:t>
      </w:r>
      <w:r>
        <w:rPr>
          <w:rFonts w:hint="eastAsia" w:ascii="仿宋_GB2312" w:hAnsi="仿宋" w:eastAsia="仿宋_GB2312"/>
          <w:color w:val="auto"/>
          <w:sz w:val="32"/>
          <w:szCs w:val="32"/>
          <w:lang w:val="en-US" w:eastAsia="zh-CN"/>
        </w:rPr>
        <w:t>11个科室，</w:t>
      </w:r>
      <w:r>
        <w:rPr>
          <w:rFonts w:hint="eastAsia" w:ascii="仿宋_GB2312" w:eastAsia="仿宋_GB2312"/>
          <w:color w:val="auto"/>
          <w:sz w:val="32"/>
          <w:szCs w:val="32"/>
        </w:rPr>
        <w:t>内设科室有：</w:t>
      </w:r>
      <w:r>
        <w:rPr>
          <w:rFonts w:hint="eastAsia" w:ascii="仿宋" w:hAnsi="仿宋" w:eastAsia="仿宋" w:cs="仿宋"/>
          <w:b w:val="0"/>
          <w:bCs w:val="0"/>
          <w:color w:val="auto"/>
          <w:sz w:val="32"/>
          <w:szCs w:val="32"/>
          <w:lang w:eastAsia="zh-CN"/>
        </w:rPr>
        <w:t>财务预算中心</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kern w:val="2"/>
          <w:sz w:val="32"/>
          <w:szCs w:val="32"/>
          <w:lang w:val="en-US" w:eastAsia="zh-CN" w:bidi="ar-SA"/>
        </w:rPr>
        <w:t>农村党建服务中心、农村文明实践中心、乡村政策研究与绩效考评中心、安全生产中心、农业农村大数据发展服务中心、农业产业化服务中心、农村生态建设服务中心、美丽乡村建设中心、乡村振兴建设服务中心、农民专业合作社服务中心。</w:t>
      </w:r>
    </w:p>
    <w:p>
      <w:pPr>
        <w:spacing w:line="600" w:lineRule="exact"/>
        <w:ind w:firstLine="640" w:firstLineChars="200"/>
        <w:rPr>
          <w:rFonts w:hint="eastAsia" w:ascii="楷体_GB2312" w:eastAsia="楷体_GB2312"/>
          <w:color w:val="auto"/>
          <w:sz w:val="32"/>
          <w:szCs w:val="32"/>
        </w:rPr>
      </w:pPr>
      <w:r>
        <w:rPr>
          <w:rFonts w:hint="eastAsia" w:ascii="楷体_GB2312" w:eastAsia="楷体_GB2312"/>
          <w:color w:val="auto"/>
          <w:sz w:val="32"/>
          <w:szCs w:val="32"/>
        </w:rPr>
        <w:t>（二）部门整体绩效目标设立情况（包括绩效目标设立依据、目标</w:t>
      </w:r>
      <w:r>
        <w:rPr>
          <w:rFonts w:ascii="楷体_GB2312" w:eastAsia="楷体_GB2312"/>
          <w:color w:val="auto"/>
          <w:sz w:val="32"/>
          <w:szCs w:val="32"/>
        </w:rPr>
        <w:t>与</w:t>
      </w:r>
      <w:r>
        <w:rPr>
          <w:rFonts w:hint="eastAsia" w:ascii="楷体_GB2312" w:eastAsia="楷体_GB2312"/>
          <w:color w:val="auto"/>
          <w:sz w:val="32"/>
          <w:szCs w:val="32"/>
        </w:rPr>
        <w:t>职责任务匹配情况、目标合理性等）。</w:t>
      </w:r>
    </w:p>
    <w:p>
      <w:pPr>
        <w:pStyle w:val="7"/>
        <w:rPr>
          <w:color w:val="auto"/>
        </w:rPr>
      </w:pPr>
    </w:p>
    <w:p>
      <w:pPr>
        <w:spacing w:line="600" w:lineRule="exact"/>
        <w:ind w:firstLine="640" w:firstLineChars="200"/>
        <w:rPr>
          <w:rFonts w:ascii="黑体" w:hAnsi="黑体" w:eastAsia="黑体" w:cs="宋体"/>
          <w:color w:val="auto"/>
          <w:kern w:val="0"/>
          <w:sz w:val="32"/>
          <w:szCs w:val="32"/>
        </w:rPr>
      </w:pPr>
      <w:r>
        <w:rPr>
          <w:rFonts w:hint="eastAsia" w:ascii="黑体" w:hAnsi="黑体" w:eastAsia="黑体" w:cs="宋体"/>
          <w:color w:val="auto"/>
          <w:kern w:val="0"/>
          <w:sz w:val="32"/>
          <w:szCs w:val="32"/>
        </w:rPr>
        <w:t>二</w:t>
      </w:r>
      <w:r>
        <w:rPr>
          <w:rFonts w:ascii="黑体" w:hAnsi="黑体" w:eastAsia="黑体" w:cs="宋体"/>
          <w:color w:val="auto"/>
          <w:kern w:val="0"/>
          <w:sz w:val="32"/>
          <w:szCs w:val="32"/>
        </w:rPr>
        <w:t>、</w:t>
      </w:r>
      <w:r>
        <w:rPr>
          <w:rFonts w:hint="eastAsia" w:ascii="黑体" w:hAnsi="黑体" w:eastAsia="黑体" w:cs="宋体"/>
          <w:color w:val="auto"/>
          <w:kern w:val="0"/>
          <w:sz w:val="32"/>
          <w:szCs w:val="32"/>
        </w:rPr>
        <w:t>当年</w:t>
      </w:r>
      <w:r>
        <w:rPr>
          <w:rFonts w:ascii="黑体" w:hAnsi="黑体" w:eastAsia="黑体" w:cs="宋体"/>
          <w:color w:val="auto"/>
          <w:kern w:val="0"/>
          <w:sz w:val="32"/>
          <w:szCs w:val="32"/>
        </w:rPr>
        <w:t>预算执行情况</w:t>
      </w:r>
    </w:p>
    <w:p>
      <w:pPr>
        <w:spacing w:line="60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年</w:t>
      </w:r>
      <w:r>
        <w:rPr>
          <w:rFonts w:ascii="仿宋_GB2312" w:hAnsi="宋体" w:eastAsia="仿宋_GB2312" w:cs="宋体"/>
          <w:color w:val="auto"/>
          <w:kern w:val="0"/>
          <w:sz w:val="32"/>
          <w:szCs w:val="32"/>
        </w:rPr>
        <w:t>全年</w:t>
      </w:r>
      <w:r>
        <w:rPr>
          <w:rFonts w:hint="eastAsia" w:ascii="仿宋_GB2312" w:hAnsi="宋体" w:eastAsia="仿宋_GB2312" w:cs="宋体"/>
          <w:color w:val="auto"/>
          <w:kern w:val="0"/>
          <w:sz w:val="32"/>
          <w:szCs w:val="32"/>
        </w:rPr>
        <w:t>预算数40326</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45万元</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其中</w:t>
      </w:r>
      <w:r>
        <w:rPr>
          <w:rFonts w:ascii="仿宋_GB2312" w:hAnsi="宋体" w:eastAsia="仿宋_GB2312" w:cs="宋体"/>
          <w:color w:val="auto"/>
          <w:kern w:val="0"/>
          <w:sz w:val="32"/>
          <w:szCs w:val="32"/>
        </w:rPr>
        <w:t>，基本</w:t>
      </w:r>
      <w:r>
        <w:rPr>
          <w:rFonts w:hint="eastAsia" w:ascii="仿宋_GB2312" w:hAnsi="宋体" w:eastAsia="仿宋_GB2312" w:cs="宋体"/>
          <w:color w:val="auto"/>
          <w:kern w:val="0"/>
          <w:sz w:val="32"/>
          <w:szCs w:val="32"/>
        </w:rPr>
        <w:t>支出</w:t>
      </w:r>
      <w:r>
        <w:rPr>
          <w:rFonts w:ascii="仿宋_GB2312" w:hAnsi="宋体" w:eastAsia="仿宋_GB2312" w:cs="宋体"/>
          <w:color w:val="auto"/>
          <w:kern w:val="0"/>
          <w:sz w:val="32"/>
          <w:szCs w:val="32"/>
        </w:rPr>
        <w:t>预算数</w:t>
      </w:r>
      <w:r>
        <w:rPr>
          <w:rFonts w:hint="eastAsia" w:ascii="仿宋_GB2312" w:hAnsi="宋体" w:eastAsia="仿宋_GB2312" w:cs="宋体"/>
          <w:color w:val="auto"/>
          <w:kern w:val="0"/>
          <w:sz w:val="32"/>
          <w:szCs w:val="32"/>
        </w:rPr>
        <w:t>3422</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lang w:val="en-US" w:eastAsia="zh-CN"/>
        </w:rPr>
        <w:t>2</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项目支出预算数36903</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6</w:t>
      </w:r>
      <w:r>
        <w:rPr>
          <w:rFonts w:hint="eastAsia" w:ascii="仿宋_GB2312" w:hAnsi="宋体" w:eastAsia="仿宋_GB2312" w:cs="宋体"/>
          <w:color w:val="auto"/>
          <w:kern w:val="0"/>
          <w:sz w:val="32"/>
          <w:szCs w:val="32"/>
          <w:lang w:val="en-US" w:eastAsia="zh-CN"/>
        </w:rPr>
        <w:t>3</w:t>
      </w:r>
      <w:r>
        <w:rPr>
          <w:rFonts w:ascii="仿宋_GB2312" w:hAnsi="宋体" w:eastAsia="仿宋_GB2312" w:cs="宋体"/>
          <w:color w:val="auto"/>
          <w:kern w:val="0"/>
          <w:sz w:val="32"/>
          <w:szCs w:val="32"/>
        </w:rPr>
        <w:t>万元，其他支出</w:t>
      </w:r>
      <w:r>
        <w:rPr>
          <w:rFonts w:hint="eastAsia" w:ascii="仿宋_GB2312" w:hAnsi="宋体" w:eastAsia="仿宋_GB2312" w:cs="宋体"/>
          <w:color w:val="auto"/>
          <w:kern w:val="0"/>
          <w:sz w:val="32"/>
          <w:szCs w:val="32"/>
        </w:rPr>
        <w:t>预算数</w:t>
      </w:r>
      <w:r>
        <w:rPr>
          <w:rFonts w:hint="eastAsia" w:ascii="仿宋_GB2312" w:hAnsi="宋体" w:eastAsia="仿宋_GB2312" w:cs="宋体"/>
          <w:color w:val="auto"/>
          <w:kern w:val="0"/>
          <w:sz w:val="32"/>
          <w:szCs w:val="32"/>
          <w:lang w:val="en-US" w:eastAsia="zh-CN"/>
        </w:rPr>
        <w:t>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资金总体</w:t>
      </w:r>
      <w:r>
        <w:rPr>
          <w:rFonts w:hint="eastAsia" w:ascii="仿宋_GB2312" w:hAnsi="宋体" w:eastAsia="仿宋_GB2312" w:cs="宋体"/>
          <w:color w:val="auto"/>
          <w:kern w:val="0"/>
          <w:sz w:val="32"/>
          <w:szCs w:val="32"/>
        </w:rPr>
        <w:t>支出52288</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lang w:val="en-US" w:eastAsia="zh-CN"/>
        </w:rPr>
        <w:t>7</w:t>
      </w:r>
      <w:r>
        <w:rPr>
          <w:rFonts w:ascii="仿宋_GB2312" w:hAnsi="宋体" w:eastAsia="仿宋_GB2312" w:cs="宋体"/>
          <w:color w:val="auto"/>
          <w:kern w:val="0"/>
          <w:sz w:val="32"/>
          <w:szCs w:val="32"/>
        </w:rPr>
        <w:t>万元，其中，基本支出</w:t>
      </w:r>
      <w:r>
        <w:rPr>
          <w:rFonts w:hint="eastAsia" w:ascii="仿宋_GB2312" w:hAnsi="宋体" w:eastAsia="仿宋_GB2312" w:cs="宋体"/>
          <w:color w:val="auto"/>
          <w:kern w:val="0"/>
          <w:sz w:val="32"/>
          <w:szCs w:val="32"/>
        </w:rPr>
        <w:t>4179</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93</w:t>
      </w:r>
      <w:r>
        <w:rPr>
          <w:rFonts w:ascii="仿宋_GB2312" w:hAnsi="宋体" w:eastAsia="仿宋_GB2312" w:cs="宋体"/>
          <w:color w:val="auto"/>
          <w:kern w:val="0"/>
          <w:sz w:val="32"/>
          <w:szCs w:val="32"/>
        </w:rPr>
        <w:t>万元，项目</w:t>
      </w:r>
      <w:r>
        <w:rPr>
          <w:rFonts w:hint="eastAsia" w:ascii="仿宋_GB2312" w:hAnsi="宋体" w:eastAsia="仿宋_GB2312" w:cs="宋体"/>
          <w:color w:val="auto"/>
          <w:kern w:val="0"/>
          <w:sz w:val="32"/>
          <w:szCs w:val="32"/>
        </w:rPr>
        <w:t>支出48108</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9</w:t>
      </w:r>
      <w:r>
        <w:rPr>
          <w:rFonts w:hint="eastAsia" w:ascii="仿宋_GB2312" w:hAnsi="宋体" w:eastAsia="仿宋_GB2312" w:cs="宋体"/>
          <w:color w:val="auto"/>
          <w:kern w:val="0"/>
          <w:sz w:val="32"/>
          <w:szCs w:val="32"/>
          <w:lang w:val="en-US" w:eastAsia="zh-CN"/>
        </w:rPr>
        <w:t>4</w:t>
      </w:r>
      <w:r>
        <w:rPr>
          <w:rFonts w:ascii="仿宋_GB2312" w:hAnsi="宋体" w:eastAsia="仿宋_GB2312" w:cs="宋体"/>
          <w:color w:val="auto"/>
          <w:kern w:val="0"/>
          <w:sz w:val="32"/>
          <w:szCs w:val="32"/>
        </w:rPr>
        <w:t>万元，其他支出</w:t>
      </w:r>
      <w:r>
        <w:rPr>
          <w:rFonts w:hint="eastAsia" w:ascii="仿宋_GB2312" w:hAnsi="宋体" w:eastAsia="仿宋_GB2312" w:cs="宋体"/>
          <w:color w:val="auto"/>
          <w:kern w:val="0"/>
          <w:sz w:val="32"/>
          <w:szCs w:val="32"/>
          <w:lang w:val="en-US" w:eastAsia="zh-CN"/>
        </w:rPr>
        <w:t>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预算</w:t>
      </w:r>
      <w:r>
        <w:rPr>
          <w:rFonts w:ascii="仿宋_GB2312" w:hAnsi="宋体" w:eastAsia="仿宋_GB2312" w:cs="宋体"/>
          <w:color w:val="auto"/>
          <w:kern w:val="0"/>
          <w:sz w:val="32"/>
          <w:szCs w:val="32"/>
        </w:rPr>
        <w:t>执行率为</w:t>
      </w:r>
      <w:r>
        <w:rPr>
          <w:rFonts w:hint="eastAsia" w:ascii="仿宋_GB2312" w:hAnsi="宋体" w:eastAsia="仿宋_GB2312" w:cs="宋体"/>
          <w:color w:val="auto"/>
          <w:kern w:val="0"/>
          <w:sz w:val="32"/>
          <w:szCs w:val="32"/>
          <w:lang w:val="en-US" w:eastAsia="zh-CN"/>
        </w:rPr>
        <w:t>129.66%</w:t>
      </w:r>
      <w:r>
        <w:rPr>
          <w:rFonts w:hint="eastAsia" w:ascii="仿宋_GB2312" w:hAnsi="宋体" w:eastAsia="仿宋_GB2312" w:cs="宋体"/>
          <w:color w:val="auto"/>
          <w:kern w:val="0"/>
          <w:sz w:val="32"/>
          <w:szCs w:val="32"/>
        </w:rPr>
        <w:t>。</w:t>
      </w:r>
    </w:p>
    <w:p>
      <w:pPr>
        <w:spacing w:line="600" w:lineRule="exact"/>
        <w:ind w:left="105" w:leftChars="50" w:firstLine="480" w:firstLineChars="150"/>
        <w:rPr>
          <w:rFonts w:ascii="黑体" w:hAnsi="黑体" w:eastAsia="黑体" w:cs="宋体"/>
          <w:color w:val="auto"/>
          <w:kern w:val="0"/>
          <w:sz w:val="32"/>
          <w:szCs w:val="32"/>
        </w:rPr>
      </w:pPr>
      <w:r>
        <w:rPr>
          <w:rFonts w:hint="eastAsia" w:ascii="黑体" w:hAnsi="黑体" w:eastAsia="黑体" w:cs="宋体"/>
          <w:color w:val="auto"/>
          <w:kern w:val="0"/>
          <w:sz w:val="32"/>
          <w:szCs w:val="32"/>
        </w:rPr>
        <w:t>三</w:t>
      </w:r>
      <w:r>
        <w:rPr>
          <w:rFonts w:ascii="黑体" w:hAnsi="黑体" w:eastAsia="黑体" w:cs="宋体"/>
          <w:color w:val="auto"/>
          <w:kern w:val="0"/>
          <w:sz w:val="32"/>
          <w:szCs w:val="32"/>
        </w:rPr>
        <w:t>、整体绩效目标实现情况</w:t>
      </w:r>
    </w:p>
    <w:p>
      <w:pPr>
        <w:spacing w:line="600" w:lineRule="exact"/>
        <w:ind w:left="105" w:leftChars="50" w:firstLine="480" w:firstLineChars="150"/>
        <w:rPr>
          <w:rFonts w:ascii="楷体_GB2312" w:eastAsia="楷体_GB2312"/>
          <w:color w:val="auto"/>
          <w:sz w:val="32"/>
          <w:szCs w:val="32"/>
        </w:rPr>
      </w:pPr>
      <w:r>
        <w:rPr>
          <w:rFonts w:hint="eastAsia" w:ascii="楷体_GB2312" w:eastAsia="楷体_GB2312"/>
          <w:color w:val="auto"/>
          <w:sz w:val="32"/>
          <w:szCs w:val="32"/>
        </w:rPr>
        <w:t>（一）产出完成情况分析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hAnsi="宋体" w:eastAsia="仿宋_GB2312" w:cs="宋体"/>
          <w:color w:val="auto"/>
          <w:kern w:val="0"/>
          <w:sz w:val="32"/>
          <w:szCs w:val="32"/>
        </w:rPr>
        <w:t>1.产出数量</w:t>
      </w:r>
      <w:r>
        <w:rPr>
          <w:rFonts w:hint="eastAsia" w:ascii="仿宋_GB2312" w:hAnsi="宋体" w:eastAsia="仿宋_GB2312" w:cs="宋体"/>
          <w:color w:val="auto"/>
          <w:kern w:val="0"/>
          <w:sz w:val="32"/>
          <w:szCs w:val="32"/>
          <w:lang w:eastAsia="zh-CN"/>
        </w:rPr>
        <w:t>：</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年度本年支出合计</w:t>
      </w:r>
      <w:r>
        <w:rPr>
          <w:rFonts w:ascii="仿宋_GB2312" w:eastAsia="仿宋_GB2312"/>
          <w:color w:val="auto"/>
          <w:sz w:val="28"/>
          <w:szCs w:val="28"/>
        </w:rPr>
        <w:t>52334.18</w:t>
      </w:r>
      <w:r>
        <w:rPr>
          <w:rFonts w:hint="eastAsia" w:ascii="仿宋_GB2312" w:eastAsia="仿宋_GB2312"/>
          <w:color w:val="auto"/>
          <w:sz w:val="28"/>
          <w:szCs w:val="28"/>
        </w:rPr>
        <w:t>万元，</w:t>
      </w:r>
      <w:r>
        <w:rPr>
          <w:rFonts w:ascii="仿宋_GB2312" w:eastAsia="仿宋_GB2312"/>
          <w:color w:val="auto"/>
          <w:sz w:val="28"/>
          <w:szCs w:val="28"/>
        </w:rPr>
        <w:t>比上年</w:t>
      </w:r>
      <w:r>
        <w:rPr>
          <w:rFonts w:hint="eastAsia" w:ascii="仿宋_GB2312" w:eastAsia="仿宋_GB2312"/>
          <w:color w:val="auto"/>
          <w:sz w:val="28"/>
          <w:szCs w:val="28"/>
        </w:rPr>
        <w:t>34465</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4</w:t>
      </w:r>
      <w:r>
        <w:rPr>
          <w:rFonts w:hint="eastAsia" w:ascii="仿宋_GB2312" w:eastAsia="仿宋_GB2312"/>
          <w:color w:val="auto"/>
          <w:sz w:val="28"/>
          <w:szCs w:val="28"/>
          <w:lang w:val="en-US" w:eastAsia="zh-CN"/>
        </w:rPr>
        <w:t>万元</w:t>
      </w:r>
      <w:r>
        <w:rPr>
          <w:rFonts w:ascii="仿宋_GB2312" w:eastAsia="仿宋_GB2312"/>
          <w:color w:val="auto"/>
          <w:sz w:val="28"/>
          <w:szCs w:val="28"/>
        </w:rPr>
        <w:t>增加</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17868.78</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51.85</w:t>
      </w:r>
      <w:r>
        <w:rPr>
          <w:rFonts w:hint="eastAsia" w:ascii="仿宋_GB2312" w:eastAsia="仿宋_GB2312"/>
          <w:color w:val="auto"/>
          <w:sz w:val="28"/>
          <w:szCs w:val="28"/>
        </w:rPr>
        <w:t>%，其中：基本支出</w:t>
      </w:r>
      <w:r>
        <w:rPr>
          <w:rFonts w:ascii="仿宋_GB2312" w:eastAsia="仿宋_GB2312"/>
          <w:color w:val="auto"/>
          <w:sz w:val="28"/>
          <w:szCs w:val="28"/>
        </w:rPr>
        <w:t>4179.93</w:t>
      </w:r>
      <w:r>
        <w:rPr>
          <w:rFonts w:hint="eastAsia" w:ascii="仿宋_GB2312" w:eastAsia="仿宋_GB2312"/>
          <w:color w:val="auto"/>
          <w:sz w:val="28"/>
          <w:szCs w:val="28"/>
        </w:rPr>
        <w:t>万元，占支出合计的</w:t>
      </w:r>
      <w:r>
        <w:rPr>
          <w:rFonts w:ascii="仿宋_GB2312" w:eastAsia="仿宋_GB2312"/>
          <w:color w:val="auto"/>
          <w:sz w:val="28"/>
          <w:szCs w:val="28"/>
        </w:rPr>
        <w:t>7.98</w:t>
      </w:r>
      <w:r>
        <w:rPr>
          <w:rFonts w:hint="eastAsia" w:ascii="仿宋_GB2312" w:eastAsia="仿宋_GB2312"/>
          <w:color w:val="auto"/>
          <w:sz w:val="28"/>
          <w:szCs w:val="28"/>
        </w:rPr>
        <w:t>%；项目支出</w:t>
      </w:r>
      <w:r>
        <w:rPr>
          <w:rFonts w:ascii="仿宋_GB2312" w:eastAsia="仿宋_GB2312"/>
          <w:color w:val="auto"/>
          <w:sz w:val="28"/>
          <w:szCs w:val="28"/>
        </w:rPr>
        <w:t>48154.25</w:t>
      </w:r>
      <w:r>
        <w:rPr>
          <w:rFonts w:hint="eastAsia" w:ascii="仿宋_GB2312" w:eastAsia="仿宋_GB2312"/>
          <w:color w:val="auto"/>
          <w:sz w:val="28"/>
          <w:szCs w:val="28"/>
        </w:rPr>
        <w:t>万元，占支出合计的</w:t>
      </w:r>
      <w:r>
        <w:rPr>
          <w:rFonts w:ascii="仿宋_GB2312" w:eastAsia="仿宋_GB2312"/>
          <w:color w:val="auto"/>
          <w:sz w:val="28"/>
          <w:szCs w:val="28"/>
        </w:rPr>
        <w:t>92.01</w:t>
      </w:r>
      <w:r>
        <w:rPr>
          <w:rFonts w:hint="eastAsia" w:ascii="仿宋_GB2312" w:eastAsia="仿宋_GB2312"/>
          <w:color w:val="auto"/>
          <w:sz w:val="28"/>
          <w:szCs w:val="28"/>
        </w:rPr>
        <w:t>%;上缴上级支出</w:t>
      </w:r>
      <w:r>
        <w:rPr>
          <w:rFonts w:ascii="仿宋_GB2312" w:eastAsia="仿宋_GB2312"/>
          <w:color w:val="auto"/>
          <w:sz w:val="28"/>
          <w:szCs w:val="28"/>
        </w:rPr>
        <w:t>0</w:t>
      </w:r>
      <w:r>
        <w:rPr>
          <w:rFonts w:hint="eastAsia" w:ascii="仿宋_GB2312" w:eastAsia="仿宋_GB2312"/>
          <w:color w:val="auto"/>
          <w:sz w:val="28"/>
          <w:szCs w:val="28"/>
        </w:rPr>
        <w:t>万元，占支出合计的</w:t>
      </w:r>
      <w:r>
        <w:rPr>
          <w:rFonts w:ascii="仿宋_GB2312" w:eastAsia="仿宋_GB2312"/>
          <w:color w:val="auto"/>
          <w:sz w:val="28"/>
          <w:szCs w:val="28"/>
        </w:rPr>
        <w:t>0</w:t>
      </w:r>
      <w:r>
        <w:rPr>
          <w:rFonts w:hint="eastAsia" w:ascii="仿宋_GB2312" w:eastAsia="仿宋_GB2312"/>
          <w:color w:val="auto"/>
          <w:sz w:val="28"/>
          <w:szCs w:val="28"/>
        </w:rPr>
        <w:t>%；经营支出</w:t>
      </w:r>
      <w:r>
        <w:rPr>
          <w:rFonts w:ascii="仿宋_GB2312" w:eastAsia="仿宋_GB2312"/>
          <w:color w:val="auto"/>
          <w:sz w:val="28"/>
          <w:szCs w:val="28"/>
        </w:rPr>
        <w:t>0</w:t>
      </w:r>
      <w:r>
        <w:rPr>
          <w:rFonts w:hint="eastAsia" w:ascii="仿宋_GB2312" w:eastAsia="仿宋_GB2312"/>
          <w:color w:val="auto"/>
          <w:sz w:val="28"/>
          <w:szCs w:val="28"/>
        </w:rPr>
        <w:t>万元，占支出合计的</w:t>
      </w:r>
      <w:r>
        <w:rPr>
          <w:rFonts w:ascii="仿宋_GB2312" w:eastAsia="仿宋_GB2312"/>
          <w:color w:val="auto"/>
          <w:sz w:val="28"/>
          <w:szCs w:val="28"/>
        </w:rPr>
        <w:t>0</w:t>
      </w:r>
      <w:r>
        <w:rPr>
          <w:rFonts w:hint="eastAsia" w:ascii="仿宋_GB2312" w:eastAsia="仿宋_GB2312"/>
          <w:color w:val="auto"/>
          <w:sz w:val="28"/>
          <w:szCs w:val="28"/>
        </w:rPr>
        <w:t>%；对附属单位补助支出</w:t>
      </w:r>
      <w:r>
        <w:rPr>
          <w:rFonts w:ascii="仿宋_GB2312" w:eastAsia="仿宋_GB2312"/>
          <w:color w:val="auto"/>
          <w:sz w:val="28"/>
          <w:szCs w:val="28"/>
        </w:rPr>
        <w:t>0</w:t>
      </w:r>
      <w:r>
        <w:rPr>
          <w:rFonts w:hint="eastAsia" w:ascii="仿宋_GB2312" w:eastAsia="仿宋_GB2312"/>
          <w:color w:val="auto"/>
          <w:sz w:val="28"/>
          <w:szCs w:val="28"/>
        </w:rPr>
        <w:t>万元，占支出合计的</w:t>
      </w:r>
      <w:r>
        <w:rPr>
          <w:rFonts w:ascii="仿宋_GB2312" w:eastAsia="仿宋_GB2312"/>
          <w:color w:val="auto"/>
          <w:sz w:val="28"/>
          <w:szCs w:val="28"/>
        </w:rPr>
        <w:t>0</w:t>
      </w:r>
      <w:r>
        <w:rPr>
          <w:rFonts w:hint="eastAsia" w:ascii="仿宋_GB2312" w:eastAsia="仿宋_GB2312"/>
          <w:color w:val="auto"/>
          <w:sz w:val="28"/>
          <w:szCs w:val="28"/>
        </w:rPr>
        <w:t>%。</w:t>
      </w:r>
      <w:r>
        <w:rPr>
          <w:rFonts w:hint="eastAsia" w:hAnsi="宋体" w:cs="宋体"/>
          <w:color w:val="auto"/>
          <w:kern w:val="0"/>
          <w:sz w:val="32"/>
          <w:szCs w:val="32"/>
          <w:lang w:val="en-US" w:eastAsia="zh-CN"/>
        </w:rPr>
        <w:t xml:space="preserve"> </w:t>
      </w:r>
      <w:r>
        <w:rPr>
          <w:rFonts w:hint="eastAsia" w:ascii="仿宋_GB2312" w:hAnsi="仿宋_GB2312" w:eastAsia="仿宋_GB2312" w:cs="仿宋_GB2312"/>
          <w:color w:val="auto"/>
          <w:sz w:val="32"/>
          <w:szCs w:val="32"/>
          <w:lang w:val="en-US" w:eastAsia="zh-CN"/>
        </w:rPr>
        <w:t>提升休闲农业园区22个，开展市级休闲农业推介活动1次已完成；提升美丽休闲乡村建设9个，改造提升民俗接待示范户28户,提升了休闲农业重点区建设</w:t>
      </w:r>
      <w:r>
        <w:rPr>
          <w:rFonts w:hint="eastAsia" w:ascii="仿宋_GB2312" w:eastAsia="仿宋_GB2312"/>
          <w:color w:val="auto"/>
          <w:sz w:val="32"/>
          <w:szCs w:val="32"/>
          <w:lang w:val="en-US"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宋体" w:eastAsia="仿宋_GB2312" w:cs="宋体"/>
          <w:color w:val="auto"/>
          <w:kern w:val="0"/>
          <w:sz w:val="32"/>
          <w:szCs w:val="32"/>
        </w:rPr>
        <w:t>2.产出</w:t>
      </w:r>
      <w:r>
        <w:rPr>
          <w:rFonts w:ascii="仿宋_GB2312" w:hAnsi="宋体" w:eastAsia="仿宋_GB2312" w:cs="宋体"/>
          <w:color w:val="auto"/>
          <w:kern w:val="0"/>
          <w:sz w:val="32"/>
          <w:szCs w:val="32"/>
        </w:rPr>
        <w:t>质量</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项目实施方案</w:t>
      </w:r>
      <w:r>
        <w:rPr>
          <w:rFonts w:hint="eastAsia" w:ascii="仿宋_GB2312" w:hAnsi="仿宋_GB2312" w:eastAsia="仿宋_GB2312" w:cs="仿宋_GB2312"/>
          <w:color w:val="auto"/>
          <w:sz w:val="32"/>
          <w:szCs w:val="32"/>
          <w:highlight w:val="none"/>
        </w:rPr>
        <w:t>健全、管理规范</w:t>
      </w:r>
      <w:r>
        <w:rPr>
          <w:rFonts w:hint="eastAsia" w:ascii="仿宋_GB2312" w:hAnsi="仿宋_GB2312" w:eastAsia="仿宋_GB2312" w:cs="仿宋_GB2312"/>
          <w:i w:val="0"/>
          <w:caps w:val="0"/>
          <w:color w:val="auto"/>
          <w:spacing w:val="0"/>
          <w:sz w:val="32"/>
          <w:szCs w:val="32"/>
          <w:shd w:val="clear" w:color="auto" w:fill="FFFFFF"/>
          <w:lang w:val="en-US" w:eastAsia="zh-CN"/>
        </w:rPr>
        <w:t>，工程按相关建设、施工标准执行。</w:t>
      </w:r>
    </w:p>
    <w:p>
      <w:pPr>
        <w:spacing w:line="600" w:lineRule="exact"/>
        <w:ind w:left="105" w:leftChars="50" w:firstLine="480" w:firstLineChars="150"/>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3.产出</w:t>
      </w:r>
      <w:r>
        <w:rPr>
          <w:rFonts w:ascii="仿宋_GB2312" w:hAnsi="宋体" w:eastAsia="仿宋_GB2312" w:cs="宋体"/>
          <w:color w:val="auto"/>
          <w:kern w:val="0"/>
          <w:sz w:val="32"/>
          <w:szCs w:val="32"/>
        </w:rPr>
        <w:t>进度</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sz w:val="32"/>
          <w:szCs w:val="32"/>
          <w:lang w:eastAsia="zh-CN"/>
        </w:rPr>
        <w:t>项目标准按要求完成</w:t>
      </w:r>
      <w:r>
        <w:rPr>
          <w:rFonts w:hint="eastAsia" w:ascii="仿宋_GB2312" w:hAnsi="仿宋_GB2312" w:eastAsia="仿宋_GB2312" w:cs="仿宋_GB2312"/>
          <w:color w:val="auto"/>
          <w:sz w:val="32"/>
          <w:szCs w:val="32"/>
          <w:lang w:val="en-US"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4.</w:t>
      </w:r>
      <w:r>
        <w:rPr>
          <w:rFonts w:hint="eastAsia" w:ascii="仿宋_GB2312" w:hAnsi="宋体" w:eastAsia="仿宋_GB2312" w:cs="宋体"/>
          <w:color w:val="auto"/>
          <w:kern w:val="0"/>
          <w:sz w:val="32"/>
          <w:szCs w:val="32"/>
        </w:rPr>
        <w:t>产出</w:t>
      </w:r>
      <w:r>
        <w:rPr>
          <w:rFonts w:ascii="仿宋_GB2312" w:hAnsi="宋体" w:eastAsia="仿宋_GB2312" w:cs="宋体"/>
          <w:color w:val="auto"/>
          <w:kern w:val="0"/>
          <w:sz w:val="32"/>
          <w:szCs w:val="32"/>
        </w:rPr>
        <w:t>成本</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sz w:val="32"/>
          <w:szCs w:val="32"/>
          <w:lang w:eastAsia="zh-CN"/>
        </w:rPr>
        <w:t>项目标准按要求完成</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宋体"/>
          <w:color w:val="auto"/>
          <w:kern w:val="0"/>
          <w:sz w:val="32"/>
          <w:szCs w:val="32"/>
        </w:rPr>
        <w:t xml:space="preserve">                                </w:t>
      </w:r>
    </w:p>
    <w:p>
      <w:pPr>
        <w:spacing w:line="600" w:lineRule="exact"/>
        <w:ind w:left="105" w:leftChars="50" w:firstLine="480" w:firstLineChars="150"/>
        <w:rPr>
          <w:rFonts w:ascii="楷体_GB2312" w:eastAsia="楷体_GB2312"/>
          <w:color w:val="auto"/>
          <w:sz w:val="32"/>
          <w:szCs w:val="32"/>
        </w:rPr>
      </w:pPr>
      <w:r>
        <w:rPr>
          <w:rFonts w:hint="eastAsia" w:ascii="楷体_GB2312" w:eastAsia="楷体_GB2312"/>
          <w:color w:val="auto"/>
          <w:sz w:val="32"/>
          <w:szCs w:val="32"/>
        </w:rPr>
        <w:t>（二）效果</w:t>
      </w:r>
      <w:r>
        <w:rPr>
          <w:rFonts w:ascii="楷体_GB2312" w:eastAsia="楷体_GB2312"/>
          <w:color w:val="auto"/>
          <w:sz w:val="32"/>
          <w:szCs w:val="32"/>
        </w:rPr>
        <w:t>实现情况分析</w:t>
      </w:r>
    </w:p>
    <w:p>
      <w:pPr>
        <w:spacing w:line="560" w:lineRule="exact"/>
        <w:ind w:firstLine="640" w:firstLineChars="200"/>
        <w:rPr>
          <w:rFonts w:ascii="仿宋_GB2312" w:eastAsia="仿宋_GB2312"/>
          <w:color w:val="auto"/>
          <w:sz w:val="32"/>
          <w:szCs w:val="32"/>
        </w:rPr>
      </w:pPr>
      <w:r>
        <w:rPr>
          <w:rFonts w:hint="eastAsia" w:ascii="仿宋_GB2312" w:hAnsi="宋体" w:eastAsia="仿宋_GB2312" w:cs="宋体"/>
          <w:color w:val="auto"/>
          <w:kern w:val="0"/>
          <w:sz w:val="32"/>
          <w:szCs w:val="32"/>
        </w:rPr>
        <w:t>1.经济</w:t>
      </w:r>
      <w:r>
        <w:rPr>
          <w:rFonts w:ascii="仿宋_GB2312" w:hAnsi="宋体" w:eastAsia="仿宋_GB2312" w:cs="宋体"/>
          <w:color w:val="auto"/>
          <w:kern w:val="0"/>
          <w:sz w:val="32"/>
          <w:szCs w:val="32"/>
        </w:rPr>
        <w:t>效益</w:t>
      </w:r>
      <w:r>
        <w:rPr>
          <w:rFonts w:hint="eastAsia" w:ascii="仿宋_GB2312" w:hAnsi="宋体" w:eastAsia="仿宋_GB2312" w:cs="宋体"/>
          <w:color w:val="auto"/>
          <w:kern w:val="0"/>
          <w:sz w:val="32"/>
          <w:szCs w:val="32"/>
          <w:lang w:eastAsia="zh-CN"/>
        </w:rPr>
        <w:t>：</w:t>
      </w:r>
      <w:r>
        <w:rPr>
          <w:rFonts w:ascii="仿宋_GB2312" w:eastAsia="仿宋_GB2312" w:cs="仿宋_GB2312"/>
          <w:color w:val="auto"/>
          <w:sz w:val="32"/>
          <w:szCs w:val="32"/>
        </w:rPr>
        <w:t>1</w:t>
      </w:r>
      <w:r>
        <w:rPr>
          <w:rFonts w:hint="eastAsia" w:ascii="仿宋_GB2312" w:eastAsia="仿宋_GB2312" w:cs="仿宋_GB2312"/>
          <w:color w:val="auto"/>
          <w:sz w:val="32"/>
          <w:szCs w:val="32"/>
        </w:rPr>
        <w:t>）农宅保险及政策性保险使农民在生产生活中得到了保障，减低了农民的经济损失的同时，对收入提高提供了保障。</w:t>
      </w:r>
      <w:r>
        <w:rPr>
          <w:rFonts w:ascii="仿宋_GB2312" w:eastAsia="仿宋_GB2312" w:cs="仿宋_GB2312"/>
          <w:color w:val="auto"/>
          <w:sz w:val="32"/>
          <w:szCs w:val="32"/>
        </w:rPr>
        <w:t>2</w:t>
      </w:r>
      <w:r>
        <w:rPr>
          <w:rFonts w:hint="eastAsia" w:ascii="仿宋_GB2312" w:eastAsia="仿宋_GB2312" w:cs="仿宋_GB2312"/>
          <w:color w:val="auto"/>
          <w:sz w:val="32"/>
          <w:szCs w:val="32"/>
        </w:rPr>
        <w:t>）粪污资源化利用达到农民增收、企业增益的目标。</w:t>
      </w:r>
      <w:r>
        <w:rPr>
          <w:rFonts w:ascii="仿宋_GB2312" w:eastAsia="仿宋_GB2312" w:cs="仿宋_GB2312"/>
          <w:color w:val="auto"/>
          <w:sz w:val="32"/>
          <w:szCs w:val="32"/>
        </w:rPr>
        <w:t>3</w:t>
      </w:r>
      <w:r>
        <w:rPr>
          <w:rFonts w:hint="eastAsia" w:ascii="仿宋_GB2312" w:eastAsia="仿宋_GB2312" w:cs="仿宋_GB2312"/>
          <w:color w:val="auto"/>
          <w:sz w:val="32"/>
          <w:szCs w:val="32"/>
        </w:rPr>
        <w:t>）密云水库一级保护区内群众生活困难补助资金的发放，直接增加了群众的收入。</w:t>
      </w:r>
    </w:p>
    <w:p>
      <w:pPr>
        <w:spacing w:line="560" w:lineRule="exact"/>
        <w:ind w:firstLine="640" w:firstLineChars="200"/>
        <w:rPr>
          <w:rFonts w:ascii="仿宋_GB2312" w:eastAsia="仿宋_GB2312"/>
          <w:color w:val="auto"/>
          <w:sz w:val="32"/>
          <w:szCs w:val="32"/>
        </w:rPr>
      </w:pPr>
      <w:r>
        <w:rPr>
          <w:rFonts w:hint="eastAsia" w:ascii="仿宋_GB2312" w:hAnsi="宋体" w:eastAsia="仿宋_GB2312" w:cs="宋体"/>
          <w:color w:val="auto"/>
          <w:kern w:val="0"/>
          <w:sz w:val="32"/>
          <w:szCs w:val="32"/>
        </w:rPr>
        <w:t>2.社会效益</w:t>
      </w:r>
      <w:r>
        <w:rPr>
          <w:rFonts w:hint="eastAsia" w:ascii="仿宋_GB2312" w:hAnsi="宋体" w:eastAsia="仿宋_GB2312" w:cs="宋体"/>
          <w:color w:val="auto"/>
          <w:kern w:val="0"/>
          <w:sz w:val="32"/>
          <w:szCs w:val="32"/>
          <w:lang w:eastAsia="zh-CN"/>
        </w:rPr>
        <w:t>：</w:t>
      </w:r>
      <w:r>
        <w:rPr>
          <w:rFonts w:ascii="仿宋_GB2312" w:eastAsia="仿宋_GB2312" w:cs="仿宋_GB2312"/>
          <w:color w:val="auto"/>
          <w:sz w:val="32"/>
          <w:szCs w:val="32"/>
        </w:rPr>
        <w:t>1</w:t>
      </w:r>
      <w:r>
        <w:rPr>
          <w:rFonts w:hint="eastAsia" w:ascii="仿宋_GB2312" w:eastAsia="仿宋_GB2312" w:cs="仿宋_GB2312"/>
          <w:color w:val="auto"/>
          <w:sz w:val="32"/>
          <w:szCs w:val="32"/>
        </w:rPr>
        <w:t>）</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农宅保险及政策性保险使农民在生产生活中得到了保障，为促进和谐社会发挥了积极的作用。</w:t>
      </w:r>
      <w:r>
        <w:rPr>
          <w:rFonts w:ascii="仿宋_GB2312" w:eastAsia="仿宋_GB2312" w:cs="仿宋_GB2312"/>
          <w:color w:val="auto"/>
          <w:sz w:val="32"/>
          <w:szCs w:val="32"/>
        </w:rPr>
        <w:t>2)</w:t>
      </w:r>
      <w:r>
        <w:rPr>
          <w:rFonts w:ascii="??" w:hAnsi="??" w:eastAsia="Times New Roman"/>
          <w:color w:val="auto"/>
          <w:kern w:val="0"/>
          <w:sz w:val="32"/>
          <w:szCs w:val="32"/>
        </w:rPr>
        <w:t xml:space="preserve"> </w:t>
      </w:r>
      <w:r>
        <w:rPr>
          <w:rFonts w:hint="eastAsia" w:ascii="仿宋_GB2312" w:eastAsia="仿宋_GB2312" w:cs="仿宋_GB2312"/>
          <w:color w:val="auto"/>
          <w:sz w:val="32"/>
          <w:szCs w:val="32"/>
        </w:rPr>
        <w:t>全面推进畜禽养殖废弃物资源化利用，加快构建种养结合、农牧循环的可持续发展新格局，为全面建成小康社会提供有力支撑。</w:t>
      </w:r>
      <w:r>
        <w:rPr>
          <w:rFonts w:ascii="仿宋_GB2312" w:eastAsia="仿宋_GB2312" w:cs="仿宋_GB2312"/>
          <w:color w:val="auto"/>
          <w:sz w:val="32"/>
          <w:szCs w:val="32"/>
        </w:rPr>
        <w:t>3</w:t>
      </w:r>
      <w:r>
        <w:rPr>
          <w:rFonts w:hint="eastAsia" w:ascii="仿宋_GB2312" w:eastAsia="仿宋_GB2312" w:cs="仿宋_GB2312"/>
          <w:color w:val="auto"/>
          <w:sz w:val="32"/>
          <w:szCs w:val="32"/>
        </w:rPr>
        <w:t>）密云水库一级保护区内群众生活困难补助资金的发放，改善了群众生活条件。</w:t>
      </w:r>
    </w:p>
    <w:p>
      <w:pPr>
        <w:spacing w:line="600" w:lineRule="exact"/>
        <w:ind w:left="105" w:leftChars="50" w:firstLine="480" w:firstLineChars="150"/>
        <w:rPr>
          <w:rFonts w:hint="eastAsia" w:ascii="仿宋_GB2312" w:hAnsi="仿宋_GB2312" w:eastAsia="仿宋_GB2312" w:cs="仿宋_GB2312"/>
          <w:color w:val="auto"/>
          <w:sz w:val="32"/>
          <w:szCs w:val="32"/>
          <w:lang w:eastAsia="zh-CN"/>
        </w:rPr>
      </w:pPr>
      <w:r>
        <w:rPr>
          <w:rFonts w:hint="eastAsia" w:ascii="仿宋_GB2312" w:hAnsi="宋体" w:eastAsia="仿宋_GB2312" w:cs="宋体"/>
          <w:color w:val="auto"/>
          <w:kern w:val="0"/>
          <w:sz w:val="32"/>
          <w:szCs w:val="32"/>
        </w:rPr>
        <w:t>3.环境效益</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sz w:val="32"/>
          <w:szCs w:val="32"/>
        </w:rPr>
        <w:t>特色农业与环境保护相结合</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ascii="仿宋_GB2312" w:eastAsia="仿宋_GB2312"/>
          <w:color w:val="auto"/>
          <w:sz w:val="32"/>
          <w:szCs w:val="32"/>
        </w:rPr>
      </w:pPr>
      <w:r>
        <w:rPr>
          <w:rFonts w:hint="eastAsia" w:ascii="仿宋_GB2312" w:hAnsi="宋体" w:eastAsia="仿宋_GB2312" w:cs="宋体"/>
          <w:color w:val="auto"/>
          <w:kern w:val="0"/>
          <w:sz w:val="32"/>
          <w:szCs w:val="32"/>
        </w:rPr>
        <w:t>4.可持续</w:t>
      </w:r>
      <w:r>
        <w:rPr>
          <w:rFonts w:ascii="仿宋_GB2312" w:hAnsi="宋体" w:eastAsia="仿宋_GB2312" w:cs="宋体"/>
          <w:color w:val="auto"/>
          <w:kern w:val="0"/>
          <w:sz w:val="32"/>
          <w:szCs w:val="32"/>
        </w:rPr>
        <w:t>性影响</w:t>
      </w:r>
      <w:r>
        <w:rPr>
          <w:rFonts w:hint="eastAsia" w:ascii="仿宋_GB2312" w:hAnsi="宋体" w:eastAsia="仿宋_GB2312" w:cs="宋体"/>
          <w:color w:val="auto"/>
          <w:kern w:val="0"/>
          <w:sz w:val="32"/>
          <w:szCs w:val="32"/>
          <w:lang w:eastAsia="zh-CN"/>
        </w:rPr>
        <w:t>：</w:t>
      </w:r>
      <w:r>
        <w:rPr>
          <w:rFonts w:ascii="仿宋_GB2312" w:eastAsia="仿宋_GB2312" w:cs="仿宋_GB2312"/>
          <w:color w:val="auto"/>
          <w:sz w:val="32"/>
          <w:szCs w:val="32"/>
        </w:rPr>
        <w:t>1</w:t>
      </w:r>
      <w:r>
        <w:rPr>
          <w:rFonts w:hint="eastAsia" w:ascii="仿宋_GB2312" w:eastAsia="仿宋_GB2312" w:cs="仿宋_GB2312"/>
          <w:color w:val="auto"/>
          <w:sz w:val="32"/>
          <w:szCs w:val="32"/>
        </w:rPr>
        <w:t>）减少因禽畜粪污随处排放而对土壤和水源造成的污染，保护生态环境。</w:t>
      </w:r>
      <w:r>
        <w:rPr>
          <w:rFonts w:ascii="仿宋_GB2312" w:eastAsia="仿宋_GB2312" w:cs="仿宋_GB2312"/>
          <w:color w:val="auto"/>
          <w:sz w:val="32"/>
          <w:szCs w:val="32"/>
        </w:rPr>
        <w:t>2</w:t>
      </w:r>
      <w:r>
        <w:rPr>
          <w:rFonts w:hint="eastAsia" w:ascii="仿宋_GB2312" w:eastAsia="仿宋_GB2312" w:cs="仿宋_GB2312"/>
          <w:color w:val="auto"/>
          <w:sz w:val="32"/>
          <w:szCs w:val="32"/>
        </w:rPr>
        <w:t>）确保首都饮用水源安全，有效降低了因畜禽养殖造成水源污染的风险。有效疏解畜禽养殖总量，减少畜禽养殖废弃物对生态环境的影响。</w:t>
      </w:r>
    </w:p>
    <w:p>
      <w:pPr>
        <w:spacing w:line="600" w:lineRule="exact"/>
        <w:ind w:left="105" w:leftChars="50" w:firstLine="480" w:firstLineChars="150"/>
        <w:rPr>
          <w:rFonts w:hint="eastAsia" w:ascii="仿宋_GB2312" w:hAnsi="宋体" w:eastAsia="仿宋_GB2312" w:cs="宋体"/>
          <w:color w:val="auto"/>
          <w:kern w:val="0"/>
          <w:sz w:val="32"/>
          <w:szCs w:val="32"/>
          <w:lang w:val="en-US" w:eastAsia="zh-CN"/>
        </w:rPr>
      </w:pPr>
    </w:p>
    <w:p>
      <w:pPr>
        <w:spacing w:line="600" w:lineRule="exact"/>
        <w:ind w:left="105" w:leftChars="50" w:firstLine="480" w:firstLineChars="150"/>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5.服务对象</w:t>
      </w:r>
      <w:r>
        <w:rPr>
          <w:rFonts w:ascii="仿宋_GB2312" w:hAnsi="宋体" w:eastAsia="仿宋_GB2312" w:cs="宋体"/>
          <w:color w:val="auto"/>
          <w:kern w:val="0"/>
          <w:sz w:val="32"/>
          <w:szCs w:val="32"/>
        </w:rPr>
        <w:t>满意度</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kern w:val="2"/>
          <w:sz w:val="32"/>
          <w:szCs w:val="32"/>
          <w:lang w:val="en-US" w:eastAsia="zh-CN" w:bidi="ar-SA"/>
        </w:rPr>
        <w:t>项目实施满意度100%。</w:t>
      </w:r>
    </w:p>
    <w:p>
      <w:pPr>
        <w:spacing w:line="600" w:lineRule="exact"/>
        <w:ind w:left="105" w:leftChars="50" w:firstLine="480" w:firstLineChars="150"/>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四</w:t>
      </w:r>
      <w:r>
        <w:rPr>
          <w:rFonts w:ascii="黑体" w:hAnsi="黑体" w:eastAsia="黑体" w:cs="宋体"/>
          <w:color w:val="auto"/>
          <w:kern w:val="0"/>
          <w:sz w:val="32"/>
          <w:szCs w:val="32"/>
        </w:rPr>
        <w:t>、预算管理</w:t>
      </w:r>
      <w:r>
        <w:rPr>
          <w:rFonts w:hint="eastAsia" w:ascii="黑体" w:hAnsi="黑体" w:eastAsia="黑体" w:cs="宋体"/>
          <w:color w:val="auto"/>
          <w:kern w:val="0"/>
          <w:sz w:val="32"/>
          <w:szCs w:val="32"/>
        </w:rPr>
        <w:t>情况分</w:t>
      </w:r>
      <w:r>
        <w:rPr>
          <w:rFonts w:ascii="黑体" w:hAnsi="黑体" w:eastAsia="黑体" w:cs="宋体"/>
          <w:color w:val="auto"/>
          <w:kern w:val="0"/>
          <w:sz w:val="32"/>
          <w:szCs w:val="32"/>
        </w:rPr>
        <w:t>析</w:t>
      </w:r>
    </w:p>
    <w:p>
      <w:pPr>
        <w:spacing w:line="600" w:lineRule="exact"/>
        <w:ind w:left="105" w:leftChars="50" w:firstLine="480" w:firstLineChars="150"/>
        <w:rPr>
          <w:rFonts w:hint="eastAsia" w:ascii="楷体_GB2312" w:eastAsia="楷体_GB2312"/>
          <w:color w:val="auto"/>
          <w:sz w:val="32"/>
          <w:szCs w:val="32"/>
        </w:rPr>
      </w:pPr>
      <w:r>
        <w:rPr>
          <w:rFonts w:hint="eastAsia" w:ascii="楷体_GB2312" w:eastAsia="楷体_GB2312"/>
          <w:color w:val="auto"/>
          <w:sz w:val="32"/>
          <w:szCs w:val="32"/>
        </w:rPr>
        <w:t>（一）财务管理</w:t>
      </w:r>
    </w:p>
    <w:p>
      <w:pPr>
        <w:spacing w:line="600" w:lineRule="exact"/>
        <w:ind w:left="105" w:leftChars="50" w:firstLine="480" w:firstLineChars="150"/>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1.财务</w:t>
      </w:r>
      <w:r>
        <w:rPr>
          <w:rFonts w:ascii="仿宋_GB2312" w:hAnsi="宋体" w:eastAsia="仿宋_GB2312" w:cs="宋体"/>
          <w:color w:val="auto"/>
          <w:kern w:val="0"/>
          <w:sz w:val="32"/>
          <w:szCs w:val="32"/>
        </w:rPr>
        <w:t>管理制度健全性</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财务管理制度健全。</w:t>
      </w:r>
    </w:p>
    <w:p>
      <w:pPr>
        <w:spacing w:line="560" w:lineRule="exact"/>
        <w:ind w:firstLine="640" w:firstLineChars="200"/>
        <w:rPr>
          <w:rFonts w:hint="eastAsia" w:ascii="仿宋_GB2312" w:hAnsi="宋体" w:eastAsia="仿宋_GB2312" w:cs="Calibri"/>
          <w:color w:val="auto"/>
          <w:kern w:val="2"/>
          <w:sz w:val="32"/>
          <w:szCs w:val="32"/>
          <w:lang w:val="en-US" w:eastAsia="zh-CN" w:bidi="ar-SA"/>
        </w:rPr>
      </w:pPr>
      <w:r>
        <w:rPr>
          <w:rFonts w:hint="eastAsia" w:ascii="仿宋_GB2312" w:hAnsi="宋体" w:eastAsia="仿宋_GB2312" w:cs="宋体"/>
          <w:color w:val="auto"/>
          <w:kern w:val="0"/>
          <w:sz w:val="32"/>
          <w:szCs w:val="32"/>
        </w:rPr>
        <w:t>2.资金使用合规性</w:t>
      </w:r>
      <w:r>
        <w:rPr>
          <w:rFonts w:ascii="仿宋_GB2312" w:hAnsi="宋体" w:eastAsia="仿宋_GB2312" w:cs="宋体"/>
          <w:color w:val="auto"/>
          <w:kern w:val="0"/>
          <w:sz w:val="32"/>
          <w:szCs w:val="32"/>
        </w:rPr>
        <w:t>和安全性</w:t>
      </w:r>
      <w:r>
        <w:rPr>
          <w:rFonts w:hint="eastAsia" w:ascii="仿宋_GB2312" w:hAnsi="宋体" w:eastAsia="仿宋_GB2312" w:cs="宋体"/>
          <w:color w:val="auto"/>
          <w:kern w:val="0"/>
          <w:sz w:val="32"/>
          <w:szCs w:val="32"/>
          <w:lang w:eastAsia="zh-CN"/>
        </w:rPr>
        <w:t>：</w:t>
      </w:r>
      <w:r>
        <w:rPr>
          <w:rFonts w:hint="eastAsia" w:ascii="仿宋_GB2312" w:hAnsi="宋体" w:eastAsia="仿宋_GB2312" w:cs="Calibri"/>
          <w:color w:val="auto"/>
          <w:kern w:val="2"/>
          <w:sz w:val="32"/>
          <w:szCs w:val="32"/>
          <w:lang w:val="en-US" w:eastAsia="zh-CN" w:bidi="ar-SA"/>
        </w:rPr>
        <w:t>经费严格根据财政下达的指标通知单合理使用；专项资金、项目的使用与管理本着专款专用的原则，根据项目总体情况，由业务科室根据我区农业发展总体规划提出立项意见，经主管领导审核后，召开专题会议讨论，报区财政局审批，项目立项后由有资质的评审机构对项目进行评审。各项资金的开支必须以“量入为出、先申请后使用”为原则。</w:t>
      </w:r>
    </w:p>
    <w:p>
      <w:pPr>
        <w:adjustRightInd w:val="0"/>
        <w:snapToGrid w:val="0"/>
        <w:spacing w:line="560" w:lineRule="exact"/>
        <w:ind w:firstLine="640" w:firstLineChars="200"/>
        <w:outlineLvl w:val="1"/>
        <w:rPr>
          <w:rFonts w:hint="eastAsia" w:ascii="仿宋_GB2312" w:hAnsi="宋体" w:eastAsia="仿宋_GB2312" w:cs="Calibri"/>
          <w:color w:val="auto"/>
          <w:kern w:val="2"/>
          <w:sz w:val="32"/>
          <w:szCs w:val="32"/>
          <w:lang w:val="en-US" w:eastAsia="zh-CN" w:bidi="ar-SA"/>
        </w:rPr>
      </w:pPr>
      <w:r>
        <w:rPr>
          <w:rFonts w:hint="eastAsia" w:ascii="仿宋_GB2312" w:hAnsi="宋体" w:eastAsia="仿宋_GB2312" w:cs="Calibri"/>
          <w:color w:val="auto"/>
          <w:kern w:val="2"/>
          <w:sz w:val="32"/>
          <w:szCs w:val="32"/>
          <w:lang w:val="en-US" w:eastAsia="zh-CN" w:bidi="ar-SA"/>
        </w:rPr>
        <w:t>在费用开支管理上，经费支出严格执行国家财经法规和财政部门有关开支范围、标准的规定。资金结算严格执行相关规定，在项目支出中严格项目管理制度的有关规定，执行科室、部门联动审批，严格项目支出审批程序。</w:t>
      </w:r>
    </w:p>
    <w:p>
      <w:pPr>
        <w:numPr>
          <w:ilvl w:val="0"/>
          <w:numId w:val="2"/>
        </w:numPr>
        <w:spacing w:line="600" w:lineRule="exact"/>
        <w:ind w:left="0" w:leftChars="0" w:firstLine="600" w:firstLineChars="0"/>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会计</w:t>
      </w:r>
      <w:r>
        <w:rPr>
          <w:rFonts w:ascii="仿宋_GB2312" w:hAnsi="宋体" w:eastAsia="仿宋_GB2312" w:cs="宋体"/>
          <w:color w:val="auto"/>
          <w:kern w:val="0"/>
          <w:sz w:val="32"/>
          <w:szCs w:val="32"/>
        </w:rPr>
        <w:t>基础信息完善性</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会计</w:t>
      </w:r>
      <w:r>
        <w:rPr>
          <w:rFonts w:ascii="仿宋_GB2312" w:hAnsi="宋体" w:eastAsia="仿宋_GB2312" w:cs="宋体"/>
          <w:color w:val="auto"/>
          <w:kern w:val="0"/>
          <w:sz w:val="32"/>
          <w:szCs w:val="32"/>
        </w:rPr>
        <w:t>基础信息</w:t>
      </w:r>
      <w:r>
        <w:rPr>
          <w:rFonts w:hint="eastAsia" w:ascii="仿宋_GB2312" w:hAnsi="宋体" w:eastAsia="仿宋_GB2312" w:cs="宋体"/>
          <w:color w:val="auto"/>
          <w:kern w:val="0"/>
          <w:sz w:val="32"/>
          <w:szCs w:val="32"/>
          <w:lang w:val="en-US" w:eastAsia="zh-CN"/>
        </w:rPr>
        <w:t>已</w:t>
      </w:r>
      <w:r>
        <w:rPr>
          <w:rFonts w:ascii="仿宋_GB2312" w:hAnsi="宋体" w:eastAsia="仿宋_GB2312" w:cs="宋体"/>
          <w:color w:val="auto"/>
          <w:kern w:val="0"/>
          <w:sz w:val="32"/>
          <w:szCs w:val="32"/>
        </w:rPr>
        <w:t>完善</w:t>
      </w:r>
      <w:r>
        <w:rPr>
          <w:rFonts w:hint="eastAsia" w:ascii="仿宋_GB2312" w:hAnsi="宋体" w:eastAsia="仿宋_GB2312" w:cs="宋体"/>
          <w:color w:val="auto"/>
          <w:kern w:val="0"/>
          <w:sz w:val="32"/>
          <w:szCs w:val="32"/>
          <w:lang w:eastAsia="zh-CN"/>
        </w:rPr>
        <w:t>。</w:t>
      </w:r>
    </w:p>
    <w:p>
      <w:pPr>
        <w:spacing w:line="360" w:lineRule="auto"/>
        <w:ind w:firstLine="561"/>
        <w:rPr>
          <w:rFonts w:cs="Times New Roman"/>
          <w:color w:val="auto"/>
        </w:rPr>
      </w:pPr>
      <w:r>
        <w:rPr>
          <w:rFonts w:hint="eastAsia" w:ascii="楷体_GB2312" w:eastAsia="楷体_GB2312"/>
          <w:color w:val="auto"/>
          <w:sz w:val="32"/>
          <w:szCs w:val="32"/>
        </w:rPr>
        <w:t>（二）资产管理</w:t>
      </w:r>
      <w:r>
        <w:rPr>
          <w:rFonts w:hint="eastAsia" w:ascii="楷体_GB2312" w:eastAsia="楷体_GB2312"/>
          <w:color w:val="auto"/>
          <w:sz w:val="32"/>
          <w:szCs w:val="32"/>
          <w:lang w:eastAsia="zh-CN"/>
        </w:rPr>
        <w:t>：</w:t>
      </w:r>
      <w:r>
        <w:rPr>
          <w:rFonts w:hint="eastAsia" w:ascii="仿宋" w:hAnsi="仿宋" w:eastAsia="仿宋" w:cs="仿宋"/>
          <w:color w:val="auto"/>
          <w:sz w:val="30"/>
          <w:szCs w:val="30"/>
        </w:rPr>
        <w:t>资产管理分为资产验收入库、资产配置、调拨、资产出库、资产盘点、资产回收处置等，</w:t>
      </w:r>
      <w:r>
        <w:rPr>
          <w:rFonts w:hint="eastAsia" w:ascii="楷体_GB2312" w:eastAsia="楷体_GB2312"/>
          <w:color w:val="auto"/>
          <w:sz w:val="32"/>
          <w:szCs w:val="32"/>
          <w:lang w:val="en-US" w:eastAsia="zh-CN"/>
        </w:rPr>
        <w:t>严格按照《资产管理制度》执行，无</w:t>
      </w:r>
      <w:r>
        <w:rPr>
          <w:rFonts w:hint="eastAsia" w:ascii="仿宋" w:hAnsi="仿宋" w:eastAsia="仿宋" w:cs="仿宋"/>
          <w:color w:val="auto"/>
          <w:kern w:val="0"/>
          <w:sz w:val="30"/>
          <w:szCs w:val="30"/>
          <w:lang w:val="en-US" w:eastAsia="zh-CN"/>
        </w:rPr>
        <w:t>超标准配置资产</w:t>
      </w:r>
      <w:r>
        <w:rPr>
          <w:rFonts w:hint="eastAsia" w:ascii="宋体" w:hAnsi="宋体" w:cs="宋体"/>
          <w:color w:val="auto"/>
          <w:kern w:val="0"/>
          <w:sz w:val="20"/>
          <w:szCs w:val="20"/>
          <w:lang w:val="en-US" w:eastAsia="zh-CN"/>
        </w:rPr>
        <w:t>，</w:t>
      </w:r>
      <w:r>
        <w:rPr>
          <w:rFonts w:hint="eastAsia" w:ascii="楷体_GB2312" w:eastAsia="楷体_GB2312"/>
          <w:color w:val="auto"/>
          <w:sz w:val="32"/>
          <w:szCs w:val="32"/>
          <w:lang w:val="en-US" w:eastAsia="zh-CN"/>
        </w:rPr>
        <w:t>专人负责管理，帐物分离，定期盘点并清理盘点结果。</w:t>
      </w:r>
    </w:p>
    <w:p>
      <w:pPr>
        <w:spacing w:line="600" w:lineRule="exact"/>
        <w:ind w:left="105" w:leftChars="50" w:firstLine="480" w:firstLineChars="150"/>
        <w:rPr>
          <w:rFonts w:hint="eastAsia" w:ascii="楷体_GB2312" w:eastAsia="楷体_GB2312"/>
          <w:color w:val="auto"/>
          <w:sz w:val="32"/>
          <w:szCs w:val="32"/>
          <w:lang w:eastAsia="zh-CN"/>
        </w:rPr>
      </w:pPr>
      <w:r>
        <w:rPr>
          <w:rFonts w:hint="eastAsia" w:ascii="楷体_GB2312" w:eastAsia="楷体_GB2312"/>
          <w:color w:val="auto"/>
          <w:sz w:val="32"/>
          <w:szCs w:val="32"/>
        </w:rPr>
        <w:t>（三）绩效</w:t>
      </w:r>
      <w:r>
        <w:rPr>
          <w:rFonts w:ascii="楷体_GB2312" w:eastAsia="楷体_GB2312"/>
          <w:color w:val="auto"/>
          <w:sz w:val="32"/>
          <w:szCs w:val="32"/>
        </w:rPr>
        <w:t>管理</w:t>
      </w:r>
      <w:r>
        <w:rPr>
          <w:rFonts w:hint="eastAsia" w:ascii="楷体_GB2312" w:eastAsia="楷体_GB2312"/>
          <w:color w:val="auto"/>
          <w:sz w:val="32"/>
          <w:szCs w:val="32"/>
          <w:lang w:eastAsia="zh-CN"/>
        </w:rPr>
        <w:t>：</w:t>
      </w:r>
    </w:p>
    <w:p>
      <w:pPr>
        <w:spacing w:line="560" w:lineRule="exact"/>
        <w:ind w:firstLine="640" w:firstLineChars="200"/>
        <w:rPr>
          <w:rFonts w:hint="eastAsia" w:ascii="仿宋_GB2312" w:eastAsia="仿宋_GB2312"/>
          <w:b w:val="0"/>
          <w:color w:val="auto"/>
          <w:sz w:val="32"/>
          <w:szCs w:val="32"/>
        </w:rPr>
      </w:pPr>
      <w:r>
        <w:rPr>
          <w:rFonts w:hint="eastAsia" w:ascii="楷体_GB2312" w:eastAsia="楷体_GB2312"/>
          <w:color w:val="auto"/>
          <w:sz w:val="32"/>
          <w:szCs w:val="32"/>
          <w:lang w:val="en-US" w:eastAsia="zh-CN"/>
        </w:rPr>
        <w:t xml:space="preserve">    1、</w:t>
      </w:r>
      <w:r>
        <w:rPr>
          <w:rFonts w:hint="eastAsia" w:ascii="仿宋_GB2312" w:eastAsia="仿宋_GB2312"/>
          <w:b w:val="0"/>
          <w:color w:val="auto"/>
          <w:sz w:val="32"/>
          <w:szCs w:val="32"/>
        </w:rPr>
        <w:t>绩效评价目的</w:t>
      </w:r>
    </w:p>
    <w:p>
      <w:pPr>
        <w:pStyle w:val="2"/>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通过跟踪工作组织管理，发现项目执行过程中存在的问题及原因分析</w:t>
      </w:r>
    </w:p>
    <w:p>
      <w:pPr>
        <w:spacing w:line="560" w:lineRule="exact"/>
        <w:ind w:firstLine="640" w:firstLineChars="200"/>
        <w:rPr>
          <w:rFonts w:hint="eastAsia" w:ascii="仿宋_GB2312" w:eastAsia="仿宋_GB2312"/>
          <w:b w:val="0"/>
          <w:color w:val="auto"/>
          <w:sz w:val="32"/>
          <w:szCs w:val="32"/>
        </w:rPr>
      </w:pPr>
      <w:r>
        <w:rPr>
          <w:rFonts w:hint="eastAsia" w:ascii="仿宋_GB2312" w:eastAsia="仿宋_GB2312"/>
          <w:b w:val="0"/>
          <w:color w:val="auto"/>
          <w:sz w:val="32"/>
          <w:szCs w:val="32"/>
        </w:rPr>
        <w:t>2.绩效评价原则</w:t>
      </w:r>
    </w:p>
    <w:p>
      <w:pPr>
        <w:spacing w:line="560" w:lineRule="exact"/>
        <w:ind w:firstLine="640" w:firstLineChars="200"/>
        <w:rPr>
          <w:rFonts w:hint="eastAsia" w:ascii="仿宋_GB2312" w:eastAsia="仿宋_GB2312"/>
          <w:b w:val="0"/>
          <w:color w:val="auto"/>
          <w:sz w:val="32"/>
          <w:szCs w:val="32"/>
        </w:rPr>
      </w:pPr>
      <w:r>
        <w:rPr>
          <w:rFonts w:hint="eastAsia" w:ascii="仿宋_GB2312" w:eastAsia="仿宋_GB2312"/>
          <w:b w:val="0"/>
          <w:color w:val="auto"/>
          <w:sz w:val="32"/>
          <w:szCs w:val="32"/>
        </w:rPr>
        <w:t>各科室：负责对本科室重点项目加强</w:t>
      </w:r>
      <w:r>
        <w:rPr>
          <w:rFonts w:hint="eastAsia" w:ascii="仿宋_GB2312" w:eastAsia="仿宋_GB2312"/>
          <w:b w:val="0"/>
          <w:color w:val="auto"/>
          <w:sz w:val="32"/>
          <w:szCs w:val="32"/>
          <w:lang w:eastAsia="zh-CN"/>
        </w:rPr>
        <w:t>绩效跟踪</w:t>
      </w:r>
      <w:r>
        <w:rPr>
          <w:rFonts w:hint="eastAsia" w:ascii="仿宋_GB2312" w:eastAsia="仿宋_GB2312"/>
          <w:b w:val="0"/>
          <w:color w:val="auto"/>
          <w:sz w:val="32"/>
          <w:szCs w:val="32"/>
        </w:rPr>
        <w:t>管理，当预算执行绩效与绩效目标发生偏离时，及时收集项目变动资料，与</w:t>
      </w:r>
      <w:r>
        <w:rPr>
          <w:rFonts w:hint="eastAsia" w:ascii="仿宋_GB2312" w:eastAsia="仿宋_GB2312"/>
          <w:b w:val="0"/>
          <w:color w:val="auto"/>
          <w:sz w:val="32"/>
          <w:szCs w:val="32"/>
          <w:lang w:eastAsia="zh-CN"/>
        </w:rPr>
        <w:t>计财科</w:t>
      </w:r>
      <w:r>
        <w:rPr>
          <w:rFonts w:hint="eastAsia" w:ascii="仿宋_GB2312" w:eastAsia="仿宋_GB2312"/>
          <w:b w:val="0"/>
          <w:color w:val="auto"/>
          <w:sz w:val="32"/>
          <w:szCs w:val="32"/>
        </w:rPr>
        <w:t>沟通后，及时向财政部门报告，并采取矫正措施。</w:t>
      </w:r>
    </w:p>
    <w:p>
      <w:pPr>
        <w:spacing w:line="560" w:lineRule="exact"/>
        <w:ind w:firstLine="640" w:firstLineChars="200"/>
        <w:rPr>
          <w:rFonts w:hint="eastAsia" w:ascii="仿宋_GB2312" w:eastAsia="仿宋_GB2312"/>
          <w:b w:val="0"/>
          <w:color w:val="auto"/>
          <w:sz w:val="32"/>
          <w:szCs w:val="32"/>
        </w:rPr>
      </w:pPr>
      <w:r>
        <w:rPr>
          <w:rFonts w:hint="eastAsia" w:ascii="仿宋_GB2312" w:eastAsia="仿宋_GB2312"/>
          <w:b w:val="0"/>
          <w:color w:val="auto"/>
          <w:sz w:val="32"/>
          <w:szCs w:val="32"/>
          <w:lang w:eastAsia="zh-CN"/>
        </w:rPr>
        <w:t>计财科</w:t>
      </w:r>
      <w:r>
        <w:rPr>
          <w:rFonts w:hint="eastAsia" w:ascii="仿宋_GB2312" w:eastAsia="仿宋_GB2312"/>
          <w:b w:val="0"/>
          <w:color w:val="auto"/>
          <w:sz w:val="32"/>
          <w:szCs w:val="32"/>
        </w:rPr>
        <w:t>：负责指导、配合各科室做好</w:t>
      </w:r>
      <w:r>
        <w:rPr>
          <w:rFonts w:hint="eastAsia" w:ascii="仿宋_GB2312" w:eastAsia="仿宋_GB2312"/>
          <w:b w:val="0"/>
          <w:color w:val="auto"/>
          <w:sz w:val="32"/>
          <w:szCs w:val="32"/>
          <w:lang w:eastAsia="zh-CN"/>
        </w:rPr>
        <w:t>绩效跟踪</w:t>
      </w:r>
      <w:r>
        <w:rPr>
          <w:rFonts w:hint="eastAsia" w:ascii="仿宋_GB2312" w:eastAsia="仿宋_GB2312"/>
          <w:b w:val="0"/>
          <w:color w:val="auto"/>
          <w:sz w:val="32"/>
          <w:szCs w:val="32"/>
        </w:rPr>
        <w:t>工作，当绩效目标发生变动时，负责与财政部门做好沟通，指导各科室做好预算执行矫正工作。</w:t>
      </w:r>
    </w:p>
    <w:p>
      <w:pPr>
        <w:spacing w:line="560" w:lineRule="exact"/>
        <w:ind w:firstLine="640" w:firstLineChars="200"/>
        <w:rPr>
          <w:rFonts w:hint="eastAsia" w:ascii="仿宋_GB2312" w:eastAsia="仿宋_GB2312"/>
          <w:b w:val="0"/>
          <w:color w:val="auto"/>
          <w:sz w:val="32"/>
          <w:szCs w:val="32"/>
        </w:rPr>
      </w:pPr>
      <w:r>
        <w:rPr>
          <w:rFonts w:hint="eastAsia" w:ascii="仿宋_GB2312" w:eastAsia="仿宋_GB2312"/>
          <w:b w:val="0"/>
          <w:color w:val="auto"/>
          <w:sz w:val="32"/>
          <w:szCs w:val="32"/>
        </w:rPr>
        <w:t>3.绩效评价工作过程</w:t>
      </w:r>
    </w:p>
    <w:p>
      <w:pPr>
        <w:spacing w:line="560" w:lineRule="exact"/>
        <w:ind w:firstLine="640" w:firstLineChars="200"/>
        <w:rPr>
          <w:rFonts w:hint="eastAsia" w:ascii="仿宋_GB2312" w:eastAsia="仿宋_GB2312"/>
          <w:b w:val="0"/>
          <w:color w:val="auto"/>
          <w:sz w:val="32"/>
          <w:szCs w:val="32"/>
        </w:rPr>
      </w:pPr>
      <w:r>
        <w:rPr>
          <w:rFonts w:hint="eastAsia" w:ascii="仿宋_GB2312" w:eastAsia="仿宋_GB2312"/>
          <w:b w:val="0"/>
          <w:color w:val="auto"/>
          <w:sz w:val="32"/>
          <w:szCs w:val="32"/>
        </w:rPr>
        <w:t>各项目均按要求填写项目支出</w:t>
      </w:r>
      <w:r>
        <w:rPr>
          <w:rFonts w:hint="eastAsia" w:ascii="仿宋_GB2312" w:eastAsia="仿宋_GB2312"/>
          <w:b w:val="0"/>
          <w:color w:val="auto"/>
          <w:sz w:val="32"/>
          <w:szCs w:val="32"/>
          <w:lang w:eastAsia="zh-CN"/>
        </w:rPr>
        <w:t>绩效跟踪</w:t>
      </w:r>
      <w:r>
        <w:rPr>
          <w:rFonts w:hint="eastAsia" w:ascii="仿宋_GB2312" w:eastAsia="仿宋_GB2312"/>
          <w:b w:val="0"/>
          <w:color w:val="auto"/>
          <w:sz w:val="32"/>
          <w:szCs w:val="32"/>
        </w:rPr>
        <w:t>分析表，并在此基础上，编写完成202</w:t>
      </w:r>
      <w:r>
        <w:rPr>
          <w:rFonts w:hint="eastAsia" w:ascii="仿宋_GB2312" w:eastAsia="仿宋_GB2312"/>
          <w:b w:val="0"/>
          <w:color w:val="auto"/>
          <w:sz w:val="32"/>
          <w:szCs w:val="32"/>
          <w:lang w:val="en-US" w:eastAsia="zh-CN"/>
        </w:rPr>
        <w:t>3</w:t>
      </w:r>
      <w:r>
        <w:rPr>
          <w:rFonts w:hint="eastAsia" w:ascii="仿宋_GB2312" w:eastAsia="仿宋_GB2312"/>
          <w:b w:val="0"/>
          <w:color w:val="auto"/>
          <w:sz w:val="32"/>
          <w:szCs w:val="32"/>
        </w:rPr>
        <w:t>年</w:t>
      </w:r>
      <w:r>
        <w:rPr>
          <w:rFonts w:hint="eastAsia" w:ascii="仿宋_GB2312" w:eastAsia="仿宋_GB2312"/>
          <w:b w:val="0"/>
          <w:color w:val="auto"/>
          <w:sz w:val="32"/>
          <w:szCs w:val="32"/>
          <w:lang w:eastAsia="zh-CN"/>
        </w:rPr>
        <w:t>部门</w:t>
      </w:r>
      <w:r>
        <w:rPr>
          <w:rFonts w:hint="eastAsia" w:ascii="仿宋_GB2312" w:eastAsia="仿宋_GB2312"/>
          <w:b w:val="0"/>
          <w:color w:val="auto"/>
          <w:sz w:val="32"/>
          <w:szCs w:val="32"/>
        </w:rPr>
        <w:t>绩效</w:t>
      </w:r>
      <w:r>
        <w:rPr>
          <w:rFonts w:hint="eastAsia" w:ascii="仿宋_GB2312" w:eastAsia="仿宋_GB2312"/>
          <w:b w:val="0"/>
          <w:color w:val="auto"/>
          <w:sz w:val="32"/>
          <w:szCs w:val="32"/>
          <w:lang w:eastAsia="zh-CN"/>
        </w:rPr>
        <w:t>评价报告</w:t>
      </w:r>
      <w:r>
        <w:rPr>
          <w:rFonts w:hint="eastAsia" w:ascii="仿宋_GB2312" w:eastAsia="仿宋_GB2312"/>
          <w:b w:val="0"/>
          <w:color w:val="auto"/>
          <w:sz w:val="32"/>
          <w:szCs w:val="32"/>
        </w:rPr>
        <w:t>。已支出的项目资金符合国家财经法规和财务管理制度规定以及有关专项资金管理办法的规定，资金的拨付有完整的审批过程和手续，支出符合部门预算批复的用途，资金使用无截留、挤占、挪用、虚列支出等情况。</w:t>
      </w:r>
    </w:p>
    <w:p>
      <w:pPr>
        <w:spacing w:line="560" w:lineRule="exact"/>
        <w:ind w:firstLine="640" w:firstLineChars="200"/>
        <w:rPr>
          <w:rFonts w:hint="eastAsia" w:ascii="仿宋_GB2312" w:eastAsia="仿宋_GB2312"/>
          <w:b w:val="0"/>
          <w:color w:val="auto"/>
          <w:sz w:val="32"/>
          <w:szCs w:val="32"/>
        </w:rPr>
      </w:pPr>
      <w:r>
        <w:rPr>
          <w:rFonts w:hint="eastAsia" w:ascii="仿宋_GB2312" w:eastAsia="仿宋_GB2312"/>
          <w:b w:val="0"/>
          <w:color w:val="auto"/>
          <w:sz w:val="32"/>
          <w:szCs w:val="32"/>
          <w:lang w:val="en-US" w:eastAsia="zh-CN"/>
        </w:rPr>
        <w:t>4.</w:t>
      </w:r>
      <w:r>
        <w:rPr>
          <w:rFonts w:hint="eastAsia" w:ascii="仿宋_GB2312" w:eastAsia="仿宋_GB2312"/>
          <w:b w:val="0"/>
          <w:color w:val="auto"/>
          <w:sz w:val="32"/>
          <w:szCs w:val="32"/>
        </w:rPr>
        <w:t>绩效评价指标分析</w:t>
      </w:r>
    </w:p>
    <w:p>
      <w:pPr>
        <w:adjustRightInd w:val="0"/>
        <w:snapToGrid w:val="0"/>
        <w:spacing w:line="560" w:lineRule="exact"/>
        <w:ind w:firstLine="643" w:firstLineChars="200"/>
        <w:outlineLvl w:val="1"/>
        <w:rPr>
          <w:rFonts w:hint="eastAsia" w:ascii="仿宋_GB2312" w:hAnsi="仿宋_GB2312" w:eastAsia="仿宋_GB2312" w:cs="仿宋_GB2312"/>
          <w:b/>
          <w:color w:val="auto"/>
          <w:sz w:val="32"/>
          <w:szCs w:val="32"/>
          <w:highlight w:val="none"/>
        </w:rPr>
      </w:pP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项目决策情况</w:t>
      </w:r>
    </w:p>
    <w:p>
      <w:pPr>
        <w:pageBreakBefore w:val="0"/>
        <w:kinsoku/>
        <w:wordWrap/>
        <w:overflowPunct/>
        <w:topLinePunct w:val="0"/>
        <w:bidi w:val="0"/>
        <w:adjustRightInd w:val="0"/>
        <w:snapToGrid w:val="0"/>
        <w:spacing w:beforeAutospacing="0" w:afterAutospacing="0" w:line="560" w:lineRule="exact"/>
        <w:ind w:firstLine="640" w:firstLineChars="200"/>
        <w:textAlignment w:val="auto"/>
        <w:outlineLvl w:val="1"/>
        <w:rPr>
          <w:rFonts w:hint="eastAsia" w:ascii="仿宋_GB2312" w:eastAsia="仿宋_GB2312"/>
          <w:b/>
          <w:color w:val="auto"/>
          <w:sz w:val="32"/>
          <w:szCs w:val="32"/>
        </w:rPr>
      </w:pPr>
      <w:r>
        <w:rPr>
          <w:rFonts w:hint="eastAsia" w:ascii="仿宋_GB2312" w:hAnsi="仿宋_GB2312" w:eastAsia="仿宋_GB2312" w:cs="仿宋_GB2312"/>
          <w:color w:val="auto"/>
          <w:sz w:val="32"/>
          <w:szCs w:val="32"/>
          <w:highlight w:val="none"/>
        </w:rPr>
        <w:t xml:space="preserve"> </w:t>
      </w:r>
      <w:r>
        <w:rPr>
          <w:rFonts w:hint="eastAsia" w:ascii="仿宋_GB2312" w:eastAsia="仿宋_GB2312"/>
          <w:b/>
          <w:color w:val="auto"/>
          <w:sz w:val="32"/>
          <w:szCs w:val="32"/>
        </w:rPr>
        <w:t>主要决策内容</w:t>
      </w:r>
    </w:p>
    <w:p>
      <w:pPr>
        <w:pageBreakBefore w:val="0"/>
        <w:kinsoku/>
        <w:wordWrap/>
        <w:overflowPunct/>
        <w:topLinePunct w:val="0"/>
        <w:bidi w:val="0"/>
        <w:adjustRightInd w:val="0"/>
        <w:snapToGrid w:val="0"/>
        <w:spacing w:beforeAutospacing="0" w:afterAutospacing="0" w:line="560" w:lineRule="exact"/>
        <w:ind w:firstLine="640" w:firstLineChars="200"/>
        <w:textAlignment w:val="auto"/>
        <w:outlineLvl w:val="1"/>
        <w:rPr>
          <w:rFonts w:ascii="楷体_GB2312" w:eastAsia="楷体_GB2312"/>
          <w:color w:val="auto"/>
          <w:sz w:val="32"/>
          <w:szCs w:val="32"/>
        </w:rPr>
      </w:pPr>
      <w:r>
        <w:rPr>
          <w:rFonts w:hint="eastAsia" w:ascii="楷体_GB2312" w:eastAsia="楷体_GB2312"/>
          <w:color w:val="auto"/>
          <w:sz w:val="32"/>
          <w:szCs w:val="32"/>
        </w:rPr>
        <w:t>年初，区农业农村局加强对“三农”工作的统筹协调和服务指导，围绕美丽乡村建设、精准脱低、产业发展、底线工程、党的建设五项重点任务，进一步加大工作力度，推动各项任务圆满完成。</w:t>
      </w:r>
    </w:p>
    <w:p>
      <w:pPr>
        <w:pageBreakBefore w:val="0"/>
        <w:kinsoku/>
        <w:wordWrap/>
        <w:overflowPunct/>
        <w:topLinePunct w:val="0"/>
        <w:bidi w:val="0"/>
        <w:adjustRightInd w:val="0"/>
        <w:snapToGrid w:val="0"/>
        <w:spacing w:beforeAutospacing="0" w:afterAutospacing="0" w:line="560" w:lineRule="exact"/>
        <w:ind w:firstLine="643" w:firstLineChars="200"/>
        <w:textAlignment w:val="auto"/>
        <w:outlineLvl w:val="1"/>
        <w:rPr>
          <w:rFonts w:hint="eastAsia" w:ascii="仿宋_GB2312" w:eastAsia="仿宋_GB2312"/>
          <w:b/>
          <w:color w:val="auto"/>
          <w:sz w:val="32"/>
          <w:szCs w:val="32"/>
        </w:rPr>
      </w:pPr>
      <w:r>
        <w:rPr>
          <w:rFonts w:hint="eastAsia" w:ascii="仿宋_GB2312" w:eastAsia="仿宋_GB2312"/>
          <w:b/>
          <w:color w:val="auto"/>
          <w:sz w:val="32"/>
          <w:szCs w:val="32"/>
        </w:rPr>
        <w:t>决策依据</w:t>
      </w:r>
    </w:p>
    <w:p>
      <w:pPr>
        <w:pageBreakBefore w:val="0"/>
        <w:kinsoku/>
        <w:wordWrap/>
        <w:overflowPunct/>
        <w:topLinePunct w:val="0"/>
        <w:bidi w:val="0"/>
        <w:spacing w:beforeAutospacing="0" w:afterAutospacing="0" w:line="560" w:lineRule="exact"/>
        <w:ind w:firstLine="640" w:firstLineChars="200"/>
        <w:textAlignment w:val="auto"/>
        <w:rPr>
          <w:rFonts w:hint="eastAsia" w:ascii="仿宋_GB2312" w:eastAsia="仿宋_GB2312"/>
          <w:color w:val="auto"/>
          <w:sz w:val="32"/>
          <w:szCs w:val="32"/>
        </w:rPr>
      </w:pPr>
      <w:r>
        <w:rPr>
          <w:rFonts w:hint="eastAsia" w:ascii="仿宋_GB2312" w:hAnsi="ˎ̥" w:eastAsia="仿宋_GB2312"/>
          <w:color w:val="auto"/>
          <w:sz w:val="32"/>
          <w:szCs w:val="32"/>
        </w:rPr>
        <w:t>以密云区农业农村局的主要职能、落实区委全会</w:t>
      </w:r>
      <w:r>
        <w:rPr>
          <w:rFonts w:hint="eastAsia" w:ascii="仿宋_GB2312" w:hAnsi="ˎ̥" w:eastAsia="仿宋_GB2312"/>
          <w:color w:val="auto"/>
          <w:sz w:val="32"/>
          <w:szCs w:val="32"/>
          <w:lang w:val="en-US" w:eastAsia="zh-CN"/>
        </w:rPr>
        <w:t>相关</w:t>
      </w:r>
      <w:r>
        <w:rPr>
          <w:rFonts w:hint="eastAsia" w:ascii="仿宋_GB2312" w:hAnsi="ˎ̥" w:eastAsia="仿宋_GB2312"/>
          <w:color w:val="auto"/>
          <w:sz w:val="32"/>
          <w:szCs w:val="32"/>
        </w:rPr>
        <w:t>精神，牢牢把握加快“三农”发展的主题</w:t>
      </w:r>
      <w:r>
        <w:rPr>
          <w:rFonts w:hint="eastAsia" w:ascii="仿宋_GB2312" w:hAnsi="ˎ̥" w:eastAsia="仿宋_GB2312"/>
          <w:color w:val="auto"/>
          <w:sz w:val="32"/>
          <w:szCs w:val="32"/>
          <w:lang w:val="en-US" w:eastAsia="zh-CN"/>
        </w:rPr>
        <w:t>以及</w:t>
      </w:r>
      <w:r>
        <w:rPr>
          <w:rFonts w:hint="eastAsia" w:ascii="仿宋_GB2312" w:hAnsi="ˎ̥" w:eastAsia="仿宋_GB2312"/>
          <w:color w:val="auto"/>
          <w:sz w:val="32"/>
          <w:szCs w:val="32"/>
        </w:rPr>
        <w:t>北京市农业农村局的若干通知文件精神为决策依据，开展全年工作。</w:t>
      </w:r>
    </w:p>
    <w:p>
      <w:pPr>
        <w:pageBreakBefore w:val="0"/>
        <w:kinsoku/>
        <w:wordWrap/>
        <w:overflowPunct/>
        <w:topLinePunct w:val="0"/>
        <w:bidi w:val="0"/>
        <w:adjustRightInd w:val="0"/>
        <w:snapToGrid w:val="0"/>
        <w:spacing w:beforeAutospacing="0" w:afterAutospacing="0" w:line="560" w:lineRule="exact"/>
        <w:ind w:firstLine="643" w:firstLineChars="200"/>
        <w:textAlignment w:val="auto"/>
        <w:outlineLvl w:val="1"/>
        <w:rPr>
          <w:rFonts w:hint="eastAsia" w:ascii="仿宋_GB2312" w:eastAsia="仿宋_GB2312"/>
          <w:b/>
          <w:color w:val="auto"/>
          <w:sz w:val="32"/>
          <w:szCs w:val="32"/>
        </w:rPr>
      </w:pPr>
      <w:r>
        <w:rPr>
          <w:rFonts w:hint="eastAsia" w:ascii="仿宋_GB2312" w:eastAsia="仿宋_GB2312"/>
          <w:b/>
          <w:color w:val="auto"/>
          <w:sz w:val="32"/>
          <w:szCs w:val="32"/>
        </w:rPr>
        <w:t>决策流程</w:t>
      </w:r>
    </w:p>
    <w:p>
      <w:pPr>
        <w:pageBreakBefore w:val="0"/>
        <w:kinsoku/>
        <w:wordWrap/>
        <w:overflowPunct/>
        <w:topLinePunct w:val="0"/>
        <w:bidi w:val="0"/>
        <w:spacing w:beforeAutospacing="0" w:afterAutospacing="0" w:line="560" w:lineRule="exact"/>
        <w:ind w:firstLine="592" w:firstLineChars="185"/>
        <w:textAlignment w:val="auto"/>
        <w:rPr>
          <w:rFonts w:hint="eastAsia" w:ascii="仿宋_GB2312" w:eastAsia="仿宋_GB2312"/>
          <w:color w:val="auto"/>
          <w:sz w:val="32"/>
          <w:szCs w:val="32"/>
        </w:rPr>
      </w:pPr>
      <w:r>
        <w:rPr>
          <w:rFonts w:hint="eastAsia" w:ascii="仿宋_GB2312" w:eastAsia="仿宋_GB2312"/>
          <w:color w:val="auto"/>
          <w:sz w:val="32"/>
          <w:szCs w:val="32"/>
        </w:rPr>
        <w:t>年初，由各主管科室上报年度工作计划及资金使用计划，经领导班子会研究确定年度重点项目及资金使用计划，并下发各科室。通过相关部门评审批复后的项目，可根据批复意见及核定的支出内容适时召开项目论证会，确定项目实施方案并经局长办公会、区委农工委会议认可通过后，项目可开始进行招标等具体实施工作。资金决策流程明确、责任清晰、风险可控。</w:t>
      </w:r>
    </w:p>
    <w:p>
      <w:pPr>
        <w:adjustRightInd w:val="0"/>
        <w:snapToGrid w:val="0"/>
        <w:spacing w:line="560" w:lineRule="exact"/>
        <w:ind w:firstLine="643" w:firstLineChars="200"/>
        <w:outlineLvl w:val="1"/>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项目过程情况</w:t>
      </w:r>
    </w:p>
    <w:p>
      <w:pPr>
        <w:ind w:firstLine="592" w:firstLineChars="18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由各主管科室上报年度工作计划及资金使用计划，经领导班子会研究确定年度重点项目及资金使用计划，并下发各科室。通过相关部门评审批复后的项目，可根据批复意见及核定的支出内容适时召开项目论证会，确定项目实施方案并经局长办公会、区委农工委会议认可通过后，项目可开始进行招标等具体实施工作。资金决策流程明确、责任清晰、风险可控。</w:t>
      </w:r>
    </w:p>
    <w:p>
      <w:pPr>
        <w:numPr>
          <w:ilvl w:val="0"/>
          <w:numId w:val="0"/>
        </w:numPr>
        <w:spacing w:line="580" w:lineRule="exact"/>
        <w:ind w:firstLine="643" w:firstLineChars="200"/>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项目产出情况。</w:t>
      </w:r>
    </w:p>
    <w:p>
      <w:pPr>
        <w:adjustRightInd w:val="0"/>
        <w:snapToGrid w:val="0"/>
        <w:spacing w:line="56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预算内资金的使用根据财政下达的指标通知单合理使用；专项资金原则上实行专款专用；各项资金的开支必须以“量入为出，自求平衡，先申请后使用”为原则。</w:t>
      </w:r>
    </w:p>
    <w:p>
      <w:pPr>
        <w:spacing w:line="600" w:lineRule="exact"/>
        <w:ind w:left="105" w:leftChars="50" w:firstLine="480" w:firstLineChars="150"/>
        <w:rPr>
          <w:rFonts w:hint="default" w:ascii="楷体_GB2312" w:eastAsia="楷体_GB2312"/>
          <w:color w:val="auto"/>
          <w:sz w:val="32"/>
          <w:szCs w:val="32"/>
          <w:lang w:val="en-US" w:eastAsia="zh-CN"/>
        </w:rPr>
      </w:pPr>
      <w:r>
        <w:rPr>
          <w:rFonts w:hint="eastAsia" w:ascii="楷体_GB2312" w:eastAsia="楷体_GB2312"/>
          <w:color w:val="auto"/>
          <w:sz w:val="32"/>
          <w:szCs w:val="32"/>
        </w:rPr>
        <w:t>（四）结转结余率</w:t>
      </w:r>
      <w:r>
        <w:rPr>
          <w:rFonts w:hint="eastAsia" w:ascii="楷体_GB2312" w:eastAsia="楷体_GB2312"/>
          <w:color w:val="auto"/>
          <w:sz w:val="32"/>
          <w:szCs w:val="32"/>
          <w:lang w:eastAsia="zh-CN"/>
        </w:rPr>
        <w:t>：</w:t>
      </w:r>
      <w:r>
        <w:rPr>
          <w:rFonts w:hint="eastAsia" w:ascii="楷体_GB2312" w:eastAsia="楷体_GB2312"/>
          <w:color w:val="auto"/>
          <w:sz w:val="32"/>
          <w:szCs w:val="32"/>
          <w:lang w:val="en-US" w:eastAsia="zh-CN"/>
        </w:rPr>
        <w:t>无</w:t>
      </w:r>
    </w:p>
    <w:p>
      <w:pPr>
        <w:spacing w:line="600" w:lineRule="exact"/>
        <w:ind w:left="105" w:leftChars="50" w:firstLine="480" w:firstLineChars="150"/>
        <w:rPr>
          <w:rFonts w:hint="default" w:ascii="楷体_GB2312" w:eastAsia="楷体_GB2312"/>
          <w:color w:val="auto"/>
          <w:sz w:val="32"/>
          <w:szCs w:val="32"/>
          <w:lang w:val="en-US" w:eastAsia="zh-CN"/>
        </w:rPr>
      </w:pPr>
      <w:r>
        <w:rPr>
          <w:rFonts w:hint="eastAsia" w:ascii="楷体_GB2312" w:eastAsia="楷体_GB2312"/>
          <w:color w:val="auto"/>
          <w:sz w:val="32"/>
          <w:szCs w:val="32"/>
        </w:rPr>
        <w:t>（五）部门</w:t>
      </w:r>
      <w:r>
        <w:rPr>
          <w:rFonts w:ascii="楷体_GB2312" w:eastAsia="楷体_GB2312"/>
          <w:color w:val="auto"/>
          <w:sz w:val="32"/>
          <w:szCs w:val="32"/>
        </w:rPr>
        <w:t>预决算差异率</w:t>
      </w:r>
      <w:r>
        <w:rPr>
          <w:rFonts w:hint="eastAsia" w:ascii="楷体_GB2312" w:eastAsia="楷体_GB2312"/>
          <w:color w:val="auto"/>
          <w:sz w:val="32"/>
          <w:szCs w:val="32"/>
          <w:lang w:eastAsia="zh-CN"/>
        </w:rPr>
        <w:t>：</w:t>
      </w:r>
      <w:r>
        <w:rPr>
          <w:rFonts w:hint="eastAsia" w:ascii="楷体_GB2312" w:eastAsia="楷体_GB2312"/>
          <w:color w:val="auto"/>
          <w:sz w:val="32"/>
          <w:szCs w:val="32"/>
          <w:lang w:val="en-US" w:eastAsia="zh-CN"/>
        </w:rPr>
        <w:t>2023年度预算数67550.52万元，其中基本支出2729.12万元，项目支出64821.4万元；2023年度决算数52288.87万元，其中基本支出4178.93万元，项目支出48108.93万元；预决算差异率为22.59%。</w:t>
      </w:r>
    </w:p>
    <w:p>
      <w:pPr>
        <w:spacing w:line="600" w:lineRule="exact"/>
        <w:ind w:left="105" w:leftChars="50" w:firstLine="480" w:firstLineChars="150"/>
        <w:rPr>
          <w:rFonts w:ascii="黑体" w:hAnsi="黑体" w:eastAsia="黑体"/>
          <w:color w:val="auto"/>
          <w:sz w:val="32"/>
          <w:szCs w:val="32"/>
        </w:rPr>
      </w:pPr>
      <w:r>
        <w:rPr>
          <w:rFonts w:hint="eastAsia" w:ascii="黑体" w:hAnsi="黑体" w:eastAsia="黑体"/>
          <w:color w:val="auto"/>
          <w:sz w:val="32"/>
          <w:szCs w:val="32"/>
        </w:rPr>
        <w:t>五、总体</w:t>
      </w:r>
      <w:r>
        <w:rPr>
          <w:rFonts w:ascii="黑体" w:hAnsi="黑体" w:eastAsia="黑体"/>
          <w:color w:val="auto"/>
          <w:sz w:val="32"/>
          <w:szCs w:val="32"/>
        </w:rPr>
        <w:t>评价结论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楷体_GB2312" w:eastAsia="楷体_GB2312"/>
          <w:color w:val="auto"/>
          <w:sz w:val="32"/>
          <w:szCs w:val="32"/>
        </w:rPr>
        <w:t>（一）评价</w:t>
      </w:r>
      <w:r>
        <w:rPr>
          <w:rFonts w:ascii="楷体_GB2312" w:eastAsia="楷体_GB2312"/>
          <w:color w:val="auto"/>
          <w:sz w:val="32"/>
          <w:szCs w:val="32"/>
        </w:rPr>
        <w:t>得分</w:t>
      </w:r>
      <w:r>
        <w:rPr>
          <w:rFonts w:hint="eastAsia" w:ascii="楷体_GB2312" w:eastAsia="楷体_GB2312"/>
          <w:color w:val="auto"/>
          <w:sz w:val="32"/>
          <w:szCs w:val="32"/>
        </w:rPr>
        <w:t>情况</w:t>
      </w:r>
      <w:r>
        <w:rPr>
          <w:rFonts w:hint="eastAsia" w:ascii="楷体_GB2312" w:eastAsia="楷体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项目实施满意度80%以上。</w:t>
      </w:r>
    </w:p>
    <w:p>
      <w:pPr>
        <w:spacing w:line="600" w:lineRule="exact"/>
        <w:ind w:left="105" w:leftChars="50" w:firstLine="480" w:firstLineChars="150"/>
        <w:rPr>
          <w:rFonts w:hint="eastAsia" w:ascii="楷体_GB2312" w:eastAsia="楷体_GB2312"/>
          <w:color w:val="auto"/>
          <w:sz w:val="32"/>
          <w:szCs w:val="32"/>
          <w:lang w:eastAsia="zh-CN"/>
        </w:rPr>
      </w:pPr>
      <w:r>
        <w:rPr>
          <w:rFonts w:hint="eastAsia" w:ascii="楷体_GB2312" w:eastAsia="楷体_GB2312"/>
          <w:color w:val="auto"/>
          <w:sz w:val="32"/>
          <w:szCs w:val="32"/>
        </w:rPr>
        <w:t>（二）存在的问题及原因分析</w:t>
      </w:r>
      <w:r>
        <w:rPr>
          <w:rFonts w:hint="eastAsia" w:ascii="楷体_GB2312" w:eastAsia="楷体_GB2312"/>
          <w:color w:val="auto"/>
          <w:sz w:val="32"/>
          <w:szCs w:val="32"/>
          <w:lang w:eastAsia="zh-CN"/>
        </w:rPr>
        <w:t>：</w:t>
      </w:r>
      <w:r>
        <w:rPr>
          <w:rFonts w:hint="eastAsia" w:ascii="仿宋_GB2312" w:hAnsi="仿宋" w:eastAsia="仿宋_GB2312"/>
          <w:color w:val="auto"/>
          <w:sz w:val="32"/>
          <w:szCs w:val="32"/>
          <w:lang w:val="en-US" w:eastAsia="zh-CN"/>
        </w:rPr>
        <w:t>无</w:t>
      </w:r>
    </w:p>
    <w:p>
      <w:pPr>
        <w:spacing w:line="600" w:lineRule="exact"/>
        <w:ind w:firstLine="640" w:firstLineChars="200"/>
        <w:rPr>
          <w:rFonts w:hint="eastAsia" w:ascii="仿宋_GB2312" w:hAnsi="宋体" w:eastAsia="仿宋_GB2312" w:cs="宋体"/>
          <w:color w:val="auto"/>
          <w:kern w:val="0"/>
          <w:sz w:val="32"/>
          <w:szCs w:val="32"/>
        </w:rPr>
      </w:pPr>
      <w:r>
        <w:rPr>
          <w:rFonts w:hint="eastAsia" w:ascii="黑体" w:hAnsi="黑体" w:eastAsia="黑体" w:cs="宋体"/>
          <w:color w:val="auto"/>
          <w:kern w:val="0"/>
          <w:sz w:val="32"/>
          <w:szCs w:val="32"/>
        </w:rPr>
        <w:t>六、措施建议</w:t>
      </w:r>
      <w:r>
        <w:rPr>
          <w:rFonts w:hint="eastAsia" w:ascii="仿宋_GB2312" w:hAnsi="宋体" w:eastAsia="仿宋_GB2312" w:cs="宋体"/>
          <w:color w:val="auto"/>
          <w:kern w:val="0"/>
          <w:sz w:val="32"/>
          <w:szCs w:val="32"/>
        </w:rPr>
        <w:t>（整改措施、下一步工作举措）</w:t>
      </w:r>
    </w:p>
    <w:p>
      <w:pPr>
        <w:pStyle w:val="14"/>
        <w:keepNext w:val="0"/>
        <w:keepLines w:val="0"/>
        <w:pageBreakBefore w:val="0"/>
        <w:kinsoku/>
        <w:wordWrap/>
        <w:overflowPunct/>
        <w:topLinePunct w:val="0"/>
        <w:autoSpaceDE/>
        <w:autoSpaceDN/>
        <w:bidi w:val="0"/>
        <w:adjustRightInd/>
        <w:snapToGrid w:val="0"/>
        <w:spacing w:before="0" w:beforeAutospacing="0" w:after="0" w:afterAutospacing="0" w:line="520" w:lineRule="exact"/>
        <w:ind w:left="0" w:leftChars="0" w:right="0" w:rightChars="0" w:firstLine="643" w:firstLineChars="200"/>
        <w:textAlignment w:val="auto"/>
        <w:outlineLvl w:val="0"/>
        <w:rPr>
          <w:rFonts w:hint="eastAsia" w:ascii="仿宋_GB2312" w:hAnsi="仿宋_GB2312" w:eastAsia="仿宋_GB2312" w:cs="仿宋_GB2312"/>
          <w:color w:val="auto"/>
          <w:sz w:val="32"/>
          <w:szCs w:val="32"/>
        </w:rPr>
      </w:pPr>
      <w:r>
        <w:rPr>
          <w:rFonts w:hint="eastAsia" w:hAnsi="宋体" w:cs="宋体"/>
          <w:color w:val="auto"/>
          <w:kern w:val="0"/>
          <w:sz w:val="32"/>
          <w:szCs w:val="32"/>
          <w:lang w:val="en-US" w:eastAsia="zh-CN"/>
        </w:rPr>
        <w:t xml:space="preserve">  </w:t>
      </w:r>
      <w:r>
        <w:rPr>
          <w:rFonts w:hint="eastAsia" w:ascii="仿宋_GB2312" w:hAnsi="宋体" w:eastAsia="仿宋_GB2312" w:cs="Times New Roman"/>
          <w:color w:val="auto"/>
          <w:kern w:val="0"/>
          <w:sz w:val="32"/>
          <w:szCs w:val="32"/>
          <w:lang w:val="en-US" w:eastAsia="zh-CN" w:bidi="ar-SA"/>
        </w:rPr>
        <w:t>争取财政资金支持的同时，也积极争取国家和相关部门支农资金、科技资金；鼓励企业等社会力量自筹资金，形成多元化资金投入机制。</w:t>
      </w:r>
      <w:r>
        <w:rPr>
          <w:rFonts w:hint="eastAsia" w:ascii="仿宋_GB2312" w:hAnsi="仿宋_GB2312" w:eastAsia="仿宋_GB2312" w:cs="仿宋_GB2312"/>
          <w:color w:val="auto"/>
          <w:sz w:val="32"/>
          <w:szCs w:val="32"/>
        </w:rPr>
        <w:t>依据区委、区政府的重点工作，根据密云农业的特点，区农业农村局将继续加强对“三农”工作的统筹协调和服务指导，继续围绕美丽乡村建设、精准脱低、产业发展、底线工程、党的建设五项重点任务，进一步加大工作力度， 将专项资金投放到与农业发展有关的方面，集中优势产业，加大资金扶植力度，并根据项目建设周期建立持续性扶植机制，确保支持的项目最终达到满意的效果，发挥社会效益。对重点项目增加过程监督，确保项目实施的效果；在集中验收时组织专业人员现场验收并出具验收意见；增加项目监理环节，增强验收的科学性和严谨性。</w:t>
      </w:r>
    </w:p>
    <w:p>
      <w:pPr>
        <w:spacing w:line="360" w:lineRule="auto"/>
        <w:ind w:firstLine="640" w:firstLineChars="200"/>
        <w:rPr>
          <w:rFonts w:hint="eastAsia" w:ascii="仿宋_GB2312" w:hAnsi="宋体" w:eastAsia="仿宋_GB2312" w:cs="Times New Roman"/>
          <w:color w:val="auto"/>
          <w:kern w:val="0"/>
          <w:sz w:val="32"/>
          <w:szCs w:val="32"/>
          <w:lang w:val="en-US" w:eastAsia="zh-CN" w:bidi="ar-SA"/>
        </w:rPr>
      </w:pPr>
    </w:p>
    <w:p>
      <w:pPr>
        <w:pStyle w:val="6"/>
        <w:rPr>
          <w:rFonts w:hint="default" w:eastAsia="仿宋_GB2312"/>
          <w:color w:val="auto"/>
          <w:lang w:val="en-US" w:eastAsia="zh-CN"/>
        </w:rPr>
      </w:pPr>
    </w:p>
    <w:tbl>
      <w:tblPr>
        <w:tblStyle w:val="16"/>
        <w:tblW w:w="5000" w:type="pct"/>
        <w:tblInd w:w="0" w:type="dxa"/>
        <w:tblLayout w:type="autofit"/>
        <w:tblCellMar>
          <w:top w:w="0" w:type="dxa"/>
          <w:left w:w="108" w:type="dxa"/>
          <w:bottom w:w="0" w:type="dxa"/>
          <w:right w:w="108" w:type="dxa"/>
        </w:tblCellMar>
      </w:tblPr>
      <w:tblGrid>
        <w:gridCol w:w="816"/>
        <w:gridCol w:w="816"/>
        <w:gridCol w:w="1016"/>
        <w:gridCol w:w="1497"/>
        <w:gridCol w:w="1497"/>
        <w:gridCol w:w="616"/>
        <w:gridCol w:w="616"/>
        <w:gridCol w:w="3304"/>
        <w:gridCol w:w="3871"/>
      </w:tblGrid>
      <w:tr>
        <w:tblPrEx>
          <w:tblCellMar>
            <w:top w:w="0" w:type="dxa"/>
            <w:left w:w="108" w:type="dxa"/>
            <w:bottom w:w="0" w:type="dxa"/>
            <w:right w:w="108" w:type="dxa"/>
          </w:tblCellMar>
        </w:tblPrEx>
        <w:trPr>
          <w:trHeight w:val="499" w:hRule="atLeast"/>
        </w:trPr>
        <w:tc>
          <w:tcPr>
            <w:tcW w:w="5000" w:type="pct"/>
            <w:gridSpan w:val="9"/>
            <w:tcBorders>
              <w:top w:val="nil"/>
              <w:left w:val="nil"/>
              <w:bottom w:val="single" w:color="auto" w:sz="4" w:space="0"/>
              <w:right w:val="nil"/>
            </w:tcBorders>
            <w:noWrap/>
            <w:vAlign w:val="bottom"/>
          </w:tcPr>
          <w:p>
            <w:pPr>
              <w:widowControl/>
              <w:jc w:val="center"/>
              <w:rPr>
                <w:rFonts w:hint="eastAsia" w:ascii="方正小标宋简体" w:hAnsi="黑体" w:eastAsia="方正小标宋简体" w:cs="宋体"/>
                <w:color w:val="auto"/>
                <w:kern w:val="0"/>
                <w:sz w:val="44"/>
                <w:szCs w:val="44"/>
              </w:rPr>
            </w:pPr>
            <w:r>
              <w:rPr>
                <w:rFonts w:hint="eastAsia" w:ascii="方正小标宋简体" w:hAnsi="黑体" w:eastAsia="方正小标宋简体" w:cs="宋体"/>
                <w:color w:val="auto"/>
                <w:kern w:val="0"/>
                <w:sz w:val="44"/>
                <w:szCs w:val="44"/>
              </w:rPr>
              <w:t>202</w:t>
            </w:r>
            <w:r>
              <w:rPr>
                <w:rFonts w:hint="eastAsia" w:ascii="方正小标宋简体" w:hAnsi="黑体" w:eastAsia="方正小标宋简体" w:cs="宋体"/>
                <w:color w:val="auto"/>
                <w:kern w:val="0"/>
                <w:sz w:val="44"/>
                <w:szCs w:val="44"/>
                <w:lang w:val="en-US" w:eastAsia="zh-CN"/>
              </w:rPr>
              <w:t>3</w:t>
            </w:r>
            <w:r>
              <w:rPr>
                <w:rFonts w:hint="eastAsia" w:ascii="方正小标宋简体" w:hAnsi="黑体" w:eastAsia="方正小标宋简体" w:cs="宋体"/>
                <w:color w:val="auto"/>
                <w:kern w:val="0"/>
                <w:sz w:val="44"/>
                <w:szCs w:val="44"/>
              </w:rPr>
              <w:t>年部门整体绩效评价指标体系评分表</w:t>
            </w:r>
          </w:p>
        </w:tc>
      </w:tr>
      <w:tr>
        <w:tblPrEx>
          <w:tblCellMar>
            <w:top w:w="0" w:type="dxa"/>
            <w:left w:w="108" w:type="dxa"/>
            <w:bottom w:w="0" w:type="dxa"/>
            <w:right w:w="108" w:type="dxa"/>
          </w:tblCellMar>
        </w:tblPrEx>
        <w:trPr>
          <w:trHeight w:val="470" w:hRule="atLeast"/>
        </w:trPr>
        <w:tc>
          <w:tcPr>
            <w:tcW w:w="5000" w:type="pct"/>
            <w:gridSpan w:val="9"/>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一、</w:t>
            </w:r>
            <w:r>
              <w:rPr>
                <w:rFonts w:hint="eastAsia" w:ascii="宋体" w:hAnsi="宋体" w:cs="宋体"/>
                <w:color w:val="auto"/>
                <w:kern w:val="0"/>
                <w:sz w:val="20"/>
                <w:szCs w:val="20"/>
              </w:rPr>
              <w:t>当年预算执行情况（20分）</w:t>
            </w:r>
          </w:p>
        </w:tc>
      </w:tr>
      <w:tr>
        <w:tblPrEx>
          <w:tblCellMar>
            <w:top w:w="0" w:type="dxa"/>
            <w:left w:w="108" w:type="dxa"/>
            <w:bottom w:w="0" w:type="dxa"/>
            <w:right w:w="108" w:type="dxa"/>
          </w:tblCellMar>
        </w:tblPrEx>
        <w:trPr>
          <w:trHeight w:val="660" w:hRule="atLeast"/>
        </w:trPr>
        <w:tc>
          <w:tcPr>
            <w:tcW w:w="3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一</w:t>
            </w:r>
            <w:r>
              <w:rPr>
                <w:rFonts w:ascii="宋体" w:hAnsi="宋体" w:cs="宋体"/>
                <w:color w:val="auto"/>
                <w:kern w:val="0"/>
                <w:sz w:val="20"/>
                <w:szCs w:val="20"/>
              </w:rPr>
              <w:t>级指标</w:t>
            </w:r>
            <w:r>
              <w:rPr>
                <w:rFonts w:hint="eastAsia" w:ascii="宋体" w:hAnsi="宋体" w:cs="宋体"/>
                <w:color w:val="auto"/>
                <w:kern w:val="0"/>
                <w:sz w:val="20"/>
                <w:szCs w:val="20"/>
              </w:rPr>
              <w:t>　</w:t>
            </w:r>
          </w:p>
        </w:tc>
        <w:tc>
          <w:tcPr>
            <w:tcW w:w="33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二</w:t>
            </w:r>
            <w:r>
              <w:rPr>
                <w:rFonts w:ascii="宋体" w:hAnsi="宋体" w:cs="宋体"/>
                <w:color w:val="auto"/>
                <w:kern w:val="0"/>
                <w:sz w:val="20"/>
                <w:szCs w:val="20"/>
              </w:rPr>
              <w:t>级指标</w:t>
            </w:r>
            <w:r>
              <w:rPr>
                <w:rFonts w:hint="eastAsia" w:ascii="宋体" w:hAnsi="宋体" w:cs="宋体"/>
                <w:color w:val="auto"/>
                <w:kern w:val="0"/>
                <w:sz w:val="20"/>
                <w:szCs w:val="20"/>
              </w:rPr>
              <w:t>　</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预算数（万元）</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执行数（万元）</w:t>
            </w:r>
          </w:p>
        </w:tc>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预算执行率</w:t>
            </w:r>
          </w:p>
        </w:tc>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分值</w:t>
            </w:r>
          </w:p>
        </w:tc>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得分</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指标解释</w:t>
            </w:r>
          </w:p>
        </w:tc>
        <w:tc>
          <w:tcPr>
            <w:tcW w:w="1489"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评分标准</w:t>
            </w:r>
          </w:p>
        </w:tc>
      </w:tr>
      <w:tr>
        <w:tblPrEx>
          <w:tblCellMar>
            <w:top w:w="0" w:type="dxa"/>
            <w:left w:w="108" w:type="dxa"/>
            <w:bottom w:w="0" w:type="dxa"/>
            <w:right w:w="108" w:type="dxa"/>
          </w:tblCellMar>
        </w:tblPrEx>
        <w:trPr>
          <w:trHeight w:val="630" w:hRule="atLeast"/>
        </w:trPr>
        <w:tc>
          <w:tcPr>
            <w:tcW w:w="320"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当年预算执行情况（20）</w:t>
            </w:r>
          </w:p>
        </w:tc>
        <w:tc>
          <w:tcPr>
            <w:tcW w:w="33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资金总体</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67550.52</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52288.87</w:t>
            </w:r>
          </w:p>
        </w:tc>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77.4%</w:t>
            </w:r>
          </w:p>
        </w:tc>
        <w:tc>
          <w:tcPr>
            <w:tcW w:w="208"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w:t>
            </w:r>
          </w:p>
        </w:tc>
        <w:tc>
          <w:tcPr>
            <w:tcW w:w="208"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44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部门全年执行数与全年预算数的比率。资金总体=基本支出+项目支出+其他</w:t>
            </w:r>
          </w:p>
        </w:tc>
        <w:tc>
          <w:tcPr>
            <w:tcW w:w="1489" w:type="pct"/>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①得分一档最高不能超过该指标分值上限（20分）。</w:t>
            </w:r>
            <w:r>
              <w:rPr>
                <w:rFonts w:hint="eastAsia" w:ascii="宋体" w:hAnsi="宋体" w:cs="宋体"/>
                <w:color w:val="auto"/>
                <w:kern w:val="0"/>
                <w:sz w:val="18"/>
                <w:szCs w:val="18"/>
              </w:rPr>
              <w:br w:type="textWrapping"/>
            </w:r>
            <w:r>
              <w:rPr>
                <w:rFonts w:hint="eastAsia" w:ascii="宋体" w:hAnsi="宋体" w:cs="宋体"/>
                <w:color w:val="auto"/>
                <w:kern w:val="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CellMar>
            <w:top w:w="0" w:type="dxa"/>
            <w:left w:w="108" w:type="dxa"/>
            <w:bottom w:w="0" w:type="dxa"/>
            <w:right w:w="108" w:type="dxa"/>
          </w:tblCellMar>
        </w:tblPrEx>
        <w:trPr>
          <w:trHeight w:val="60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基本支出</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2729.12</w:t>
            </w:r>
            <w:r>
              <w:rPr>
                <w:rFonts w:hint="eastAsia" w:ascii="宋体" w:hAnsi="宋体" w:cs="宋体"/>
                <w:color w:val="auto"/>
                <w:kern w:val="0"/>
                <w:sz w:val="20"/>
                <w:szCs w:val="20"/>
              </w:rPr>
              <w:t>　</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4179.93</w:t>
            </w:r>
            <w:r>
              <w:rPr>
                <w:rFonts w:hint="eastAsia" w:ascii="宋体" w:hAnsi="宋体" w:cs="宋体"/>
                <w:color w:val="auto"/>
                <w:kern w:val="0"/>
                <w:sz w:val="20"/>
                <w:szCs w:val="20"/>
              </w:rPr>
              <w:t>　</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c>
          <w:tcPr>
            <w:tcW w:w="20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vMerge w:val="continue"/>
            <w:tcBorders>
              <w:top w:val="single" w:color="auto" w:sz="4" w:space="0"/>
              <w:left w:val="nil"/>
              <w:bottom w:val="single" w:color="auto" w:sz="4" w:space="0"/>
              <w:right w:val="nil"/>
            </w:tcBorders>
            <w:noWrap w:val="0"/>
            <w:vAlign w:val="center"/>
          </w:tcPr>
          <w:p>
            <w:pPr>
              <w:widowControl/>
              <w:jc w:val="left"/>
              <w:rPr>
                <w:rFonts w:ascii="宋体" w:hAnsi="宋体" w:cs="宋体"/>
                <w:color w:val="auto"/>
                <w:kern w:val="0"/>
                <w:sz w:val="20"/>
                <w:szCs w:val="20"/>
              </w:rPr>
            </w:pPr>
          </w:p>
        </w:tc>
        <w:tc>
          <w:tcPr>
            <w:tcW w:w="14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615"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项目支出</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64821.4</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48108.93</w:t>
            </w:r>
            <w:r>
              <w:rPr>
                <w:rFonts w:hint="eastAsia" w:ascii="宋体" w:hAnsi="宋体" w:cs="宋体"/>
                <w:color w:val="auto"/>
                <w:kern w:val="0"/>
                <w:sz w:val="20"/>
                <w:szCs w:val="20"/>
              </w:rPr>
              <w:t>　</w:t>
            </w:r>
          </w:p>
        </w:tc>
        <w:tc>
          <w:tcPr>
            <w:tcW w:w="3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vMerge w:val="continue"/>
            <w:tcBorders>
              <w:top w:val="single" w:color="auto" w:sz="4" w:space="0"/>
              <w:left w:val="nil"/>
              <w:bottom w:val="single" w:color="auto" w:sz="4" w:space="0"/>
              <w:right w:val="nil"/>
            </w:tcBorders>
            <w:noWrap w:val="0"/>
            <w:vAlign w:val="center"/>
          </w:tcPr>
          <w:p>
            <w:pPr>
              <w:widowControl/>
              <w:jc w:val="left"/>
              <w:rPr>
                <w:rFonts w:ascii="宋体" w:hAnsi="宋体" w:cs="宋体"/>
                <w:color w:val="auto"/>
                <w:kern w:val="0"/>
                <w:sz w:val="20"/>
                <w:szCs w:val="20"/>
              </w:rPr>
            </w:pPr>
          </w:p>
        </w:tc>
        <w:tc>
          <w:tcPr>
            <w:tcW w:w="14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2136"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其他</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0</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0</w:t>
            </w:r>
            <w:r>
              <w:rPr>
                <w:rFonts w:hint="eastAsia" w:ascii="宋体" w:hAnsi="宋体" w:cs="宋体"/>
                <w:color w:val="auto"/>
                <w:kern w:val="0"/>
                <w:sz w:val="20"/>
                <w:szCs w:val="20"/>
              </w:rPr>
              <w:t>　</w:t>
            </w:r>
          </w:p>
        </w:tc>
        <w:tc>
          <w:tcPr>
            <w:tcW w:w="31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vMerge w:val="continue"/>
            <w:tcBorders>
              <w:top w:val="single" w:color="auto" w:sz="4" w:space="0"/>
              <w:left w:val="nil"/>
              <w:bottom w:val="single" w:color="auto" w:sz="4" w:space="0"/>
              <w:right w:val="nil"/>
            </w:tcBorders>
            <w:noWrap w:val="0"/>
            <w:vAlign w:val="center"/>
          </w:tcPr>
          <w:p>
            <w:pPr>
              <w:widowControl/>
              <w:jc w:val="left"/>
              <w:rPr>
                <w:rFonts w:ascii="宋体" w:hAnsi="宋体" w:cs="宋体"/>
                <w:color w:val="auto"/>
                <w:kern w:val="0"/>
                <w:sz w:val="20"/>
                <w:szCs w:val="20"/>
              </w:rPr>
            </w:pPr>
          </w:p>
        </w:tc>
        <w:tc>
          <w:tcPr>
            <w:tcW w:w="144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569" w:hRule="atLeast"/>
        </w:trPr>
        <w:tc>
          <w:tcPr>
            <w:tcW w:w="5000" w:type="pct"/>
            <w:gridSpan w:val="9"/>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二</w:t>
            </w:r>
            <w:r>
              <w:rPr>
                <w:rFonts w:ascii="宋体" w:hAnsi="宋体" w:cs="宋体"/>
                <w:color w:val="auto"/>
                <w:kern w:val="0"/>
                <w:sz w:val="18"/>
                <w:szCs w:val="18"/>
              </w:rPr>
              <w:t>、</w:t>
            </w:r>
            <w:r>
              <w:rPr>
                <w:rFonts w:hint="eastAsia" w:ascii="宋体" w:hAnsi="宋体" w:cs="宋体"/>
                <w:color w:val="auto"/>
                <w:kern w:val="0"/>
                <w:sz w:val="20"/>
                <w:szCs w:val="20"/>
              </w:rPr>
              <w:t>整体绩效目标实现情况（60分）</w:t>
            </w:r>
          </w:p>
        </w:tc>
      </w:tr>
      <w:tr>
        <w:tblPrEx>
          <w:tblCellMar>
            <w:top w:w="0" w:type="dxa"/>
            <w:left w:w="108" w:type="dxa"/>
            <w:bottom w:w="0" w:type="dxa"/>
            <w:right w:w="108" w:type="dxa"/>
          </w:tblCellMar>
        </w:tblPrEx>
        <w:trPr>
          <w:trHeight w:val="499" w:hRule="atLeast"/>
        </w:trPr>
        <w:tc>
          <w:tcPr>
            <w:tcW w:w="3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一</w:t>
            </w:r>
            <w:r>
              <w:rPr>
                <w:rFonts w:ascii="宋体" w:hAnsi="宋体" w:cs="宋体"/>
                <w:color w:val="auto"/>
                <w:kern w:val="0"/>
                <w:sz w:val="20"/>
                <w:szCs w:val="20"/>
              </w:rPr>
              <w:t>级指标</w:t>
            </w:r>
          </w:p>
        </w:tc>
        <w:tc>
          <w:tcPr>
            <w:tcW w:w="33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二</w:t>
            </w:r>
            <w:r>
              <w:rPr>
                <w:rFonts w:ascii="宋体" w:hAnsi="宋体" w:cs="宋体"/>
                <w:color w:val="auto"/>
                <w:kern w:val="0"/>
                <w:sz w:val="20"/>
                <w:szCs w:val="20"/>
              </w:rPr>
              <w:t>级指标</w:t>
            </w:r>
            <w:r>
              <w:rPr>
                <w:rFonts w:hint="eastAsia" w:ascii="宋体" w:hAnsi="宋体" w:cs="宋体"/>
                <w:color w:val="auto"/>
                <w:kern w:val="0"/>
                <w:sz w:val="20"/>
                <w:szCs w:val="20"/>
              </w:rPr>
              <w:t>　</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三</w:t>
            </w:r>
            <w:r>
              <w:rPr>
                <w:rFonts w:ascii="宋体" w:hAnsi="宋体" w:cs="宋体"/>
                <w:color w:val="auto"/>
                <w:kern w:val="0"/>
                <w:sz w:val="20"/>
                <w:szCs w:val="20"/>
              </w:rPr>
              <w:t>级指标</w:t>
            </w:r>
            <w:r>
              <w:rPr>
                <w:rFonts w:hint="eastAsia" w:ascii="宋体" w:hAnsi="宋体" w:cs="宋体"/>
                <w:color w:val="auto"/>
                <w:kern w:val="0"/>
                <w:sz w:val="20"/>
                <w:szCs w:val="20"/>
              </w:rPr>
              <w:t>　</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指标值</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完成值</w:t>
            </w:r>
          </w:p>
        </w:tc>
        <w:tc>
          <w:tcPr>
            <w:tcW w:w="20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分值</w:t>
            </w:r>
          </w:p>
        </w:tc>
        <w:tc>
          <w:tcPr>
            <w:tcW w:w="208" w:type="pct"/>
            <w:tcBorders>
              <w:top w:val="single" w:color="auto" w:sz="4" w:space="0"/>
              <w:left w:val="nil"/>
              <w:bottom w:val="single" w:color="auto" w:sz="4" w:space="0"/>
              <w:right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得分</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auto"/>
                <w:kern w:val="0"/>
                <w:sz w:val="18"/>
                <w:szCs w:val="18"/>
              </w:rPr>
            </w:pPr>
            <w:r>
              <w:rPr>
                <w:rFonts w:hint="eastAsia" w:ascii="宋体" w:hAnsi="宋体" w:cs="宋体"/>
                <w:bCs/>
                <w:color w:val="auto"/>
                <w:kern w:val="0"/>
                <w:sz w:val="18"/>
                <w:szCs w:val="18"/>
              </w:rPr>
              <w:t>指标</w:t>
            </w:r>
            <w:r>
              <w:rPr>
                <w:rFonts w:ascii="宋体" w:hAnsi="宋体" w:cs="宋体"/>
                <w:bCs/>
                <w:color w:val="auto"/>
                <w:kern w:val="0"/>
                <w:sz w:val="18"/>
                <w:szCs w:val="18"/>
              </w:rPr>
              <w:t>解释</w:t>
            </w:r>
          </w:p>
        </w:tc>
        <w:tc>
          <w:tcPr>
            <w:tcW w:w="148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评</w:t>
            </w:r>
            <w:r>
              <w:rPr>
                <w:rFonts w:ascii="宋体" w:hAnsi="宋体" w:cs="宋体"/>
                <w:color w:val="auto"/>
                <w:kern w:val="0"/>
                <w:sz w:val="18"/>
                <w:szCs w:val="18"/>
              </w:rPr>
              <w:t>分标准</w:t>
            </w:r>
          </w:p>
        </w:tc>
      </w:tr>
      <w:tr>
        <w:tblPrEx>
          <w:tblCellMar>
            <w:top w:w="0" w:type="dxa"/>
            <w:left w:w="108" w:type="dxa"/>
            <w:bottom w:w="0" w:type="dxa"/>
            <w:right w:w="108" w:type="dxa"/>
          </w:tblCellMar>
        </w:tblPrEx>
        <w:trPr>
          <w:trHeight w:val="1196" w:hRule="atLeast"/>
        </w:trPr>
        <w:tc>
          <w:tcPr>
            <w:tcW w:w="32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整体绩效目标实现情况（60）</w:t>
            </w:r>
          </w:p>
        </w:tc>
        <w:tc>
          <w:tcPr>
            <w:tcW w:w="333" w:type="pct"/>
            <w:vMerge w:val="restart"/>
            <w:tcBorders>
              <w:top w:val="single" w:color="auto" w:sz="4" w:space="0"/>
              <w:left w:val="nil"/>
              <w:right w:val="single" w:color="auto" w:sz="4" w:space="0"/>
            </w:tcBorders>
            <w:noWrap w:val="0"/>
            <w:vAlign w:val="center"/>
          </w:tcPr>
          <w:p>
            <w:pPr>
              <w:widowControl/>
              <w:jc w:val="center"/>
              <w:rPr>
                <w:rFonts w:ascii="宋体" w:hAnsi="宋体" w:cs="宋体"/>
                <w:color w:val="auto"/>
                <w:kern w:val="0"/>
                <w:sz w:val="20"/>
                <w:szCs w:val="20"/>
              </w:rPr>
            </w:pPr>
          </w:p>
          <w:p>
            <w:pPr>
              <w:jc w:val="center"/>
              <w:rPr>
                <w:rFonts w:hint="eastAsia" w:ascii="宋体" w:hAnsi="宋体" w:cs="宋体"/>
                <w:color w:val="auto"/>
                <w:kern w:val="0"/>
                <w:sz w:val="20"/>
                <w:szCs w:val="20"/>
              </w:rPr>
            </w:pPr>
            <w:r>
              <w:rPr>
                <w:rFonts w:hint="eastAsia" w:ascii="宋体" w:hAnsi="宋体" w:cs="宋体"/>
                <w:color w:val="auto"/>
                <w:kern w:val="0"/>
                <w:sz w:val="20"/>
                <w:szCs w:val="20"/>
              </w:rPr>
              <w:t>产出（30）</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rPr>
            </w:pPr>
          </w:p>
          <w:p>
            <w:pPr>
              <w:jc w:val="center"/>
              <w:rPr>
                <w:rFonts w:hint="eastAsia" w:ascii="宋体" w:hAnsi="宋体" w:cs="宋体"/>
                <w:color w:val="auto"/>
                <w:kern w:val="0"/>
                <w:sz w:val="20"/>
                <w:szCs w:val="20"/>
              </w:rPr>
            </w:pPr>
            <w:r>
              <w:rPr>
                <w:rFonts w:hint="eastAsia" w:ascii="宋体" w:hAnsi="宋体" w:cs="宋体"/>
                <w:b/>
                <w:bCs/>
                <w:color w:val="auto"/>
                <w:kern w:val="0"/>
                <w:sz w:val="18"/>
                <w:szCs w:val="18"/>
              </w:rPr>
              <w:t>产出数量</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1"/>
                <w:szCs w:val="21"/>
              </w:rPr>
            </w:pPr>
            <w:r>
              <w:rPr>
                <w:rFonts w:hint="eastAsia" w:ascii="仿宋_GB2312" w:eastAsia="仿宋_GB2312"/>
                <w:color w:val="auto"/>
                <w:sz w:val="21"/>
                <w:szCs w:val="21"/>
              </w:rPr>
              <w:t>202</w:t>
            </w:r>
            <w:r>
              <w:rPr>
                <w:rFonts w:hint="eastAsia" w:ascii="仿宋_GB2312" w:eastAsia="仿宋_GB2312"/>
                <w:color w:val="auto"/>
                <w:sz w:val="21"/>
                <w:szCs w:val="21"/>
                <w:lang w:val="en-US" w:eastAsia="zh-CN"/>
              </w:rPr>
              <w:t>3</w:t>
            </w:r>
            <w:r>
              <w:rPr>
                <w:rFonts w:hint="eastAsia" w:ascii="仿宋_GB2312" w:eastAsia="仿宋_GB2312"/>
                <w:color w:val="auto"/>
                <w:sz w:val="21"/>
                <w:szCs w:val="21"/>
              </w:rPr>
              <w:t>年度本年支出合计</w:t>
            </w:r>
            <w:r>
              <w:rPr>
                <w:rFonts w:ascii="仿宋_GB2312" w:eastAsia="仿宋_GB2312"/>
                <w:color w:val="auto"/>
                <w:sz w:val="21"/>
                <w:szCs w:val="21"/>
              </w:rPr>
              <w:t>52334.18</w:t>
            </w:r>
            <w:r>
              <w:rPr>
                <w:rFonts w:hint="eastAsia" w:ascii="仿宋_GB2312" w:eastAsia="仿宋_GB2312"/>
                <w:color w:val="auto"/>
                <w:sz w:val="21"/>
                <w:szCs w:val="21"/>
              </w:rPr>
              <w:t>万元，</w:t>
            </w:r>
            <w:r>
              <w:rPr>
                <w:rFonts w:ascii="仿宋_GB2312" w:eastAsia="仿宋_GB2312"/>
                <w:color w:val="auto"/>
                <w:sz w:val="21"/>
                <w:szCs w:val="21"/>
              </w:rPr>
              <w:t>比上年</w:t>
            </w:r>
            <w:r>
              <w:rPr>
                <w:rFonts w:hint="eastAsia" w:ascii="仿宋_GB2312" w:eastAsia="仿宋_GB2312"/>
                <w:color w:val="auto"/>
                <w:sz w:val="21"/>
                <w:szCs w:val="21"/>
              </w:rPr>
              <w:t>34465</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4</w:t>
            </w:r>
            <w:r>
              <w:rPr>
                <w:rFonts w:hint="eastAsia" w:ascii="仿宋_GB2312" w:eastAsia="仿宋_GB2312"/>
                <w:color w:val="auto"/>
                <w:sz w:val="21"/>
                <w:szCs w:val="21"/>
                <w:lang w:val="en-US" w:eastAsia="zh-CN"/>
              </w:rPr>
              <w:t>万元</w:t>
            </w:r>
            <w:r>
              <w:rPr>
                <w:rFonts w:ascii="仿宋_GB2312" w:eastAsia="仿宋_GB2312"/>
                <w:color w:val="auto"/>
                <w:sz w:val="21"/>
                <w:szCs w:val="21"/>
              </w:rPr>
              <w:t>增加</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17868.78</w:t>
            </w:r>
            <w:r>
              <w:rPr>
                <w:rFonts w:hint="eastAsia" w:ascii="仿宋_GB2312" w:eastAsia="仿宋_GB2312"/>
                <w:color w:val="auto"/>
                <w:sz w:val="21"/>
                <w:szCs w:val="21"/>
              </w:rPr>
              <w:t>万元，增长</w:t>
            </w:r>
            <w:r>
              <w:rPr>
                <w:rFonts w:hint="eastAsia" w:ascii="仿宋_GB2312" w:eastAsia="仿宋_GB2312"/>
                <w:color w:val="auto"/>
                <w:sz w:val="21"/>
                <w:szCs w:val="21"/>
                <w:lang w:val="en-US" w:eastAsia="zh-CN"/>
              </w:rPr>
              <w:t>51.85</w:t>
            </w:r>
            <w:r>
              <w:rPr>
                <w:rFonts w:hint="eastAsia" w:ascii="仿宋_GB2312" w:eastAsia="仿宋_GB2312"/>
                <w:color w:val="auto"/>
                <w:sz w:val="21"/>
                <w:szCs w:val="21"/>
              </w:rPr>
              <w:t>%，其中：基本支出</w:t>
            </w:r>
            <w:r>
              <w:rPr>
                <w:rFonts w:ascii="仿宋_GB2312" w:eastAsia="仿宋_GB2312"/>
                <w:color w:val="auto"/>
                <w:sz w:val="21"/>
                <w:szCs w:val="21"/>
              </w:rPr>
              <w:t>4179.93</w:t>
            </w:r>
            <w:r>
              <w:rPr>
                <w:rFonts w:hint="eastAsia" w:ascii="仿宋_GB2312" w:eastAsia="仿宋_GB2312"/>
                <w:color w:val="auto"/>
                <w:sz w:val="21"/>
                <w:szCs w:val="21"/>
              </w:rPr>
              <w:t>万元，占支出合计的</w:t>
            </w:r>
            <w:r>
              <w:rPr>
                <w:rFonts w:ascii="仿宋_GB2312" w:eastAsia="仿宋_GB2312"/>
                <w:color w:val="auto"/>
                <w:sz w:val="21"/>
                <w:szCs w:val="21"/>
              </w:rPr>
              <w:t>7.98</w:t>
            </w:r>
            <w:r>
              <w:rPr>
                <w:rFonts w:hint="eastAsia" w:ascii="仿宋_GB2312" w:eastAsia="仿宋_GB2312"/>
                <w:color w:val="auto"/>
                <w:sz w:val="21"/>
                <w:szCs w:val="21"/>
              </w:rPr>
              <w:t>%；项目支出</w:t>
            </w:r>
            <w:r>
              <w:rPr>
                <w:rFonts w:ascii="仿宋_GB2312" w:eastAsia="仿宋_GB2312"/>
                <w:color w:val="auto"/>
                <w:sz w:val="21"/>
                <w:szCs w:val="21"/>
              </w:rPr>
              <w:t>48154.25</w:t>
            </w:r>
            <w:r>
              <w:rPr>
                <w:rFonts w:hint="eastAsia" w:ascii="仿宋_GB2312" w:eastAsia="仿宋_GB2312"/>
                <w:color w:val="auto"/>
                <w:sz w:val="21"/>
                <w:szCs w:val="21"/>
              </w:rPr>
              <w:t>万元，占支出合计的</w:t>
            </w:r>
            <w:r>
              <w:rPr>
                <w:rFonts w:ascii="仿宋_GB2312" w:eastAsia="仿宋_GB2312"/>
                <w:color w:val="auto"/>
                <w:sz w:val="21"/>
                <w:szCs w:val="21"/>
              </w:rPr>
              <w:t>92.01</w:t>
            </w:r>
            <w:r>
              <w:rPr>
                <w:rFonts w:hint="eastAsia" w:ascii="仿宋_GB2312" w:eastAsia="仿宋_GB2312"/>
                <w:color w:val="auto"/>
                <w:sz w:val="21"/>
                <w:szCs w:val="21"/>
              </w:rPr>
              <w:t>%;上缴上级支出</w:t>
            </w:r>
            <w:r>
              <w:rPr>
                <w:rFonts w:ascii="仿宋_GB2312" w:eastAsia="仿宋_GB2312"/>
                <w:color w:val="auto"/>
                <w:sz w:val="21"/>
                <w:szCs w:val="21"/>
              </w:rPr>
              <w:t>0</w:t>
            </w:r>
            <w:r>
              <w:rPr>
                <w:rFonts w:hint="eastAsia" w:ascii="仿宋_GB2312" w:eastAsia="仿宋_GB2312"/>
                <w:color w:val="auto"/>
                <w:sz w:val="21"/>
                <w:szCs w:val="21"/>
              </w:rPr>
              <w:t>万元，占支出合计的</w:t>
            </w:r>
            <w:r>
              <w:rPr>
                <w:rFonts w:ascii="仿宋_GB2312" w:eastAsia="仿宋_GB2312"/>
                <w:color w:val="auto"/>
                <w:sz w:val="21"/>
                <w:szCs w:val="21"/>
              </w:rPr>
              <w:t>0</w:t>
            </w:r>
            <w:r>
              <w:rPr>
                <w:rFonts w:hint="eastAsia" w:ascii="仿宋_GB2312" w:eastAsia="仿宋_GB2312"/>
                <w:color w:val="auto"/>
                <w:sz w:val="21"/>
                <w:szCs w:val="21"/>
              </w:rPr>
              <w:t>%；经营支出</w:t>
            </w:r>
            <w:r>
              <w:rPr>
                <w:rFonts w:ascii="仿宋_GB2312" w:eastAsia="仿宋_GB2312"/>
                <w:color w:val="auto"/>
                <w:sz w:val="21"/>
                <w:szCs w:val="21"/>
              </w:rPr>
              <w:t>0</w:t>
            </w:r>
            <w:r>
              <w:rPr>
                <w:rFonts w:hint="eastAsia" w:ascii="仿宋_GB2312" w:eastAsia="仿宋_GB2312"/>
                <w:color w:val="auto"/>
                <w:sz w:val="21"/>
                <w:szCs w:val="21"/>
              </w:rPr>
              <w:t>万元，占支出合计的</w:t>
            </w:r>
            <w:r>
              <w:rPr>
                <w:rFonts w:ascii="仿宋_GB2312" w:eastAsia="仿宋_GB2312"/>
                <w:color w:val="auto"/>
                <w:sz w:val="21"/>
                <w:szCs w:val="21"/>
              </w:rPr>
              <w:t>0</w:t>
            </w:r>
            <w:r>
              <w:rPr>
                <w:rFonts w:hint="eastAsia" w:ascii="仿宋_GB2312" w:eastAsia="仿宋_GB2312"/>
                <w:color w:val="auto"/>
                <w:sz w:val="21"/>
                <w:szCs w:val="21"/>
              </w:rPr>
              <w:t>%；对附属单位补助支出</w:t>
            </w:r>
            <w:r>
              <w:rPr>
                <w:rFonts w:ascii="仿宋_GB2312" w:eastAsia="仿宋_GB2312"/>
                <w:color w:val="auto"/>
                <w:sz w:val="21"/>
                <w:szCs w:val="21"/>
              </w:rPr>
              <w:t>0</w:t>
            </w:r>
            <w:r>
              <w:rPr>
                <w:rFonts w:hint="eastAsia" w:ascii="仿宋_GB2312" w:eastAsia="仿宋_GB2312"/>
                <w:color w:val="auto"/>
                <w:sz w:val="21"/>
                <w:szCs w:val="21"/>
              </w:rPr>
              <w:t>万元，占支出合计的</w:t>
            </w:r>
            <w:r>
              <w:rPr>
                <w:rFonts w:ascii="仿宋_GB2312" w:eastAsia="仿宋_GB2312"/>
                <w:color w:val="auto"/>
                <w:sz w:val="21"/>
                <w:szCs w:val="21"/>
              </w:rPr>
              <w:t>0</w:t>
            </w:r>
            <w:r>
              <w:rPr>
                <w:rFonts w:hint="eastAsia" w:ascii="仿宋_GB2312" w:eastAsia="仿宋_GB2312"/>
                <w:color w:val="auto"/>
                <w:sz w:val="21"/>
                <w:szCs w:val="21"/>
              </w:rPr>
              <w:t>%。</w:t>
            </w:r>
            <w:r>
              <w:rPr>
                <w:rFonts w:hint="eastAsia" w:hAnsi="宋体" w:cs="宋体"/>
                <w:color w:val="auto"/>
                <w:kern w:val="0"/>
                <w:sz w:val="21"/>
                <w:szCs w:val="21"/>
                <w:lang w:val="en-US" w:eastAsia="zh-CN"/>
              </w:rPr>
              <w:t xml:space="preserve"> </w:t>
            </w:r>
            <w:r>
              <w:rPr>
                <w:rFonts w:hint="eastAsia" w:ascii="仿宋_GB2312" w:hAnsi="仿宋_GB2312" w:eastAsia="仿宋_GB2312" w:cs="仿宋_GB2312"/>
                <w:color w:val="auto"/>
                <w:sz w:val="21"/>
                <w:szCs w:val="21"/>
                <w:lang w:val="en-US" w:eastAsia="zh-CN"/>
              </w:rPr>
              <w:t>提升休闲农业园区22个，开展市级休闲农业推介活动1次已完成；提升美丽休闲乡村建设9个，改造提升民俗接待示范户28户,提升了休闲农业重点区建设</w:t>
            </w:r>
            <w:r>
              <w:rPr>
                <w:rFonts w:hint="eastAsia" w:ascii="仿宋_GB2312" w:eastAsia="仿宋_GB2312"/>
                <w:color w:val="auto"/>
                <w:sz w:val="21"/>
                <w:szCs w:val="21"/>
                <w:lang w:val="en-US" w:eastAsia="zh-CN"/>
              </w:rPr>
              <w:t>。</w:t>
            </w:r>
          </w:p>
          <w:p>
            <w:pPr>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1"/>
                <w:szCs w:val="21"/>
              </w:rPr>
            </w:pPr>
            <w:r>
              <w:rPr>
                <w:rFonts w:hint="eastAsia" w:ascii="仿宋_GB2312" w:eastAsia="仿宋_GB2312"/>
                <w:color w:val="auto"/>
                <w:sz w:val="21"/>
                <w:szCs w:val="21"/>
              </w:rPr>
              <w:t>202</w:t>
            </w:r>
            <w:r>
              <w:rPr>
                <w:rFonts w:hint="eastAsia" w:ascii="仿宋_GB2312" w:eastAsia="仿宋_GB2312"/>
                <w:color w:val="auto"/>
                <w:sz w:val="21"/>
                <w:szCs w:val="21"/>
                <w:lang w:val="en-US" w:eastAsia="zh-CN"/>
              </w:rPr>
              <w:t>3</w:t>
            </w:r>
            <w:r>
              <w:rPr>
                <w:rFonts w:hint="eastAsia" w:ascii="仿宋_GB2312" w:eastAsia="仿宋_GB2312"/>
                <w:color w:val="auto"/>
                <w:sz w:val="21"/>
                <w:szCs w:val="21"/>
              </w:rPr>
              <w:t>年度本年支出合计</w:t>
            </w:r>
            <w:r>
              <w:rPr>
                <w:rFonts w:ascii="仿宋_GB2312" w:eastAsia="仿宋_GB2312"/>
                <w:color w:val="auto"/>
                <w:sz w:val="21"/>
                <w:szCs w:val="21"/>
              </w:rPr>
              <w:t>52334.18</w:t>
            </w:r>
            <w:r>
              <w:rPr>
                <w:rFonts w:hint="eastAsia" w:ascii="仿宋_GB2312" w:eastAsia="仿宋_GB2312"/>
                <w:color w:val="auto"/>
                <w:sz w:val="21"/>
                <w:szCs w:val="21"/>
              </w:rPr>
              <w:t>万元，</w:t>
            </w:r>
            <w:r>
              <w:rPr>
                <w:rFonts w:ascii="仿宋_GB2312" w:eastAsia="仿宋_GB2312"/>
                <w:color w:val="auto"/>
                <w:sz w:val="21"/>
                <w:szCs w:val="21"/>
              </w:rPr>
              <w:t>比上年</w:t>
            </w:r>
            <w:r>
              <w:rPr>
                <w:rFonts w:hint="eastAsia" w:ascii="仿宋_GB2312" w:eastAsia="仿宋_GB2312"/>
                <w:color w:val="auto"/>
                <w:sz w:val="21"/>
                <w:szCs w:val="21"/>
              </w:rPr>
              <w:t>34465</w:t>
            </w:r>
            <w:r>
              <w:rPr>
                <w:rFonts w:hint="eastAsia" w:ascii="仿宋_GB2312" w:eastAsia="仿宋_GB2312"/>
                <w:color w:val="auto"/>
                <w:sz w:val="21"/>
                <w:szCs w:val="21"/>
                <w:lang w:val="en-US" w:eastAsia="zh-CN"/>
              </w:rPr>
              <w:t>.</w:t>
            </w:r>
            <w:r>
              <w:rPr>
                <w:rFonts w:hint="eastAsia" w:ascii="仿宋_GB2312" w:eastAsia="仿宋_GB2312"/>
                <w:color w:val="auto"/>
                <w:sz w:val="21"/>
                <w:szCs w:val="21"/>
              </w:rPr>
              <w:t>4</w:t>
            </w:r>
            <w:r>
              <w:rPr>
                <w:rFonts w:hint="eastAsia" w:ascii="仿宋_GB2312" w:eastAsia="仿宋_GB2312"/>
                <w:color w:val="auto"/>
                <w:sz w:val="21"/>
                <w:szCs w:val="21"/>
                <w:lang w:val="en-US" w:eastAsia="zh-CN"/>
              </w:rPr>
              <w:t>万元</w:t>
            </w:r>
            <w:r>
              <w:rPr>
                <w:rFonts w:ascii="仿宋_GB2312" w:eastAsia="仿宋_GB2312"/>
                <w:color w:val="auto"/>
                <w:sz w:val="21"/>
                <w:szCs w:val="21"/>
              </w:rPr>
              <w:t>增加</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17868.78</w:t>
            </w:r>
            <w:r>
              <w:rPr>
                <w:rFonts w:hint="eastAsia" w:ascii="仿宋_GB2312" w:eastAsia="仿宋_GB2312"/>
                <w:color w:val="auto"/>
                <w:sz w:val="21"/>
                <w:szCs w:val="21"/>
              </w:rPr>
              <w:t>万元，增长</w:t>
            </w:r>
            <w:r>
              <w:rPr>
                <w:rFonts w:hint="eastAsia" w:ascii="仿宋_GB2312" w:eastAsia="仿宋_GB2312"/>
                <w:color w:val="auto"/>
                <w:sz w:val="21"/>
                <w:szCs w:val="21"/>
                <w:lang w:val="en-US" w:eastAsia="zh-CN"/>
              </w:rPr>
              <w:t>51.85</w:t>
            </w:r>
            <w:r>
              <w:rPr>
                <w:rFonts w:hint="eastAsia" w:ascii="仿宋_GB2312" w:eastAsia="仿宋_GB2312"/>
                <w:color w:val="auto"/>
                <w:sz w:val="21"/>
                <w:szCs w:val="21"/>
              </w:rPr>
              <w:t>%，其中：基本支出</w:t>
            </w:r>
            <w:r>
              <w:rPr>
                <w:rFonts w:ascii="仿宋_GB2312" w:eastAsia="仿宋_GB2312"/>
                <w:color w:val="auto"/>
                <w:sz w:val="21"/>
                <w:szCs w:val="21"/>
              </w:rPr>
              <w:t>4179.93</w:t>
            </w:r>
            <w:r>
              <w:rPr>
                <w:rFonts w:hint="eastAsia" w:ascii="仿宋_GB2312" w:eastAsia="仿宋_GB2312"/>
                <w:color w:val="auto"/>
                <w:sz w:val="21"/>
                <w:szCs w:val="21"/>
              </w:rPr>
              <w:t>万元，占支出合计的</w:t>
            </w:r>
            <w:r>
              <w:rPr>
                <w:rFonts w:ascii="仿宋_GB2312" w:eastAsia="仿宋_GB2312"/>
                <w:color w:val="auto"/>
                <w:sz w:val="21"/>
                <w:szCs w:val="21"/>
              </w:rPr>
              <w:t>7.98</w:t>
            </w:r>
            <w:r>
              <w:rPr>
                <w:rFonts w:hint="eastAsia" w:ascii="仿宋_GB2312" w:eastAsia="仿宋_GB2312"/>
                <w:color w:val="auto"/>
                <w:sz w:val="21"/>
                <w:szCs w:val="21"/>
              </w:rPr>
              <w:t>%；项目支出</w:t>
            </w:r>
            <w:r>
              <w:rPr>
                <w:rFonts w:ascii="仿宋_GB2312" w:eastAsia="仿宋_GB2312"/>
                <w:color w:val="auto"/>
                <w:sz w:val="21"/>
                <w:szCs w:val="21"/>
              </w:rPr>
              <w:t>48154.25</w:t>
            </w:r>
            <w:r>
              <w:rPr>
                <w:rFonts w:hint="eastAsia" w:ascii="仿宋_GB2312" w:eastAsia="仿宋_GB2312"/>
                <w:color w:val="auto"/>
                <w:sz w:val="21"/>
                <w:szCs w:val="21"/>
              </w:rPr>
              <w:t>万元，占支出合计的</w:t>
            </w:r>
            <w:r>
              <w:rPr>
                <w:rFonts w:ascii="仿宋_GB2312" w:eastAsia="仿宋_GB2312"/>
                <w:color w:val="auto"/>
                <w:sz w:val="21"/>
                <w:szCs w:val="21"/>
              </w:rPr>
              <w:t>92.01</w:t>
            </w:r>
            <w:r>
              <w:rPr>
                <w:rFonts w:hint="eastAsia" w:ascii="仿宋_GB2312" w:eastAsia="仿宋_GB2312"/>
                <w:color w:val="auto"/>
                <w:sz w:val="21"/>
                <w:szCs w:val="21"/>
              </w:rPr>
              <w:t>%;上缴上级支出</w:t>
            </w:r>
            <w:r>
              <w:rPr>
                <w:rFonts w:ascii="仿宋_GB2312" w:eastAsia="仿宋_GB2312"/>
                <w:color w:val="auto"/>
                <w:sz w:val="21"/>
                <w:szCs w:val="21"/>
              </w:rPr>
              <w:t>0</w:t>
            </w:r>
            <w:r>
              <w:rPr>
                <w:rFonts w:hint="eastAsia" w:ascii="仿宋_GB2312" w:eastAsia="仿宋_GB2312"/>
                <w:color w:val="auto"/>
                <w:sz w:val="21"/>
                <w:szCs w:val="21"/>
              </w:rPr>
              <w:t>万元，占支出合计的</w:t>
            </w:r>
            <w:r>
              <w:rPr>
                <w:rFonts w:ascii="仿宋_GB2312" w:eastAsia="仿宋_GB2312"/>
                <w:color w:val="auto"/>
                <w:sz w:val="21"/>
                <w:szCs w:val="21"/>
              </w:rPr>
              <w:t>0</w:t>
            </w:r>
            <w:r>
              <w:rPr>
                <w:rFonts w:hint="eastAsia" w:ascii="仿宋_GB2312" w:eastAsia="仿宋_GB2312"/>
                <w:color w:val="auto"/>
                <w:sz w:val="21"/>
                <w:szCs w:val="21"/>
              </w:rPr>
              <w:t>%；经营支出</w:t>
            </w:r>
            <w:r>
              <w:rPr>
                <w:rFonts w:ascii="仿宋_GB2312" w:eastAsia="仿宋_GB2312"/>
                <w:color w:val="auto"/>
                <w:sz w:val="21"/>
                <w:szCs w:val="21"/>
              </w:rPr>
              <w:t>0</w:t>
            </w:r>
            <w:r>
              <w:rPr>
                <w:rFonts w:hint="eastAsia" w:ascii="仿宋_GB2312" w:eastAsia="仿宋_GB2312"/>
                <w:color w:val="auto"/>
                <w:sz w:val="21"/>
                <w:szCs w:val="21"/>
              </w:rPr>
              <w:t>万元，占支出合计的</w:t>
            </w:r>
            <w:r>
              <w:rPr>
                <w:rFonts w:ascii="仿宋_GB2312" w:eastAsia="仿宋_GB2312"/>
                <w:color w:val="auto"/>
                <w:sz w:val="21"/>
                <w:szCs w:val="21"/>
              </w:rPr>
              <w:t>0</w:t>
            </w:r>
            <w:r>
              <w:rPr>
                <w:rFonts w:hint="eastAsia" w:ascii="仿宋_GB2312" w:eastAsia="仿宋_GB2312"/>
                <w:color w:val="auto"/>
                <w:sz w:val="21"/>
                <w:szCs w:val="21"/>
              </w:rPr>
              <w:t>%；对附属单位补助支出</w:t>
            </w:r>
            <w:r>
              <w:rPr>
                <w:rFonts w:ascii="仿宋_GB2312" w:eastAsia="仿宋_GB2312"/>
                <w:color w:val="auto"/>
                <w:sz w:val="21"/>
                <w:szCs w:val="21"/>
              </w:rPr>
              <w:t>0</w:t>
            </w:r>
            <w:r>
              <w:rPr>
                <w:rFonts w:hint="eastAsia" w:ascii="仿宋_GB2312" w:eastAsia="仿宋_GB2312"/>
                <w:color w:val="auto"/>
                <w:sz w:val="21"/>
                <w:szCs w:val="21"/>
              </w:rPr>
              <w:t>万元，占支出合计的</w:t>
            </w:r>
            <w:r>
              <w:rPr>
                <w:rFonts w:ascii="仿宋_GB2312" w:eastAsia="仿宋_GB2312"/>
                <w:color w:val="auto"/>
                <w:sz w:val="21"/>
                <w:szCs w:val="21"/>
              </w:rPr>
              <w:t>0</w:t>
            </w:r>
            <w:r>
              <w:rPr>
                <w:rFonts w:hint="eastAsia" w:ascii="仿宋_GB2312" w:eastAsia="仿宋_GB2312"/>
                <w:color w:val="auto"/>
                <w:sz w:val="21"/>
                <w:szCs w:val="21"/>
              </w:rPr>
              <w:t>%。</w:t>
            </w:r>
            <w:r>
              <w:rPr>
                <w:rFonts w:hint="eastAsia" w:hAnsi="宋体" w:cs="宋体"/>
                <w:color w:val="auto"/>
                <w:kern w:val="0"/>
                <w:sz w:val="21"/>
                <w:szCs w:val="21"/>
                <w:lang w:val="en-US" w:eastAsia="zh-CN"/>
              </w:rPr>
              <w:t xml:space="preserve"> </w:t>
            </w:r>
            <w:r>
              <w:rPr>
                <w:rFonts w:hint="eastAsia" w:ascii="仿宋_GB2312" w:hAnsi="仿宋_GB2312" w:eastAsia="仿宋_GB2312" w:cs="仿宋_GB2312"/>
                <w:color w:val="auto"/>
                <w:sz w:val="21"/>
                <w:szCs w:val="21"/>
                <w:lang w:val="en-US" w:eastAsia="zh-CN"/>
              </w:rPr>
              <w:t>提升休闲农业园区22个，开展市级休闲农业推介活动1次已完成；提升美丽休闲乡村建设9个，改造提升民俗接待示范户28户,提升了休闲农业重点区建设</w:t>
            </w:r>
            <w:r>
              <w:rPr>
                <w:rFonts w:hint="eastAsia" w:ascii="仿宋_GB2312" w:eastAsia="仿宋_GB2312"/>
                <w:color w:val="auto"/>
                <w:sz w:val="21"/>
                <w:szCs w:val="21"/>
                <w:lang w:val="en-US" w:eastAsia="zh-CN"/>
              </w:rPr>
              <w:t>。</w:t>
            </w:r>
          </w:p>
          <w:p>
            <w:pPr>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208" w:type="pct"/>
            <w:vMerge w:val="restar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rPr>
            </w:pPr>
          </w:p>
          <w:p>
            <w:pPr>
              <w:jc w:val="center"/>
              <w:rPr>
                <w:rFonts w:hint="eastAsia" w:ascii="宋体" w:hAnsi="宋体" w:cs="宋体"/>
                <w:color w:val="auto"/>
                <w:kern w:val="0"/>
                <w:sz w:val="20"/>
                <w:szCs w:val="20"/>
              </w:rPr>
            </w:pPr>
            <w:r>
              <w:rPr>
                <w:rFonts w:hint="eastAsia" w:ascii="宋体" w:hAnsi="宋体" w:cs="宋体"/>
                <w:color w:val="auto"/>
                <w:kern w:val="0"/>
                <w:sz w:val="20"/>
                <w:szCs w:val="20"/>
              </w:rPr>
              <w:t>30</w:t>
            </w:r>
          </w:p>
        </w:tc>
        <w:tc>
          <w:tcPr>
            <w:tcW w:w="208" w:type="pct"/>
            <w:tcBorders>
              <w:top w:val="single" w:color="auto" w:sz="4" w:space="0"/>
              <w:left w:val="nil"/>
              <w:bottom w:val="single" w:color="auto" w:sz="4" w:space="0"/>
              <w:right w:val="nil"/>
            </w:tcBorders>
            <w:noWrap w:val="0"/>
            <w:vAlign w:val="center"/>
          </w:tcPr>
          <w:p>
            <w:pPr>
              <w:widowControl/>
              <w:jc w:val="center"/>
              <w:rPr>
                <w:rFonts w:ascii="宋体" w:hAnsi="宋体" w:cs="宋体"/>
                <w:color w:val="auto"/>
                <w:kern w:val="0"/>
                <w:sz w:val="20"/>
                <w:szCs w:val="20"/>
              </w:rPr>
            </w:pPr>
          </w:p>
          <w:p>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10</w:t>
            </w:r>
            <w:r>
              <w:rPr>
                <w:rFonts w:hint="eastAsia" w:ascii="宋体" w:hAnsi="宋体" w:cs="宋体"/>
                <w:color w:val="auto"/>
                <w:kern w:val="0"/>
                <w:sz w:val="20"/>
                <w:szCs w:val="20"/>
              </w:rPr>
              <w:t>　</w:t>
            </w:r>
          </w:p>
        </w:tc>
        <w:tc>
          <w:tcPr>
            <w:tcW w:w="1441"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产出数量</w:t>
            </w:r>
            <w:r>
              <w:rPr>
                <w:rFonts w:hint="eastAsia" w:ascii="宋体" w:hAnsi="宋体" w:cs="宋体"/>
                <w:color w:val="auto"/>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auto"/>
                <w:kern w:val="0"/>
                <w:sz w:val="18"/>
                <w:szCs w:val="18"/>
              </w:rPr>
              <w:t>产出质量</w:t>
            </w:r>
            <w:r>
              <w:rPr>
                <w:rFonts w:hint="eastAsia" w:ascii="宋体" w:hAnsi="宋体" w:cs="宋体"/>
                <w:color w:val="auto"/>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hint="eastAsia" w:ascii="宋体" w:hAnsi="宋体" w:cs="宋体"/>
                <w:b/>
                <w:bCs/>
                <w:color w:val="auto"/>
                <w:kern w:val="0"/>
                <w:sz w:val="18"/>
                <w:szCs w:val="18"/>
              </w:rPr>
              <w:t>产出进度：</w:t>
            </w:r>
            <w:r>
              <w:rPr>
                <w:rFonts w:hint="eastAsia" w:ascii="宋体" w:hAnsi="宋体" w:cs="宋体"/>
                <w:color w:val="auto"/>
                <w:kern w:val="0"/>
                <w:sz w:val="18"/>
                <w:szCs w:val="18"/>
              </w:rPr>
              <w:t>按时完成率=（按时完成工作数/实际完成工作数）×100%。按时完成工作数：部门（单位）按照整体绩效目标确定的时限实际完成的工作任务数量。</w:t>
            </w:r>
            <w:r>
              <w:rPr>
                <w:rFonts w:hint="eastAsia" w:ascii="宋体" w:hAnsi="宋体" w:cs="宋体"/>
                <w:b/>
                <w:bCs/>
                <w:color w:val="auto"/>
                <w:kern w:val="0"/>
                <w:sz w:val="18"/>
                <w:szCs w:val="18"/>
              </w:rPr>
              <w:t>产出成本</w:t>
            </w:r>
            <w:r>
              <w:rPr>
                <w:rFonts w:hint="eastAsia" w:ascii="宋体" w:hAnsi="宋体" w:cs="宋体"/>
                <w:color w:val="auto"/>
                <w:kern w:val="0"/>
                <w:sz w:val="18"/>
                <w:szCs w:val="18"/>
              </w:rPr>
              <w:t>：单位产出相对于上一年度的节约额；②单位产出相对于市场同类产出的节约额；③部门公用经费的控制情况。</w:t>
            </w:r>
          </w:p>
        </w:tc>
        <w:tc>
          <w:tcPr>
            <w:tcW w:w="14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tblPrEx>
          <w:tblCellMar>
            <w:top w:w="0" w:type="dxa"/>
            <w:left w:w="108" w:type="dxa"/>
            <w:bottom w:w="0" w:type="dxa"/>
            <w:right w:w="108" w:type="dxa"/>
          </w:tblCellMar>
        </w:tblPrEx>
        <w:trPr>
          <w:trHeight w:val="113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left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b/>
                <w:bCs/>
                <w:color w:val="auto"/>
                <w:kern w:val="0"/>
                <w:sz w:val="18"/>
                <w:szCs w:val="18"/>
              </w:rPr>
              <w:t>产出质量</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1"/>
                <w:szCs w:val="21"/>
              </w:rPr>
            </w:pPr>
            <w:r>
              <w:rPr>
                <w:rFonts w:hint="eastAsia" w:ascii="仿宋_GB2312" w:hAnsi="仿宋_GB2312" w:eastAsia="仿宋_GB2312" w:cs="仿宋_GB2312"/>
                <w:i w:val="0"/>
                <w:caps w:val="0"/>
                <w:color w:val="auto"/>
                <w:spacing w:val="0"/>
                <w:sz w:val="21"/>
                <w:szCs w:val="21"/>
                <w:shd w:val="clear" w:color="auto" w:fill="FFFFFF"/>
                <w:lang w:val="en-US" w:eastAsia="zh-CN"/>
              </w:rPr>
              <w:t>项目实施方案</w:t>
            </w:r>
            <w:r>
              <w:rPr>
                <w:rFonts w:hint="eastAsia" w:ascii="仿宋_GB2312" w:hAnsi="仿宋_GB2312" w:eastAsia="仿宋_GB2312" w:cs="仿宋_GB2312"/>
                <w:color w:val="auto"/>
                <w:sz w:val="21"/>
                <w:szCs w:val="21"/>
                <w:highlight w:val="none"/>
              </w:rPr>
              <w:t>健全、管理规范</w:t>
            </w:r>
            <w:r>
              <w:rPr>
                <w:rFonts w:hint="eastAsia" w:ascii="仿宋_GB2312" w:hAnsi="仿宋_GB2312" w:eastAsia="仿宋_GB2312" w:cs="仿宋_GB2312"/>
                <w:i w:val="0"/>
                <w:caps w:val="0"/>
                <w:color w:val="auto"/>
                <w:spacing w:val="0"/>
                <w:sz w:val="21"/>
                <w:szCs w:val="21"/>
                <w:shd w:val="clear" w:color="auto" w:fill="FFFFFF"/>
                <w:lang w:val="en-US" w:eastAsia="zh-CN"/>
              </w:rPr>
              <w:t>，工程按相关建设、施工标准执行。</w:t>
            </w:r>
            <w:r>
              <w:rPr>
                <w:rFonts w:hint="eastAsia" w:ascii="宋体" w:hAnsi="宋体" w:cs="宋体"/>
                <w:color w:val="auto"/>
                <w:kern w:val="0"/>
                <w:sz w:val="21"/>
                <w:szCs w:val="21"/>
              </w:rPr>
              <w:t>　</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1"/>
                <w:szCs w:val="21"/>
              </w:rPr>
            </w:pPr>
            <w:r>
              <w:rPr>
                <w:rFonts w:hint="eastAsia" w:ascii="仿宋_GB2312" w:hAnsi="仿宋_GB2312" w:eastAsia="仿宋_GB2312" w:cs="仿宋_GB2312"/>
                <w:i w:val="0"/>
                <w:caps w:val="0"/>
                <w:color w:val="auto"/>
                <w:spacing w:val="0"/>
                <w:sz w:val="21"/>
                <w:szCs w:val="21"/>
                <w:shd w:val="clear" w:color="auto" w:fill="FFFFFF"/>
                <w:lang w:val="en-US" w:eastAsia="zh-CN"/>
              </w:rPr>
              <w:t>项目实施方案</w:t>
            </w:r>
            <w:r>
              <w:rPr>
                <w:rFonts w:hint="eastAsia" w:ascii="仿宋_GB2312" w:hAnsi="仿宋_GB2312" w:eastAsia="仿宋_GB2312" w:cs="仿宋_GB2312"/>
                <w:color w:val="auto"/>
                <w:sz w:val="21"/>
                <w:szCs w:val="21"/>
                <w:highlight w:val="none"/>
              </w:rPr>
              <w:t>健全、管理规范</w:t>
            </w:r>
            <w:r>
              <w:rPr>
                <w:rFonts w:hint="eastAsia" w:ascii="仿宋_GB2312" w:hAnsi="仿宋_GB2312" w:eastAsia="仿宋_GB2312" w:cs="仿宋_GB2312"/>
                <w:i w:val="0"/>
                <w:caps w:val="0"/>
                <w:color w:val="auto"/>
                <w:spacing w:val="0"/>
                <w:sz w:val="21"/>
                <w:szCs w:val="21"/>
                <w:shd w:val="clear" w:color="auto" w:fill="FFFFFF"/>
                <w:lang w:val="en-US" w:eastAsia="zh-CN"/>
              </w:rPr>
              <w:t>，工程按相关建设、施工标准执行。</w:t>
            </w:r>
            <w:r>
              <w:rPr>
                <w:rFonts w:hint="eastAsia" w:ascii="宋体" w:hAnsi="宋体" w:cs="宋体"/>
                <w:color w:val="auto"/>
                <w:kern w:val="0"/>
                <w:sz w:val="21"/>
                <w:szCs w:val="21"/>
              </w:rPr>
              <w:t>　</w:t>
            </w:r>
          </w:p>
        </w:tc>
        <w:tc>
          <w:tcPr>
            <w:tcW w:w="208" w:type="pct"/>
            <w:vMerge w:val="continue"/>
            <w:tcBorders>
              <w:top w:val="single" w:color="auto" w:sz="4" w:space="0"/>
              <w:left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single" w:color="auto" w:sz="4" w:space="0"/>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10</w:t>
            </w:r>
            <w:r>
              <w:rPr>
                <w:rFonts w:hint="eastAsia" w:ascii="宋体" w:hAnsi="宋体" w:cs="宋体"/>
                <w:color w:val="auto"/>
                <w:kern w:val="0"/>
                <w:sz w:val="20"/>
                <w:szCs w:val="20"/>
              </w:rPr>
              <w:t>　</w:t>
            </w: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1258"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left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b/>
                <w:bCs/>
                <w:color w:val="auto"/>
                <w:kern w:val="0"/>
                <w:sz w:val="18"/>
                <w:szCs w:val="18"/>
              </w:rPr>
              <w:t>产出进度</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1"/>
                <w:szCs w:val="21"/>
              </w:rPr>
            </w:pPr>
            <w:r>
              <w:rPr>
                <w:rFonts w:hint="eastAsia" w:ascii="仿宋_GB2312" w:hAnsi="仿宋_GB2312" w:eastAsia="仿宋_GB2312" w:cs="仿宋_GB2312"/>
                <w:color w:val="auto"/>
                <w:sz w:val="21"/>
                <w:szCs w:val="21"/>
                <w:lang w:eastAsia="zh-CN"/>
              </w:rPr>
              <w:t>项目标准按要求完成</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1"/>
                <w:szCs w:val="21"/>
              </w:rPr>
            </w:pPr>
            <w:r>
              <w:rPr>
                <w:rFonts w:hint="eastAsia" w:ascii="仿宋_GB2312" w:hAnsi="仿宋_GB2312" w:eastAsia="仿宋_GB2312" w:cs="仿宋_GB2312"/>
                <w:color w:val="auto"/>
                <w:sz w:val="21"/>
                <w:szCs w:val="21"/>
                <w:lang w:eastAsia="zh-CN"/>
              </w:rPr>
              <w:t>项目标准按要求完成</w:t>
            </w:r>
          </w:p>
        </w:tc>
        <w:tc>
          <w:tcPr>
            <w:tcW w:w="208" w:type="pct"/>
            <w:vMerge w:val="continue"/>
            <w:tcBorders>
              <w:left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　</w:t>
            </w: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975"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nil"/>
              <w:left w:val="nil"/>
              <w:bottom w:val="single" w:color="auto" w:sz="4" w:space="0"/>
              <w:right w:val="single" w:color="auto" w:sz="4" w:space="0"/>
            </w:tcBorders>
            <w:noWrap w:val="0"/>
            <w:vAlign w:val="center"/>
          </w:tcPr>
          <w:p>
            <w:pPr>
              <w:widowControl/>
              <w:rPr>
                <w:rFonts w:hint="eastAsia" w:ascii="宋体" w:hAnsi="宋体" w:cs="宋体"/>
                <w:b/>
                <w:bCs/>
                <w:color w:val="auto"/>
                <w:kern w:val="0"/>
                <w:sz w:val="18"/>
                <w:szCs w:val="18"/>
              </w:rPr>
            </w:pPr>
            <w:r>
              <w:rPr>
                <w:rFonts w:hint="eastAsia" w:ascii="宋体" w:hAnsi="宋体" w:cs="宋体"/>
                <w:b/>
                <w:bCs/>
                <w:color w:val="auto"/>
                <w:kern w:val="0"/>
                <w:sz w:val="18"/>
                <w:szCs w:val="18"/>
              </w:rPr>
              <w:t>产出成本</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52288.87</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52288.87</w:t>
            </w:r>
          </w:p>
        </w:tc>
        <w:tc>
          <w:tcPr>
            <w:tcW w:w="208"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nil"/>
              <w:left w:val="nil"/>
              <w:bottom w:val="single" w:color="auto" w:sz="4" w:space="0"/>
              <w:right w:val="nil"/>
            </w:tcBorders>
            <w:noWrap/>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675"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效果（30）</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仿宋_GB2312" w:hAnsi="宋体" w:eastAsia="仿宋_GB2312" w:cs="宋体"/>
                <w:color w:val="auto"/>
                <w:kern w:val="0"/>
                <w:sz w:val="32"/>
                <w:szCs w:val="32"/>
              </w:rPr>
              <w:t>经济</w:t>
            </w:r>
            <w:r>
              <w:rPr>
                <w:rFonts w:ascii="仿宋_GB2312" w:hAnsi="宋体" w:eastAsia="仿宋_GB2312" w:cs="宋体"/>
                <w:color w:val="auto"/>
                <w:kern w:val="0"/>
                <w:sz w:val="32"/>
                <w:szCs w:val="32"/>
              </w:rPr>
              <w:t>效益</w:t>
            </w:r>
          </w:p>
        </w:tc>
        <w:tc>
          <w:tcPr>
            <w:tcW w:w="343" w:type="pct"/>
            <w:tcBorders>
              <w:top w:val="nil"/>
              <w:left w:val="nil"/>
              <w:bottom w:val="single" w:color="auto" w:sz="4" w:space="0"/>
              <w:right w:val="single" w:color="auto" w:sz="4" w:space="0"/>
            </w:tcBorders>
            <w:noWrap w:val="0"/>
            <w:vAlign w:val="center"/>
          </w:tcPr>
          <w:p>
            <w:pPr>
              <w:spacing w:line="5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农宅保险及政策性保险使农民在生产生活中得到了保障，减低了农民的经济损失的同时，对收入提高提供了保障。2）粪污资源化利用达到农民增收、企业增益的目标。3）密云水库一级保护区内群众生活困难补助资金的发放，直接增加了群众的收入。</w:t>
            </w:r>
          </w:p>
          <w:p>
            <w:pPr>
              <w:widowControl/>
              <w:jc w:val="center"/>
              <w:rPr>
                <w:rFonts w:hint="eastAsia" w:ascii="仿宋" w:hAnsi="仿宋" w:eastAsia="仿宋" w:cs="仿宋"/>
                <w:color w:val="auto"/>
                <w:kern w:val="0"/>
                <w:sz w:val="21"/>
                <w:szCs w:val="21"/>
              </w:rPr>
            </w:pPr>
          </w:p>
        </w:tc>
        <w:tc>
          <w:tcPr>
            <w:tcW w:w="310" w:type="pct"/>
            <w:tcBorders>
              <w:top w:val="nil"/>
              <w:left w:val="nil"/>
              <w:bottom w:val="single" w:color="auto" w:sz="4" w:space="0"/>
              <w:right w:val="single" w:color="auto" w:sz="4" w:space="0"/>
            </w:tcBorders>
            <w:noWrap w:val="0"/>
            <w:vAlign w:val="center"/>
          </w:tcPr>
          <w:p>
            <w:pPr>
              <w:spacing w:line="5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农宅保险及政策性保险使农民在生产生活中得到了保障，减低了农民的经济损失的同时，对收入提高提供了保障。2）粪污资源化利用达到农民增收、企业增益的目标。3）密云水库一级保护区内群众生活困难补助资金的发放，直接增加了群众的收入。</w:t>
            </w:r>
          </w:p>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p>
        </w:tc>
        <w:tc>
          <w:tcPr>
            <w:tcW w:w="208"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30</w:t>
            </w: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　</w:t>
            </w:r>
          </w:p>
        </w:tc>
        <w:tc>
          <w:tcPr>
            <w:tcW w:w="1441" w:type="pct"/>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经济效益</w:t>
            </w:r>
            <w:r>
              <w:rPr>
                <w:rFonts w:hint="eastAsia" w:ascii="宋体" w:hAnsi="宋体" w:cs="宋体"/>
                <w:color w:val="auto"/>
                <w:kern w:val="0"/>
                <w:sz w:val="18"/>
                <w:szCs w:val="18"/>
              </w:rPr>
              <w:t>：部门（单位）履行职责对经济发展所带来的直接或间接影响。</w:t>
            </w:r>
            <w:r>
              <w:rPr>
                <w:rFonts w:hint="eastAsia" w:ascii="宋体" w:hAnsi="宋体" w:cs="宋体"/>
                <w:b/>
                <w:bCs/>
                <w:color w:val="auto"/>
                <w:kern w:val="0"/>
                <w:sz w:val="18"/>
                <w:szCs w:val="18"/>
              </w:rPr>
              <w:t>社会效益</w:t>
            </w:r>
            <w:r>
              <w:rPr>
                <w:rFonts w:hint="eastAsia" w:ascii="宋体" w:hAnsi="宋体" w:cs="宋体"/>
                <w:color w:val="auto"/>
                <w:kern w:val="0"/>
                <w:sz w:val="18"/>
                <w:szCs w:val="18"/>
              </w:rPr>
              <w:t>：部门（单位）履行职责对社会发展所带来的直接或间接影响。</w:t>
            </w:r>
            <w:r>
              <w:rPr>
                <w:rFonts w:hint="eastAsia" w:ascii="宋体" w:hAnsi="宋体" w:cs="宋体"/>
                <w:b/>
                <w:bCs/>
                <w:color w:val="auto"/>
                <w:kern w:val="0"/>
                <w:sz w:val="18"/>
                <w:szCs w:val="18"/>
              </w:rPr>
              <w:t>环境效益</w:t>
            </w:r>
            <w:r>
              <w:rPr>
                <w:rFonts w:hint="eastAsia" w:ascii="宋体" w:hAnsi="宋体" w:cs="宋体"/>
                <w:color w:val="auto"/>
                <w:kern w:val="0"/>
                <w:sz w:val="18"/>
                <w:szCs w:val="18"/>
              </w:rPr>
              <w:t>：部门（单位）履行职责对环境所带来的直接或间接影响。</w:t>
            </w:r>
            <w:r>
              <w:rPr>
                <w:rFonts w:hint="eastAsia" w:ascii="宋体" w:hAnsi="宋体" w:cs="宋体"/>
                <w:b/>
                <w:bCs/>
                <w:color w:val="auto"/>
                <w:kern w:val="0"/>
                <w:sz w:val="18"/>
                <w:szCs w:val="18"/>
              </w:rPr>
              <w:t>可持续性影响：</w:t>
            </w:r>
            <w:r>
              <w:rPr>
                <w:rFonts w:hint="eastAsia" w:ascii="宋体" w:hAnsi="宋体" w:cs="宋体"/>
                <w:color w:val="auto"/>
                <w:kern w:val="0"/>
                <w:sz w:val="18"/>
                <w:szCs w:val="18"/>
              </w:rPr>
              <w:t>部门绩效目标实现的长效机制建设情况，部门工作效率提升措施的创新。</w:t>
            </w:r>
            <w:r>
              <w:rPr>
                <w:rFonts w:hint="eastAsia" w:ascii="宋体" w:hAnsi="宋体" w:cs="宋体"/>
                <w:b/>
                <w:bCs/>
                <w:color w:val="auto"/>
                <w:kern w:val="0"/>
                <w:sz w:val="18"/>
                <w:szCs w:val="18"/>
              </w:rPr>
              <w:t>服务对象满意度</w:t>
            </w:r>
            <w:r>
              <w:rPr>
                <w:rFonts w:hint="eastAsia" w:ascii="宋体" w:hAnsi="宋体" w:cs="宋体"/>
                <w:color w:val="auto"/>
                <w:kern w:val="0"/>
                <w:sz w:val="18"/>
                <w:szCs w:val="18"/>
              </w:rPr>
              <w:t>：部门（单位）的服务对象对部门履职效果的满意程度。</w:t>
            </w:r>
          </w:p>
        </w:tc>
        <w:tc>
          <w:tcPr>
            <w:tcW w:w="1489" w:type="pct"/>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部门根据实际情况选择指标进行填写，并将其细化为相应的个性化指标。对于效益类指标可从受益对象瞄准度、受益广度和受益深度上进行设计分析。</w:t>
            </w:r>
          </w:p>
        </w:tc>
      </w:tr>
      <w:tr>
        <w:tblPrEx>
          <w:tblCellMar>
            <w:top w:w="0" w:type="dxa"/>
            <w:left w:w="108" w:type="dxa"/>
            <w:bottom w:w="0" w:type="dxa"/>
            <w:right w:w="108" w:type="dxa"/>
          </w:tblCellMar>
        </w:tblPrEx>
        <w:trPr>
          <w:trHeight w:val="63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101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b/>
                <w:bCs/>
                <w:color w:val="auto"/>
                <w:kern w:val="0"/>
                <w:sz w:val="18"/>
                <w:szCs w:val="18"/>
              </w:rPr>
              <w:t>社会效益</w:t>
            </w:r>
            <w:r>
              <w:rPr>
                <w:rFonts w:hint="eastAsia" w:ascii="宋体" w:hAnsi="宋体" w:cs="宋体"/>
                <w:color w:val="auto"/>
                <w:kern w:val="0"/>
                <w:sz w:val="20"/>
                <w:szCs w:val="20"/>
              </w:rPr>
              <w:t>　</w:t>
            </w:r>
          </w:p>
        </w:tc>
        <w:tc>
          <w:tcPr>
            <w:tcW w:w="343" w:type="pct"/>
            <w:tcBorders>
              <w:top w:val="nil"/>
              <w:left w:val="nil"/>
              <w:bottom w:val="single" w:color="auto" w:sz="4" w:space="0"/>
              <w:right w:val="single" w:color="auto" w:sz="4" w:space="0"/>
            </w:tcBorders>
            <w:noWrap w:val="0"/>
            <w:vAlign w:val="center"/>
          </w:tcPr>
          <w:p>
            <w:pPr>
              <w:spacing w:line="560" w:lineRule="exact"/>
              <w:ind w:firstLine="965" w:firstLineChars="460"/>
              <w:rPr>
                <w:rFonts w:hint="eastAsia" w:ascii="仿宋" w:hAnsi="仿宋" w:eastAsia="仿宋" w:cs="仿宋"/>
                <w:color w:val="auto"/>
                <w:sz w:val="21"/>
                <w:szCs w:val="21"/>
              </w:rPr>
            </w:pPr>
            <w:r>
              <w:rPr>
                <w:rFonts w:hint="eastAsia" w:ascii="仿宋" w:hAnsi="仿宋" w:eastAsia="仿宋" w:cs="仿宋"/>
                <w:color w:val="auto"/>
                <w:sz w:val="21"/>
                <w:szCs w:val="21"/>
              </w:rPr>
              <w:t>1） 农宅保险及政策性保险使农民在生产生活中得到了保障，为促进和谐社会发挥了积极的作用。2)</w:t>
            </w:r>
            <w:r>
              <w:rPr>
                <w:rFonts w:hint="eastAsia" w:ascii="仿宋" w:hAnsi="仿宋" w:eastAsia="仿宋" w:cs="仿宋"/>
                <w:color w:val="auto"/>
                <w:kern w:val="0"/>
                <w:sz w:val="21"/>
                <w:szCs w:val="21"/>
              </w:rPr>
              <w:t xml:space="preserve"> </w:t>
            </w:r>
            <w:r>
              <w:rPr>
                <w:rFonts w:hint="eastAsia" w:ascii="仿宋" w:hAnsi="仿宋" w:eastAsia="仿宋" w:cs="仿宋"/>
                <w:color w:val="auto"/>
                <w:sz w:val="21"/>
                <w:szCs w:val="21"/>
              </w:rPr>
              <w:t>全面推进畜禽养殖废弃物资源化利用，加快构建种养结合、农牧循环的可持续发展新格局，为全面建成小康社会提供有力支撑。3）密云水库一级保护区内群众生活困难补助资金的发放，改善了群众生活条件。</w:t>
            </w:r>
          </w:p>
          <w:p>
            <w:pPr>
              <w:widowControl/>
              <w:jc w:val="center"/>
              <w:rPr>
                <w:rFonts w:hint="eastAsia" w:ascii="仿宋" w:hAnsi="仿宋" w:eastAsia="仿宋" w:cs="仿宋"/>
                <w:color w:val="auto"/>
                <w:kern w:val="0"/>
                <w:sz w:val="21"/>
                <w:szCs w:val="21"/>
              </w:rPr>
            </w:pPr>
          </w:p>
        </w:tc>
        <w:tc>
          <w:tcPr>
            <w:tcW w:w="310" w:type="pct"/>
            <w:tcBorders>
              <w:top w:val="nil"/>
              <w:left w:val="nil"/>
              <w:bottom w:val="single" w:color="auto" w:sz="4" w:space="0"/>
              <w:right w:val="single" w:color="auto" w:sz="4" w:space="0"/>
            </w:tcBorders>
            <w:noWrap w:val="0"/>
            <w:vAlign w:val="center"/>
          </w:tcPr>
          <w:p>
            <w:pPr>
              <w:spacing w:line="560" w:lineRule="exact"/>
              <w:ind w:firstLine="965" w:firstLineChars="460"/>
              <w:rPr>
                <w:rFonts w:hint="eastAsia" w:ascii="仿宋" w:hAnsi="仿宋" w:eastAsia="仿宋" w:cs="仿宋"/>
                <w:color w:val="auto"/>
                <w:sz w:val="21"/>
                <w:szCs w:val="21"/>
              </w:rPr>
            </w:pPr>
            <w:r>
              <w:rPr>
                <w:rFonts w:hint="eastAsia" w:ascii="仿宋" w:hAnsi="仿宋" w:eastAsia="仿宋" w:cs="仿宋"/>
                <w:color w:val="auto"/>
                <w:sz w:val="21"/>
                <w:szCs w:val="21"/>
              </w:rPr>
              <w:t>1） 农宅保险及政策性保险使农民在生产生活中得到了保障，为促进和谐社会发挥了积极的作用。2)</w:t>
            </w:r>
            <w:r>
              <w:rPr>
                <w:rFonts w:hint="eastAsia" w:ascii="仿宋" w:hAnsi="仿宋" w:eastAsia="仿宋" w:cs="仿宋"/>
                <w:color w:val="auto"/>
                <w:kern w:val="0"/>
                <w:sz w:val="21"/>
                <w:szCs w:val="21"/>
              </w:rPr>
              <w:t xml:space="preserve"> </w:t>
            </w:r>
            <w:r>
              <w:rPr>
                <w:rFonts w:hint="eastAsia" w:ascii="仿宋" w:hAnsi="仿宋" w:eastAsia="仿宋" w:cs="仿宋"/>
                <w:color w:val="auto"/>
                <w:sz w:val="21"/>
                <w:szCs w:val="21"/>
              </w:rPr>
              <w:t>全面推进畜禽养殖废弃物资源化利用，加快构建种养结合、农牧循环的可持续发展新格局，为全面建成小康社会提供有力支撑。3）密云水库一级保护区内群众生活困难补助资金的发放，改善了群众生活条件。</w:t>
            </w:r>
          </w:p>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p>
        </w:tc>
        <w:tc>
          <w:tcPr>
            <w:tcW w:w="20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　</w:t>
            </w: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69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101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rPr>
            </w:pPr>
            <w:r>
              <w:rPr>
                <w:rFonts w:hint="eastAsia" w:ascii="仿宋_GB2312" w:hAnsi="宋体" w:eastAsia="仿宋_GB2312" w:cs="宋体"/>
                <w:color w:val="auto"/>
                <w:kern w:val="0"/>
                <w:sz w:val="24"/>
                <w:szCs w:val="24"/>
              </w:rPr>
              <w:t>环境效益</w:t>
            </w:r>
            <w:r>
              <w:rPr>
                <w:rFonts w:hint="eastAsia" w:ascii="宋体" w:hAnsi="宋体" w:cs="宋体"/>
                <w:color w:val="auto"/>
                <w:kern w:val="0"/>
                <w:sz w:val="24"/>
                <w:szCs w:val="24"/>
              </w:rPr>
              <w:t>　</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特色农业与环境保护相结合</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特色农业与环境保护相结合</w:t>
            </w:r>
            <w:r>
              <w:rPr>
                <w:rFonts w:hint="eastAsia" w:ascii="仿宋" w:hAnsi="仿宋" w:eastAsia="仿宋" w:cs="仿宋"/>
                <w:color w:val="auto"/>
                <w:kern w:val="0"/>
                <w:sz w:val="21"/>
                <w:szCs w:val="21"/>
              </w:rPr>
              <w:t>　</w:t>
            </w:r>
          </w:p>
        </w:tc>
        <w:tc>
          <w:tcPr>
            <w:tcW w:w="20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　</w:t>
            </w: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675" w:hRule="atLeast"/>
        </w:trPr>
        <w:tc>
          <w:tcPr>
            <w:tcW w:w="32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可持续</w:t>
            </w:r>
            <w:r>
              <w:rPr>
                <w:rFonts w:ascii="仿宋_GB2312" w:hAnsi="宋体" w:eastAsia="仿宋_GB2312" w:cs="宋体"/>
                <w:color w:val="auto"/>
                <w:kern w:val="0"/>
                <w:sz w:val="24"/>
                <w:szCs w:val="24"/>
              </w:rPr>
              <w:t>性影响</w:t>
            </w:r>
          </w:p>
        </w:tc>
        <w:tc>
          <w:tcPr>
            <w:tcW w:w="343" w:type="pct"/>
            <w:tcBorders>
              <w:top w:val="nil"/>
              <w:left w:val="nil"/>
              <w:bottom w:val="single" w:color="auto" w:sz="4" w:space="0"/>
              <w:right w:val="single" w:color="auto" w:sz="4" w:space="0"/>
            </w:tcBorders>
            <w:noWrap w:val="0"/>
            <w:vAlign w:val="center"/>
          </w:tcPr>
          <w:p>
            <w:pPr>
              <w:spacing w:line="5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减少因禽畜粪污随处排放而对土壤和水源造成的污染，保护生态环境。2）确保首都饮用水源安全，有效降低了因畜禽养殖造成水源污染的风险。有效疏解畜禽养殖总量，减少畜禽养殖废弃物对生态环境的影响。</w:t>
            </w:r>
          </w:p>
          <w:p>
            <w:pPr>
              <w:widowControl/>
              <w:jc w:val="center"/>
              <w:rPr>
                <w:rFonts w:hint="eastAsia" w:ascii="仿宋" w:hAnsi="仿宋" w:eastAsia="仿宋" w:cs="仿宋"/>
                <w:color w:val="auto"/>
                <w:kern w:val="0"/>
                <w:sz w:val="21"/>
                <w:szCs w:val="21"/>
              </w:rPr>
            </w:pPr>
          </w:p>
        </w:tc>
        <w:tc>
          <w:tcPr>
            <w:tcW w:w="310" w:type="pct"/>
            <w:tcBorders>
              <w:top w:val="nil"/>
              <w:left w:val="nil"/>
              <w:bottom w:val="single" w:color="auto" w:sz="4" w:space="0"/>
              <w:right w:val="single" w:color="auto" w:sz="4" w:space="0"/>
            </w:tcBorders>
            <w:noWrap w:val="0"/>
            <w:vAlign w:val="center"/>
          </w:tcPr>
          <w:p>
            <w:pPr>
              <w:spacing w:line="5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减少因禽畜粪污随处排放而对土壤和水源造成的污染，保护生态环境。2）确保首都饮用水源安全，有效降低了因畜禽养殖造成水源污染的风险。有效疏解畜禽养殖总量，减少畜禽养殖废弃物对生态环境的影响。</w:t>
            </w:r>
          </w:p>
          <w:p>
            <w:pPr>
              <w:widowControl/>
              <w:jc w:val="center"/>
              <w:rPr>
                <w:rFonts w:hint="eastAsia" w:ascii="仿宋" w:hAnsi="仿宋" w:eastAsia="仿宋" w:cs="仿宋"/>
                <w:color w:val="auto"/>
                <w:kern w:val="0"/>
                <w:sz w:val="21"/>
                <w:szCs w:val="21"/>
              </w:rPr>
            </w:pPr>
          </w:p>
        </w:tc>
        <w:tc>
          <w:tcPr>
            <w:tcW w:w="20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675" w:hRule="atLeast"/>
        </w:trPr>
        <w:tc>
          <w:tcPr>
            <w:tcW w:w="32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nil"/>
              <w:left w:val="nil"/>
              <w:bottom w:val="single" w:color="auto" w:sz="4" w:space="0"/>
              <w:right w:val="single" w:color="auto" w:sz="4" w:space="0"/>
            </w:tcBorders>
            <w:noWrap w:val="0"/>
            <w:vAlign w:val="center"/>
          </w:tcPr>
          <w:p>
            <w:pPr>
              <w:widowControl/>
              <w:rPr>
                <w:rFonts w:hint="eastAsia" w:ascii="宋体" w:hAnsi="宋体" w:cs="宋体"/>
                <w:color w:val="auto"/>
                <w:kern w:val="0"/>
                <w:sz w:val="24"/>
                <w:szCs w:val="24"/>
              </w:rPr>
            </w:pPr>
            <w:r>
              <w:rPr>
                <w:rFonts w:hint="eastAsia" w:ascii="仿宋_GB2312" w:hAnsi="宋体" w:eastAsia="仿宋_GB2312" w:cs="宋体"/>
                <w:color w:val="auto"/>
                <w:kern w:val="0"/>
                <w:sz w:val="24"/>
                <w:szCs w:val="24"/>
              </w:rPr>
              <w:t>服务对象</w:t>
            </w:r>
            <w:r>
              <w:rPr>
                <w:rFonts w:ascii="仿宋_GB2312" w:hAnsi="宋体" w:eastAsia="仿宋_GB2312" w:cs="宋体"/>
                <w:color w:val="auto"/>
                <w:kern w:val="0"/>
                <w:sz w:val="24"/>
                <w:szCs w:val="24"/>
              </w:rPr>
              <w:t>满意度</w:t>
            </w:r>
          </w:p>
        </w:tc>
        <w:tc>
          <w:tcPr>
            <w:tcW w:w="343" w:type="pct"/>
            <w:tcBorders>
              <w:top w:val="nil"/>
              <w:left w:val="nil"/>
              <w:bottom w:val="single" w:color="auto" w:sz="4" w:space="0"/>
              <w:right w:val="single" w:color="auto" w:sz="4" w:space="0"/>
            </w:tcBorders>
            <w:noWrap w:val="0"/>
            <w:vAlign w:val="center"/>
          </w:tcPr>
          <w:p>
            <w:pPr>
              <w:spacing w:line="560" w:lineRule="exact"/>
              <w:ind w:firstLine="420" w:firstLineChars="200"/>
              <w:rPr>
                <w:rFonts w:hint="default" w:ascii="仿宋" w:hAnsi="仿宋" w:eastAsia="仿宋" w:cs="仿宋"/>
                <w:b/>
                <w:bCs/>
                <w:color w:val="auto"/>
                <w:sz w:val="21"/>
                <w:szCs w:val="21"/>
                <w:lang w:val="en-US" w:eastAsia="zh-CN"/>
              </w:rPr>
            </w:pPr>
            <w:r>
              <w:rPr>
                <w:rStyle w:val="20"/>
                <w:rFonts w:hint="eastAsia" w:ascii="仿宋" w:hAnsi="仿宋" w:eastAsia="仿宋" w:cs="仿宋"/>
                <w:color w:val="auto"/>
                <w:sz w:val="21"/>
                <w:szCs w:val="21"/>
                <w:lang w:val="en-US" w:eastAsia="zh-CN"/>
              </w:rPr>
              <w:t>各项目实施服务满意度80%以上</w:t>
            </w:r>
          </w:p>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p>
        </w:tc>
        <w:tc>
          <w:tcPr>
            <w:tcW w:w="310" w:type="pct"/>
            <w:tcBorders>
              <w:top w:val="nil"/>
              <w:left w:val="nil"/>
              <w:bottom w:val="single" w:color="auto" w:sz="4" w:space="0"/>
              <w:right w:val="single" w:color="auto" w:sz="4" w:space="0"/>
            </w:tcBorders>
            <w:noWrap w:val="0"/>
            <w:vAlign w:val="center"/>
          </w:tcPr>
          <w:p>
            <w:pPr>
              <w:spacing w:line="560" w:lineRule="exact"/>
              <w:ind w:firstLine="420" w:firstLineChars="200"/>
              <w:rPr>
                <w:rFonts w:hint="default" w:ascii="仿宋" w:hAnsi="仿宋" w:eastAsia="仿宋" w:cs="仿宋"/>
                <w:b/>
                <w:bCs/>
                <w:color w:val="auto"/>
                <w:sz w:val="21"/>
                <w:szCs w:val="21"/>
                <w:lang w:val="en-US" w:eastAsia="zh-CN"/>
              </w:rPr>
            </w:pPr>
            <w:r>
              <w:rPr>
                <w:rStyle w:val="20"/>
                <w:rFonts w:hint="eastAsia" w:ascii="仿宋" w:hAnsi="仿宋" w:eastAsia="仿宋" w:cs="仿宋"/>
                <w:color w:val="auto"/>
                <w:sz w:val="21"/>
                <w:szCs w:val="21"/>
                <w:lang w:val="en-US" w:eastAsia="zh-CN"/>
              </w:rPr>
              <w:t>各项目实施服务满意度80%以上</w:t>
            </w:r>
          </w:p>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p>
        </w:tc>
        <w:tc>
          <w:tcPr>
            <w:tcW w:w="20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　</w:t>
            </w:r>
          </w:p>
        </w:tc>
        <w:tc>
          <w:tcPr>
            <w:tcW w:w="144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c>
          <w:tcPr>
            <w:tcW w:w="148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18"/>
                <w:szCs w:val="18"/>
              </w:rPr>
            </w:pPr>
          </w:p>
        </w:tc>
      </w:tr>
      <w:tr>
        <w:tblPrEx>
          <w:tblCellMar>
            <w:top w:w="0" w:type="dxa"/>
            <w:left w:w="108" w:type="dxa"/>
            <w:bottom w:w="0" w:type="dxa"/>
            <w:right w:w="108" w:type="dxa"/>
          </w:tblCellMar>
        </w:tblPrEx>
        <w:trPr>
          <w:trHeight w:val="69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三</w:t>
            </w:r>
            <w:r>
              <w:rPr>
                <w:rFonts w:ascii="宋体" w:hAnsi="宋体" w:cs="宋体"/>
                <w:color w:val="auto"/>
                <w:kern w:val="0"/>
                <w:sz w:val="18"/>
                <w:szCs w:val="18"/>
              </w:rPr>
              <w:t>、</w:t>
            </w:r>
            <w:r>
              <w:rPr>
                <w:rFonts w:hint="eastAsia" w:ascii="宋体" w:hAnsi="宋体" w:cs="宋体"/>
                <w:color w:val="auto"/>
                <w:kern w:val="0"/>
                <w:sz w:val="20"/>
                <w:szCs w:val="20"/>
              </w:rPr>
              <w:t>预算管理情况（20分）</w:t>
            </w:r>
          </w:p>
        </w:tc>
      </w:tr>
      <w:tr>
        <w:tblPrEx>
          <w:tblCellMar>
            <w:top w:w="0" w:type="dxa"/>
            <w:left w:w="108" w:type="dxa"/>
            <w:bottom w:w="0" w:type="dxa"/>
            <w:right w:w="108" w:type="dxa"/>
          </w:tblCellMar>
        </w:tblPrEx>
        <w:trPr>
          <w:trHeight w:val="702" w:hRule="atLeast"/>
        </w:trPr>
        <w:tc>
          <w:tcPr>
            <w:tcW w:w="32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一</w:t>
            </w:r>
            <w:r>
              <w:rPr>
                <w:rFonts w:ascii="宋体" w:hAnsi="宋体" w:cs="宋体"/>
                <w:color w:val="auto"/>
                <w:kern w:val="0"/>
                <w:sz w:val="20"/>
                <w:szCs w:val="20"/>
              </w:rPr>
              <w:t>级指标</w:t>
            </w:r>
          </w:p>
        </w:tc>
        <w:tc>
          <w:tcPr>
            <w:tcW w:w="33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二</w:t>
            </w:r>
            <w:r>
              <w:rPr>
                <w:rFonts w:ascii="宋体" w:hAnsi="宋体" w:cs="宋体"/>
                <w:color w:val="auto"/>
                <w:kern w:val="0"/>
                <w:sz w:val="20"/>
                <w:szCs w:val="20"/>
              </w:rPr>
              <w:t>级指标</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三</w:t>
            </w:r>
            <w:r>
              <w:rPr>
                <w:rFonts w:ascii="宋体" w:hAnsi="宋体" w:cs="宋体"/>
                <w:color w:val="auto"/>
                <w:kern w:val="0"/>
                <w:sz w:val="20"/>
                <w:szCs w:val="20"/>
              </w:rPr>
              <w:t>级指标</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指标</w:t>
            </w:r>
            <w:r>
              <w:rPr>
                <w:rFonts w:ascii="宋体" w:hAnsi="宋体" w:cs="宋体"/>
                <w:color w:val="auto"/>
                <w:kern w:val="0"/>
                <w:sz w:val="20"/>
                <w:szCs w:val="20"/>
              </w:rPr>
              <w:t>值</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完成</w:t>
            </w:r>
            <w:r>
              <w:rPr>
                <w:rFonts w:ascii="宋体" w:hAnsi="宋体" w:cs="宋体"/>
                <w:color w:val="auto"/>
                <w:kern w:val="0"/>
                <w:sz w:val="20"/>
                <w:szCs w:val="20"/>
              </w:rPr>
              <w:t>值</w:t>
            </w:r>
          </w:p>
        </w:tc>
        <w:tc>
          <w:tcPr>
            <w:tcW w:w="208"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分</w:t>
            </w:r>
            <w:r>
              <w:rPr>
                <w:rFonts w:ascii="宋体" w:hAnsi="宋体" w:cs="宋体"/>
                <w:color w:val="auto"/>
                <w:kern w:val="0"/>
                <w:sz w:val="20"/>
                <w:szCs w:val="20"/>
              </w:rPr>
              <w:t>值</w:t>
            </w:r>
          </w:p>
        </w:tc>
        <w:tc>
          <w:tcPr>
            <w:tcW w:w="208" w:type="pct"/>
            <w:tcBorders>
              <w:top w:val="single" w:color="auto" w:sz="4" w:space="0"/>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得</w:t>
            </w:r>
            <w:r>
              <w:rPr>
                <w:rFonts w:ascii="宋体" w:hAnsi="宋体" w:cs="宋体"/>
                <w:color w:val="auto"/>
                <w:kern w:val="0"/>
                <w:sz w:val="20"/>
                <w:szCs w:val="20"/>
              </w:rPr>
              <w:t>分</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18"/>
                <w:szCs w:val="18"/>
              </w:rPr>
            </w:pPr>
            <w:r>
              <w:rPr>
                <w:rFonts w:hint="eastAsia" w:ascii="宋体" w:hAnsi="宋体" w:cs="宋体"/>
                <w:bCs/>
                <w:color w:val="auto"/>
                <w:kern w:val="0"/>
                <w:sz w:val="18"/>
                <w:szCs w:val="18"/>
              </w:rPr>
              <w:t>指标</w:t>
            </w:r>
            <w:r>
              <w:rPr>
                <w:rFonts w:ascii="宋体" w:hAnsi="宋体" w:cs="宋体"/>
                <w:bCs/>
                <w:color w:val="auto"/>
                <w:kern w:val="0"/>
                <w:sz w:val="18"/>
                <w:szCs w:val="18"/>
              </w:rPr>
              <w:t>解释</w:t>
            </w:r>
          </w:p>
        </w:tc>
        <w:tc>
          <w:tcPr>
            <w:tcW w:w="1489"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评</w:t>
            </w:r>
            <w:r>
              <w:rPr>
                <w:rFonts w:ascii="宋体" w:hAnsi="宋体" w:cs="宋体"/>
                <w:color w:val="auto"/>
                <w:kern w:val="0"/>
                <w:sz w:val="18"/>
                <w:szCs w:val="18"/>
              </w:rPr>
              <w:t>分标准</w:t>
            </w:r>
          </w:p>
        </w:tc>
      </w:tr>
      <w:tr>
        <w:tblPrEx>
          <w:tblCellMar>
            <w:top w:w="0" w:type="dxa"/>
            <w:left w:w="108" w:type="dxa"/>
            <w:bottom w:w="0" w:type="dxa"/>
            <w:right w:w="108" w:type="dxa"/>
          </w:tblCellMar>
        </w:tblPrEx>
        <w:trPr>
          <w:trHeight w:val="1230" w:hRule="atLeast"/>
        </w:trPr>
        <w:tc>
          <w:tcPr>
            <w:tcW w:w="32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预算管理情况（20）</w:t>
            </w:r>
          </w:p>
        </w:tc>
        <w:tc>
          <w:tcPr>
            <w:tcW w:w="33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财务管理（4）</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财务管理制度健全性</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建立预算资金管理、绩效跟踪、资产管理、财务管理制度；部门内控制度。</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我单位建立健全预算资金管理、绩效跟踪、资产管理、财务管理制度；部门内控制度等各项规章制度。</w:t>
            </w: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5</w:t>
            </w:r>
          </w:p>
        </w:tc>
        <w:tc>
          <w:tcPr>
            <w:tcW w:w="208"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208" w:type="pct"/>
            <w:tcBorders>
              <w:top w:val="single" w:color="auto" w:sz="4" w:space="0"/>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　</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财务管理制度健全性:</w:t>
            </w:r>
            <w:r>
              <w:rPr>
                <w:rFonts w:hint="eastAsia" w:ascii="宋体" w:hAnsi="宋体" w:cs="宋体"/>
                <w:color w:val="auto"/>
                <w:kern w:val="0"/>
                <w:sz w:val="18"/>
                <w:szCs w:val="18"/>
              </w:rPr>
              <w:t>部门（单位）为加强财务管理、规范财务行为而制定的管理制度。</w:t>
            </w:r>
          </w:p>
        </w:tc>
        <w:tc>
          <w:tcPr>
            <w:tcW w:w="14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tblPrEx>
          <w:tblCellMar>
            <w:top w:w="0" w:type="dxa"/>
            <w:left w:w="108" w:type="dxa"/>
            <w:bottom w:w="0" w:type="dxa"/>
            <w:right w:w="108" w:type="dxa"/>
          </w:tblCellMar>
        </w:tblPrEx>
        <w:trPr>
          <w:trHeight w:val="2220" w:hRule="atLeast"/>
        </w:trPr>
        <w:tc>
          <w:tcPr>
            <w:tcW w:w="320"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资金使用合规性和安全性</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18"/>
                <w:szCs w:val="18"/>
                <w:lang w:val="en-US" w:eastAsia="zh-CN"/>
              </w:rPr>
              <w:t>执行</w:t>
            </w:r>
            <w:r>
              <w:rPr>
                <w:rFonts w:hint="eastAsia" w:ascii="宋体" w:hAnsi="宋体" w:cs="宋体"/>
                <w:color w:val="auto"/>
                <w:kern w:val="0"/>
                <w:sz w:val="18"/>
                <w:szCs w:val="18"/>
              </w:rPr>
              <w:t>国家</w:t>
            </w:r>
            <w:r>
              <w:rPr>
                <w:rFonts w:hint="eastAsia" w:ascii="宋体" w:hAnsi="宋体" w:cs="宋体"/>
                <w:color w:val="auto"/>
                <w:kern w:val="0"/>
                <w:sz w:val="18"/>
                <w:szCs w:val="18"/>
                <w:lang w:val="en-US" w:eastAsia="zh-CN"/>
              </w:rPr>
              <w:t>相关的法律法规，严肃财经纪律；</w:t>
            </w:r>
            <w:r>
              <w:rPr>
                <w:rFonts w:hint="eastAsia" w:ascii="宋体" w:hAnsi="宋体" w:cs="宋体"/>
                <w:color w:val="auto"/>
                <w:kern w:val="0"/>
                <w:sz w:val="18"/>
                <w:szCs w:val="18"/>
              </w:rPr>
              <w:t>资金的拨付</w:t>
            </w:r>
            <w:r>
              <w:rPr>
                <w:rFonts w:hint="eastAsia" w:ascii="宋体" w:hAnsi="宋体" w:cs="宋体"/>
                <w:color w:val="auto"/>
                <w:kern w:val="0"/>
                <w:sz w:val="18"/>
                <w:szCs w:val="18"/>
                <w:lang w:val="en-US" w:eastAsia="zh-CN"/>
              </w:rPr>
              <w:t>符合</w:t>
            </w:r>
            <w:r>
              <w:rPr>
                <w:rFonts w:hint="eastAsia" w:ascii="宋体" w:hAnsi="宋体" w:cs="宋体"/>
                <w:color w:val="auto"/>
                <w:kern w:val="0"/>
                <w:sz w:val="18"/>
                <w:szCs w:val="18"/>
              </w:rPr>
              <w:t>审批程序和手续；项目的重大开支</w:t>
            </w:r>
            <w:r>
              <w:rPr>
                <w:rFonts w:hint="eastAsia" w:ascii="宋体" w:hAnsi="宋体" w:cs="宋体"/>
                <w:color w:val="auto"/>
                <w:kern w:val="0"/>
                <w:sz w:val="18"/>
                <w:szCs w:val="18"/>
                <w:lang w:val="en-US" w:eastAsia="zh-CN"/>
              </w:rPr>
              <w:t>必须</w:t>
            </w:r>
            <w:r>
              <w:rPr>
                <w:rFonts w:hint="eastAsia" w:ascii="宋体" w:hAnsi="宋体" w:cs="宋体"/>
                <w:color w:val="auto"/>
                <w:kern w:val="0"/>
                <w:sz w:val="18"/>
                <w:szCs w:val="18"/>
              </w:rPr>
              <w:t>经过评估论证；符合部门预算批复的用途；</w:t>
            </w:r>
            <w:r>
              <w:rPr>
                <w:rFonts w:hint="eastAsia" w:ascii="宋体" w:hAnsi="宋体" w:cs="宋体"/>
                <w:color w:val="auto"/>
                <w:kern w:val="0"/>
                <w:sz w:val="18"/>
                <w:szCs w:val="18"/>
                <w:lang w:val="en-US" w:eastAsia="zh-CN"/>
              </w:rPr>
              <w:t>不得有</w:t>
            </w:r>
            <w:r>
              <w:rPr>
                <w:rFonts w:hint="eastAsia" w:ascii="宋体" w:hAnsi="宋体" w:cs="宋体"/>
                <w:color w:val="auto"/>
                <w:kern w:val="0"/>
                <w:sz w:val="18"/>
                <w:szCs w:val="18"/>
              </w:rPr>
              <w:t>截留、挤占、挪用情况；资金使用符合政府采购的程序和流程；资金使用符合公务卡结算相关制度和规定。</w:t>
            </w:r>
            <w:r>
              <w:rPr>
                <w:rFonts w:hint="eastAsia" w:ascii="宋体" w:hAnsi="宋体" w:cs="宋体"/>
                <w:color w:val="auto"/>
                <w:kern w:val="0"/>
                <w:sz w:val="20"/>
                <w:szCs w:val="20"/>
              </w:rPr>
              <w:t>　　</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18"/>
                <w:szCs w:val="18"/>
                <w:lang w:val="en-US" w:eastAsia="zh-CN"/>
              </w:rPr>
              <w:t>我单位严格执行</w:t>
            </w:r>
            <w:r>
              <w:rPr>
                <w:rFonts w:hint="eastAsia" w:ascii="宋体" w:hAnsi="宋体" w:cs="宋体"/>
                <w:color w:val="auto"/>
                <w:kern w:val="0"/>
                <w:sz w:val="18"/>
                <w:szCs w:val="18"/>
              </w:rPr>
              <w:t>国家</w:t>
            </w:r>
            <w:r>
              <w:rPr>
                <w:rFonts w:hint="eastAsia" w:ascii="宋体" w:hAnsi="宋体" w:cs="宋体"/>
                <w:color w:val="auto"/>
                <w:kern w:val="0"/>
                <w:sz w:val="18"/>
                <w:szCs w:val="18"/>
                <w:lang w:val="en-US" w:eastAsia="zh-CN"/>
              </w:rPr>
              <w:t>相关的法律法规，严肃财经纪律；</w:t>
            </w:r>
            <w:r>
              <w:rPr>
                <w:rFonts w:hint="eastAsia" w:ascii="宋体" w:hAnsi="宋体" w:cs="宋体"/>
                <w:color w:val="auto"/>
                <w:kern w:val="0"/>
                <w:sz w:val="18"/>
                <w:szCs w:val="18"/>
              </w:rPr>
              <w:t>资金的拨付</w:t>
            </w:r>
            <w:r>
              <w:rPr>
                <w:rFonts w:hint="eastAsia" w:ascii="宋体" w:hAnsi="宋体" w:cs="宋体"/>
                <w:color w:val="auto"/>
                <w:kern w:val="0"/>
                <w:sz w:val="18"/>
                <w:szCs w:val="18"/>
                <w:lang w:val="en-US" w:eastAsia="zh-CN"/>
              </w:rPr>
              <w:t>符合</w:t>
            </w:r>
            <w:r>
              <w:rPr>
                <w:rFonts w:hint="eastAsia" w:ascii="宋体" w:hAnsi="宋体" w:cs="宋体"/>
                <w:color w:val="auto"/>
                <w:kern w:val="0"/>
                <w:sz w:val="18"/>
                <w:szCs w:val="18"/>
              </w:rPr>
              <w:t>审批程序和手续；项目的重大开支</w:t>
            </w:r>
            <w:r>
              <w:rPr>
                <w:rFonts w:hint="eastAsia" w:ascii="宋体" w:hAnsi="宋体" w:cs="宋体"/>
                <w:color w:val="auto"/>
                <w:kern w:val="0"/>
                <w:sz w:val="18"/>
                <w:szCs w:val="18"/>
                <w:lang w:val="en-US" w:eastAsia="zh-CN"/>
              </w:rPr>
              <w:t>必须</w:t>
            </w:r>
            <w:r>
              <w:rPr>
                <w:rFonts w:hint="eastAsia" w:ascii="宋体" w:hAnsi="宋体" w:cs="宋体"/>
                <w:color w:val="auto"/>
                <w:kern w:val="0"/>
                <w:sz w:val="18"/>
                <w:szCs w:val="18"/>
              </w:rPr>
              <w:t>经过评估论证；符合部门预算批复的用途；</w:t>
            </w:r>
            <w:r>
              <w:rPr>
                <w:rFonts w:hint="eastAsia" w:ascii="宋体" w:hAnsi="宋体" w:cs="宋体"/>
                <w:color w:val="auto"/>
                <w:kern w:val="0"/>
                <w:sz w:val="18"/>
                <w:szCs w:val="18"/>
                <w:lang w:val="en-US" w:eastAsia="zh-CN"/>
              </w:rPr>
              <w:t>不得有</w:t>
            </w:r>
            <w:r>
              <w:rPr>
                <w:rFonts w:hint="eastAsia" w:ascii="宋体" w:hAnsi="宋体" w:cs="宋体"/>
                <w:color w:val="auto"/>
                <w:kern w:val="0"/>
                <w:sz w:val="18"/>
                <w:szCs w:val="18"/>
              </w:rPr>
              <w:t>截留、挤占、挪用情况；资金使用符合政府采购的程序和流程；资金使用符合公务卡结算相关制度和规定。</w:t>
            </w:r>
            <w:r>
              <w:rPr>
                <w:rFonts w:hint="eastAsia" w:ascii="宋体" w:hAnsi="宋体" w:cs="宋体"/>
                <w:color w:val="auto"/>
                <w:kern w:val="0"/>
                <w:sz w:val="20"/>
                <w:szCs w:val="20"/>
              </w:rPr>
              <w:t>　</w:t>
            </w:r>
          </w:p>
        </w:tc>
        <w:tc>
          <w:tcPr>
            <w:tcW w:w="208" w:type="pct"/>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208" w:type="pct"/>
            <w:tcBorders>
              <w:top w:val="single" w:color="auto" w:sz="4" w:space="0"/>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　</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资金使用合规性和安全性:</w:t>
            </w:r>
            <w:r>
              <w:rPr>
                <w:rFonts w:hint="eastAsia" w:ascii="宋体" w:hAnsi="宋体" w:cs="宋体"/>
                <w:color w:val="auto"/>
                <w:kern w:val="0"/>
                <w:sz w:val="18"/>
                <w:szCs w:val="18"/>
              </w:rPr>
              <w:t>部门（单位）使用预算资金是否符合相关的预算财务管理制度的规定，是否符合相关规定的开支范围，用以反映考核部门（单位）预算资金的规范运行和安全运行情况。</w:t>
            </w:r>
          </w:p>
        </w:tc>
        <w:tc>
          <w:tcPr>
            <w:tcW w:w="14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CellMar>
            <w:top w:w="0" w:type="dxa"/>
            <w:left w:w="108" w:type="dxa"/>
            <w:bottom w:w="0" w:type="dxa"/>
            <w:right w:w="108" w:type="dxa"/>
          </w:tblCellMar>
        </w:tblPrEx>
        <w:trPr>
          <w:trHeight w:val="1035"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0"/>
                <w:szCs w:val="20"/>
              </w:rPr>
            </w:pP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会计基础信息完善性</w:t>
            </w:r>
          </w:p>
        </w:tc>
        <w:tc>
          <w:tcPr>
            <w:tcW w:w="343"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18"/>
                <w:szCs w:val="18"/>
              </w:rPr>
              <w:t>基础数据信息和会计信息资料真实</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完整</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准确。</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18"/>
                <w:szCs w:val="18"/>
              </w:rPr>
              <w:t>基础数据信息和会计信息资料真实</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完整</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准确。</w:t>
            </w:r>
          </w:p>
        </w:tc>
        <w:tc>
          <w:tcPr>
            <w:tcW w:w="208"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208" w:type="pct"/>
            <w:tcBorders>
              <w:top w:val="nil"/>
              <w:left w:val="nil"/>
              <w:bottom w:val="single" w:color="auto" w:sz="4" w:space="0"/>
              <w:right w:val="nil"/>
            </w:tcBorders>
            <w:noWrap/>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　</w:t>
            </w:r>
          </w:p>
        </w:tc>
        <w:tc>
          <w:tcPr>
            <w:tcW w:w="1441"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会计基础信息完善性:</w:t>
            </w:r>
            <w:r>
              <w:rPr>
                <w:rFonts w:hint="eastAsia" w:ascii="宋体" w:hAnsi="宋体" w:cs="宋体"/>
                <w:color w:val="auto"/>
                <w:kern w:val="0"/>
                <w:sz w:val="18"/>
                <w:szCs w:val="18"/>
              </w:rPr>
              <w:t>部门（单位）会计基础信息情况。</w:t>
            </w:r>
          </w:p>
        </w:tc>
        <w:tc>
          <w:tcPr>
            <w:tcW w:w="14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①基础数据信息和会计信息资料是否真实；②基础数据信息和会计信息资料是否完整；③基础数据信息和会计信息资料是否准确。每有一项不合格扣0.5分，扣完为止。</w:t>
            </w:r>
          </w:p>
        </w:tc>
      </w:tr>
      <w:tr>
        <w:tblPrEx>
          <w:tblCellMar>
            <w:top w:w="0" w:type="dxa"/>
            <w:left w:w="108" w:type="dxa"/>
            <w:bottom w:w="0" w:type="dxa"/>
            <w:right w:w="108" w:type="dxa"/>
          </w:tblCellMar>
        </w:tblPrEx>
        <w:trPr>
          <w:trHeight w:val="222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资产管理（4）</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资产管理规范性</w:t>
            </w:r>
          </w:p>
        </w:tc>
        <w:tc>
          <w:tcPr>
            <w:tcW w:w="343"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资产使用及管理规范，不能发生资产损失和丢失情况，不能有超标准配置资产，按规定进行资产出租出借，资产处置按规定进行报批。</w:t>
            </w:r>
          </w:p>
        </w:tc>
        <w:tc>
          <w:tcPr>
            <w:tcW w:w="310"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资产使用及管理规范，不能发生资产损失和丢失情况，不能有超标准配置资产，按规定进行资产出租出借，资产处置按规定进行报批。</w:t>
            </w:r>
          </w:p>
        </w:tc>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　</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资产管理规范性:</w:t>
            </w:r>
            <w:r>
              <w:rPr>
                <w:rFonts w:hint="eastAsia" w:ascii="宋体" w:hAnsi="宋体" w:cs="宋体"/>
                <w:color w:val="auto"/>
                <w:kern w:val="0"/>
                <w:sz w:val="18"/>
                <w:szCs w:val="18"/>
              </w:rPr>
              <w:t>部门（单位）的资产是否保持安全完整，资产配置是否合理，资产使用和资产处理是否规范，用以反映和考核部门（单位）资产管理的整体水平。</w:t>
            </w:r>
          </w:p>
        </w:tc>
        <w:tc>
          <w:tcPr>
            <w:tcW w:w="14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CellMar>
            <w:top w:w="0" w:type="dxa"/>
            <w:left w:w="108" w:type="dxa"/>
            <w:bottom w:w="0" w:type="dxa"/>
            <w:right w:w="108" w:type="dxa"/>
          </w:tblCellMar>
        </w:tblPrEx>
        <w:trPr>
          <w:trHeight w:val="175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绩效管理（4）</w:t>
            </w:r>
          </w:p>
        </w:tc>
        <w:tc>
          <w:tcPr>
            <w:tcW w:w="34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绩效管理情况</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18"/>
                <w:szCs w:val="18"/>
                <w:lang w:val="en-US" w:eastAsia="zh-CN"/>
              </w:rPr>
              <w:t>要</w:t>
            </w:r>
            <w:r>
              <w:rPr>
                <w:rFonts w:hint="eastAsia" w:ascii="宋体" w:hAnsi="宋体" w:cs="宋体"/>
                <w:color w:val="auto"/>
                <w:kern w:val="0"/>
                <w:sz w:val="18"/>
                <w:szCs w:val="18"/>
              </w:rPr>
              <w:t>及时对绩效信息进行汇总分析整理；对绩效目标偏离情况及时进行矫正。</w:t>
            </w:r>
          </w:p>
        </w:tc>
        <w:tc>
          <w:tcPr>
            <w:tcW w:w="310"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18"/>
                <w:szCs w:val="18"/>
              </w:rPr>
              <w:t>单位及时对绩效信息进行汇总分析整理；对绩效目标偏离情况及时进行矫正。</w:t>
            </w:r>
          </w:p>
        </w:tc>
        <w:tc>
          <w:tcPr>
            <w:tcW w:w="20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8" w:type="pct"/>
            <w:tcBorders>
              <w:top w:val="single" w:color="auto" w:sz="4" w:space="0"/>
              <w:left w:val="nil"/>
              <w:bottom w:val="single" w:color="auto" w:sz="4" w:space="0"/>
              <w:right w:val="nil"/>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4</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b/>
                <w:bCs/>
                <w:color w:val="auto"/>
                <w:kern w:val="0"/>
                <w:sz w:val="18"/>
                <w:szCs w:val="18"/>
              </w:rPr>
              <w:t>绩效管理情况:</w:t>
            </w:r>
            <w:r>
              <w:rPr>
                <w:rFonts w:hint="eastAsia" w:ascii="宋体" w:hAnsi="宋体" w:cs="宋体"/>
                <w:color w:val="auto"/>
                <w:kern w:val="0"/>
                <w:sz w:val="18"/>
                <w:szCs w:val="18"/>
              </w:rPr>
              <w:t>考核部门（单位）在绩效管理信息的汇总和应用情况。</w:t>
            </w:r>
          </w:p>
        </w:tc>
        <w:tc>
          <w:tcPr>
            <w:tcW w:w="14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①部门（单位）是否及时对绩效信息进行汇总分析整理；②部门（单位）是否对绩效目标偏离情况及时进行矫正。每有一项不合格扣2分。</w:t>
            </w:r>
          </w:p>
        </w:tc>
      </w:tr>
      <w:tr>
        <w:tblPrEx>
          <w:tblCellMar>
            <w:top w:w="0" w:type="dxa"/>
            <w:left w:w="108" w:type="dxa"/>
            <w:bottom w:w="0" w:type="dxa"/>
            <w:right w:w="108" w:type="dxa"/>
          </w:tblCellMar>
        </w:tblPrEx>
        <w:trPr>
          <w:trHeight w:val="394"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指标　</w:t>
            </w:r>
          </w:p>
        </w:tc>
        <w:tc>
          <w:tcPr>
            <w:tcW w:w="687" w:type="pct"/>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年</w:t>
            </w:r>
          </w:p>
        </w:tc>
        <w:tc>
          <w:tcPr>
            <w:tcW w:w="310"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年</w:t>
            </w:r>
          </w:p>
        </w:tc>
        <w:tc>
          <w:tcPr>
            <w:tcW w:w="20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分值</w:t>
            </w:r>
          </w:p>
        </w:tc>
        <w:tc>
          <w:tcPr>
            <w:tcW w:w="20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得分</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bCs/>
                <w:color w:val="auto"/>
                <w:kern w:val="0"/>
                <w:sz w:val="18"/>
                <w:szCs w:val="18"/>
              </w:rPr>
              <w:t>指标</w:t>
            </w:r>
            <w:r>
              <w:rPr>
                <w:rFonts w:ascii="宋体" w:hAnsi="宋体" w:cs="宋体"/>
                <w:bCs/>
                <w:color w:val="auto"/>
                <w:kern w:val="0"/>
                <w:sz w:val="18"/>
                <w:szCs w:val="18"/>
              </w:rPr>
              <w:t>解释</w:t>
            </w:r>
          </w:p>
        </w:tc>
        <w:tc>
          <w:tcPr>
            <w:tcW w:w="1489" w:type="pct"/>
            <w:tcBorders>
              <w:top w:val="single" w:color="auto" w:sz="4" w:space="0"/>
              <w:left w:val="nil"/>
              <w:bottom w:val="single" w:color="auto" w:sz="4" w:space="0"/>
              <w:right w:val="single" w:color="auto" w:sz="4" w:space="0"/>
            </w:tcBorders>
            <w:noWrap w:val="0"/>
            <w:vAlign w:val="center"/>
          </w:tcPr>
          <w:p>
            <w:pPr>
              <w:widowControl/>
              <w:jc w:val="center"/>
              <w:rPr>
                <w:rFonts w:eastAsia="Times New Roman"/>
                <w:color w:val="auto"/>
                <w:kern w:val="0"/>
                <w:sz w:val="20"/>
                <w:szCs w:val="20"/>
              </w:rPr>
            </w:pPr>
            <w:r>
              <w:rPr>
                <w:rFonts w:hint="eastAsia" w:ascii="宋体" w:hAnsi="宋体" w:cs="宋体"/>
                <w:color w:val="auto"/>
                <w:kern w:val="0"/>
                <w:sz w:val="18"/>
                <w:szCs w:val="18"/>
              </w:rPr>
              <w:t>评</w:t>
            </w:r>
            <w:r>
              <w:rPr>
                <w:rFonts w:ascii="宋体" w:hAnsi="宋体" w:cs="宋体"/>
                <w:color w:val="auto"/>
                <w:kern w:val="0"/>
                <w:sz w:val="18"/>
                <w:szCs w:val="18"/>
              </w:rPr>
              <w:t>分标准</w:t>
            </w:r>
          </w:p>
        </w:tc>
      </w:tr>
      <w:tr>
        <w:tblPrEx>
          <w:tblCellMar>
            <w:top w:w="0" w:type="dxa"/>
            <w:left w:w="108" w:type="dxa"/>
            <w:bottom w:w="0" w:type="dxa"/>
            <w:right w:w="108" w:type="dxa"/>
          </w:tblCellMar>
        </w:tblPrEx>
        <w:trPr>
          <w:trHeight w:val="1365"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nil"/>
              <w:left w:val="nil"/>
              <w:bottom w:val="single" w:color="auto" w:sz="4" w:space="0"/>
              <w:right w:val="single" w:color="auto" w:sz="4" w:space="0"/>
            </w:tcBorders>
            <w:noWrap w:val="0"/>
            <w:vAlign w:val="center"/>
          </w:tcPr>
          <w:p>
            <w:pPr>
              <w:widowControl/>
              <w:rPr>
                <w:rFonts w:ascii="宋体" w:hAnsi="宋体" w:cs="宋体"/>
                <w:color w:val="auto"/>
                <w:kern w:val="0"/>
                <w:sz w:val="20"/>
                <w:szCs w:val="20"/>
              </w:rPr>
            </w:pPr>
            <w:r>
              <w:rPr>
                <w:rFonts w:hint="eastAsia" w:ascii="宋体" w:hAnsi="宋体" w:cs="宋体"/>
                <w:color w:val="auto"/>
                <w:kern w:val="0"/>
                <w:sz w:val="20"/>
                <w:szCs w:val="20"/>
              </w:rPr>
              <w:t>结转结余率（4）</w:t>
            </w:r>
          </w:p>
        </w:tc>
        <w:tc>
          <w:tcPr>
            <w:tcW w:w="687" w:type="pct"/>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0</w:t>
            </w:r>
          </w:p>
        </w:tc>
        <w:tc>
          <w:tcPr>
            <w:tcW w:w="310"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0</w:t>
            </w:r>
            <w:r>
              <w:rPr>
                <w:rFonts w:hint="eastAsia" w:ascii="宋体" w:hAnsi="宋体" w:cs="宋体"/>
                <w:color w:val="auto"/>
                <w:kern w:val="0"/>
                <w:sz w:val="20"/>
                <w:szCs w:val="20"/>
              </w:rPr>
              <w:t>　</w:t>
            </w:r>
          </w:p>
        </w:tc>
        <w:tc>
          <w:tcPr>
            <w:tcW w:w="208"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8" w:type="pct"/>
            <w:tcBorders>
              <w:top w:val="nil"/>
              <w:left w:val="nil"/>
              <w:bottom w:val="single" w:color="auto" w:sz="4" w:space="0"/>
              <w:right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　</w:t>
            </w:r>
          </w:p>
        </w:tc>
        <w:tc>
          <w:tcPr>
            <w:tcW w:w="144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结转结余率=结转结余总额/支出预算数×100%。</w:t>
            </w:r>
            <w:r>
              <w:rPr>
                <w:rFonts w:hint="eastAsia" w:ascii="宋体" w:hAnsi="宋体" w:cs="宋体"/>
                <w:color w:val="auto"/>
                <w:kern w:val="0"/>
                <w:sz w:val="18"/>
                <w:szCs w:val="18"/>
              </w:rPr>
              <w:br w:type="textWrapping"/>
            </w:r>
            <w:r>
              <w:rPr>
                <w:rFonts w:hint="eastAsia" w:ascii="宋体" w:hAnsi="宋体" w:cs="宋体"/>
                <w:color w:val="auto"/>
                <w:kern w:val="0"/>
                <w:sz w:val="18"/>
                <w:szCs w:val="18"/>
              </w:rPr>
              <w:t>结转结余总额：部门（单位）本年度的结转资金与结余资金之和。</w:t>
            </w:r>
          </w:p>
        </w:tc>
        <w:tc>
          <w:tcPr>
            <w:tcW w:w="14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CellMar>
            <w:top w:w="0" w:type="dxa"/>
            <w:left w:w="108" w:type="dxa"/>
            <w:bottom w:w="0" w:type="dxa"/>
            <w:right w:w="108" w:type="dxa"/>
          </w:tblCellMar>
        </w:tblPrEx>
        <w:trPr>
          <w:trHeight w:val="90" w:hRule="atLeast"/>
        </w:trPr>
        <w:tc>
          <w:tcPr>
            <w:tcW w:w="32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0"/>
                <w:szCs w:val="20"/>
              </w:rPr>
            </w:pPr>
          </w:p>
        </w:tc>
        <w:tc>
          <w:tcPr>
            <w:tcW w:w="333" w:type="pct"/>
            <w:tcBorders>
              <w:top w:val="nil"/>
              <w:left w:val="nil"/>
              <w:bottom w:val="single" w:color="auto" w:sz="4" w:space="0"/>
              <w:right w:val="single" w:color="auto" w:sz="4" w:space="0"/>
            </w:tcBorders>
            <w:noWrap w:val="0"/>
            <w:vAlign w:val="center"/>
          </w:tcPr>
          <w:p>
            <w:pPr>
              <w:widowControl/>
              <w:rPr>
                <w:rFonts w:hint="eastAsia" w:ascii="宋体" w:hAnsi="宋体" w:cs="宋体"/>
                <w:color w:val="auto"/>
                <w:kern w:val="0"/>
                <w:sz w:val="20"/>
                <w:szCs w:val="20"/>
              </w:rPr>
            </w:pPr>
            <w:r>
              <w:rPr>
                <w:rFonts w:hint="eastAsia" w:ascii="宋体" w:hAnsi="宋体" w:cs="宋体"/>
                <w:color w:val="auto"/>
                <w:kern w:val="0"/>
                <w:sz w:val="20"/>
                <w:szCs w:val="20"/>
              </w:rPr>
              <w:t>部门预决算差异率（4）</w:t>
            </w:r>
          </w:p>
        </w:tc>
        <w:tc>
          <w:tcPr>
            <w:tcW w:w="687" w:type="pct"/>
            <w:gridSpan w:val="2"/>
            <w:tcBorders>
              <w:top w:val="single" w:color="auto" w:sz="4" w:space="0"/>
              <w:left w:val="nil"/>
              <w:bottom w:val="single" w:color="auto" w:sz="4" w:space="0"/>
              <w:right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w:t>
            </w:r>
          </w:p>
        </w:tc>
        <w:tc>
          <w:tcPr>
            <w:tcW w:w="310" w:type="pct"/>
            <w:tcBorders>
              <w:top w:val="nil"/>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22.59</w:t>
            </w:r>
          </w:p>
        </w:tc>
        <w:tc>
          <w:tcPr>
            <w:tcW w:w="208"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208" w:type="pct"/>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4</w:t>
            </w:r>
          </w:p>
        </w:tc>
        <w:tc>
          <w:tcPr>
            <w:tcW w:w="1441"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通过年度部门决算与年初部门预算对比，对部门的年度支出情况进行考核，衡量部门预算的约束力。</w:t>
            </w:r>
          </w:p>
        </w:tc>
        <w:tc>
          <w:tcPr>
            <w:tcW w:w="14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部门预决算差异率高于市级平均差异率（28.3%）的，每高出10%（含），扣0.4分，扣完为止。</w:t>
            </w:r>
          </w:p>
        </w:tc>
      </w:tr>
      <w:tr>
        <w:tblPrEx>
          <w:tblCellMar>
            <w:top w:w="0" w:type="dxa"/>
            <w:left w:w="108" w:type="dxa"/>
            <w:bottom w:w="0" w:type="dxa"/>
            <w:right w:w="108" w:type="dxa"/>
          </w:tblCellMar>
        </w:tblPrEx>
        <w:trPr>
          <w:trHeight w:val="404" w:hRule="atLeast"/>
        </w:trPr>
        <w:tc>
          <w:tcPr>
            <w:tcW w:w="1652" w:type="pct"/>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合计</w:t>
            </w:r>
          </w:p>
        </w:tc>
        <w:tc>
          <w:tcPr>
            <w:tcW w:w="208"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100</w:t>
            </w:r>
          </w:p>
        </w:tc>
        <w:tc>
          <w:tcPr>
            <w:tcW w:w="208" w:type="pct"/>
            <w:tcBorders>
              <w:top w:val="nil"/>
              <w:left w:val="nil"/>
              <w:bottom w:val="single" w:color="auto" w:sz="4" w:space="0"/>
              <w:right w:val="nil"/>
            </w:tcBorders>
            <w:noWrap w:val="0"/>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100</w:t>
            </w:r>
            <w:r>
              <w:rPr>
                <w:rFonts w:hint="eastAsia" w:ascii="宋体" w:hAnsi="宋体" w:cs="宋体"/>
                <w:color w:val="auto"/>
                <w:kern w:val="0"/>
                <w:sz w:val="20"/>
                <w:szCs w:val="20"/>
              </w:rPr>
              <w:t>　</w:t>
            </w:r>
          </w:p>
        </w:tc>
        <w:tc>
          <w:tcPr>
            <w:tcW w:w="2930" w:type="pct"/>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　</w:t>
            </w:r>
          </w:p>
        </w:tc>
      </w:tr>
    </w:tbl>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spacing w:line="560" w:lineRule="exact"/>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项目支出绩效评价报告</w:t>
      </w:r>
    </w:p>
    <w:p>
      <w:pPr>
        <w:jc w:val="center"/>
        <w:rPr>
          <w:rFonts w:hint="eastAsia" w:ascii="仿宋_GB2312" w:eastAsia="仿宋_GB2312"/>
          <w:color w:val="auto"/>
          <w:sz w:val="32"/>
          <w:szCs w:val="32"/>
        </w:rPr>
      </w:pP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项目</w:t>
      </w:r>
      <w:r>
        <w:rPr>
          <w:rFonts w:hint="eastAsia" w:ascii="黑体" w:hAnsi="黑体" w:eastAsia="黑体" w:cs="黑体"/>
          <w:color w:val="auto"/>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right="0" w:firstLine="600" w:firstLineChars="200"/>
        <w:jc w:val="both"/>
        <w:textAlignment w:val="auto"/>
        <w:outlineLvl w:val="9"/>
        <w:rPr>
          <w:rFonts w:ascii="方正小标宋简体" w:hAnsi="方正小标宋简体" w:eastAsia="方正小标宋简体" w:cs="Times New Roman"/>
          <w:color w:val="auto"/>
          <w:sz w:val="30"/>
          <w:szCs w:val="30"/>
        </w:rPr>
      </w:pPr>
      <w:r>
        <w:rPr>
          <w:rFonts w:hint="eastAsia" w:ascii="方正小标宋简体" w:hAnsi="方正小标宋简体" w:eastAsia="方正小标宋简体" w:cs="方正小标宋简体"/>
          <w:color w:val="auto"/>
          <w:sz w:val="30"/>
          <w:szCs w:val="30"/>
          <w:lang w:val="en-US" w:eastAsia="zh-CN"/>
        </w:rPr>
        <w:t>A:</w:t>
      </w:r>
      <w:r>
        <w:rPr>
          <w:rFonts w:hint="eastAsia" w:ascii="方正小标宋简体" w:hAnsi="方正小标宋简体" w:eastAsia="方正小标宋简体" w:cs="方正小标宋简体"/>
          <w:color w:val="auto"/>
          <w:sz w:val="30"/>
          <w:szCs w:val="30"/>
        </w:rPr>
        <w:t>动物疫病强制免疫先打后补密云区</w:t>
      </w:r>
      <w:r>
        <w:rPr>
          <w:rFonts w:ascii="方正小标宋简体" w:hAnsi="方正小标宋简体" w:eastAsia="方正小标宋简体" w:cs="方正小标宋简体"/>
          <w:color w:val="auto"/>
          <w:sz w:val="30"/>
          <w:szCs w:val="30"/>
        </w:rPr>
        <w:t>202</w:t>
      </w:r>
      <w:r>
        <w:rPr>
          <w:rFonts w:hint="eastAsia" w:ascii="方正小标宋简体" w:hAnsi="方正小标宋简体" w:eastAsia="方正小标宋简体" w:cs="方正小标宋简体"/>
          <w:color w:val="auto"/>
          <w:sz w:val="30"/>
          <w:szCs w:val="30"/>
        </w:rPr>
        <w:t>2年度</w:t>
      </w:r>
    </w:p>
    <w:p>
      <w:pPr>
        <w:spacing w:line="360" w:lineRule="auto"/>
        <w:ind w:firstLine="640" w:firstLineChars="200"/>
        <w:outlineLvl w:val="0"/>
        <w:rPr>
          <w:rFonts w:ascii="黑体" w:hAnsi="黑体" w:eastAsia="黑体" w:cs="Times New Roman"/>
          <w:color w:val="auto"/>
          <w:sz w:val="32"/>
          <w:szCs w:val="32"/>
        </w:rPr>
      </w:pPr>
      <w:r>
        <w:rPr>
          <w:rFonts w:hint="eastAsia" w:ascii="黑体" w:hAnsi="黑体" w:eastAsia="黑体" w:cs="黑体"/>
          <w:color w:val="auto"/>
          <w:sz w:val="32"/>
          <w:szCs w:val="32"/>
        </w:rPr>
        <w:t>一、绩效目标分解下达情况</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强化畜禽养殖经营者的强制免疫主体责任，提高强制免疫质量和财政资金使用效益，提高养殖场实施强制免疫的自主性和灵活性，深入推进动物疫病防控工作开展，构建动物疫病防控工作新的运行机制，有效保障全区养殖业安全、动物产品质量安全、公共卫生安全和生态安全。根据《北京市农业农村局、北京市财政局关于印发年动物疫病强制免疫“先打后补”工作实施方案（2022-2024年）的通知&gt;》（京政农发〔2021〕101号）文件要求，密云区已完成5家生猪养殖场，3家奶牛场和2家种鸡场动物疫病强制免疫“先打后补”工作，经组织相关部门对免疫记录、疫苗采购发票，免疫监测效果评价，生猪出栏、种猪存栏、奶牛存栏、种鸡出栏情况进行验收，全部合格，补助资金共计24.19872万元。</w:t>
      </w:r>
    </w:p>
    <w:p>
      <w:pPr>
        <w:spacing w:line="360" w:lineRule="auto"/>
        <w:ind w:firstLine="640" w:firstLineChars="200"/>
        <w:outlineLvl w:val="0"/>
        <w:rPr>
          <w:rFonts w:ascii="黑体" w:hAnsi="黑体" w:eastAsia="黑体" w:cs="Times New Roman"/>
          <w:color w:val="auto"/>
          <w:sz w:val="32"/>
          <w:szCs w:val="32"/>
        </w:rPr>
      </w:pPr>
      <w:r>
        <w:rPr>
          <w:rFonts w:hint="eastAsia" w:ascii="黑体" w:hAnsi="黑体" w:eastAsia="黑体" w:cs="黑体"/>
          <w:color w:val="auto"/>
          <w:sz w:val="32"/>
          <w:szCs w:val="32"/>
        </w:rPr>
        <w:t>二、绩效目标过程管理情况</w:t>
      </w:r>
    </w:p>
    <w:p>
      <w:pPr>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北京市农业农村局、北京市财政局关于印发年动物疫病强制免疫“先打后补”工作实施方案（2022-2024年）的通知&gt;》（京政农发〔2021〕101号）文件要求，经组织相关部门对免疫记录、疫苗使用记录、疫苗采购记录，免疫监测效果评价、生猪出栏、奶牛存栏进行验收，全部合格。</w:t>
      </w:r>
    </w:p>
    <w:p>
      <w:pPr>
        <w:ind w:firstLine="640" w:firstLineChars="200"/>
        <w:outlineLvl w:val="0"/>
        <w:rPr>
          <w:rFonts w:ascii="黑体" w:hAnsi="黑体" w:eastAsia="黑体" w:cs="Times New Roman"/>
          <w:color w:val="auto"/>
          <w:sz w:val="32"/>
          <w:szCs w:val="32"/>
        </w:rPr>
      </w:pPr>
      <w:r>
        <w:rPr>
          <w:rFonts w:hint="eastAsia" w:ascii="黑体" w:hAnsi="黑体" w:eastAsia="黑体" w:cs="黑体"/>
          <w:color w:val="auto"/>
          <w:sz w:val="32"/>
          <w:szCs w:val="32"/>
        </w:rPr>
        <w:t>三、绩效目标完成情况分析</w:t>
      </w:r>
    </w:p>
    <w:p>
      <w:pPr>
        <w:ind w:firstLine="640" w:firstLineChars="200"/>
        <w:outlineLvl w:val="0"/>
        <w:rPr>
          <w:rFonts w:ascii="仿宋_GB2312" w:hAnsi="宋体" w:eastAsia="仿宋_GB2312" w:cs="Times New Roman"/>
          <w:color w:val="auto"/>
          <w:sz w:val="32"/>
          <w:szCs w:val="32"/>
        </w:rPr>
      </w:pPr>
      <w:r>
        <w:rPr>
          <w:rFonts w:hint="eastAsia" w:ascii="楷体_GB2312" w:hAnsi="楷体" w:eastAsia="楷体_GB2312" w:cs="楷体_GB2312"/>
          <w:color w:val="auto"/>
          <w:sz w:val="32"/>
          <w:szCs w:val="32"/>
        </w:rPr>
        <w:t>（一）资金投入情况分析</w:t>
      </w:r>
    </w:p>
    <w:p>
      <w:pPr>
        <w:ind w:firstLine="640" w:firstLineChars="200"/>
        <w:outlineLvl w:val="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根据</w:t>
      </w:r>
      <w:r>
        <w:rPr>
          <w:rFonts w:hint="eastAsia" w:ascii="仿宋_GB2312" w:hAnsi="仿宋_GB2312" w:eastAsia="仿宋_GB2312" w:cs="仿宋_GB2312"/>
          <w:color w:val="auto"/>
          <w:sz w:val="32"/>
          <w:szCs w:val="32"/>
        </w:rPr>
        <w:t>生猪存、出栏、奶牛存栏数量，鸡出栏数量，对免疫记录、疫苗使用记录、疫苗采购记录，免疫监测效果评价，计算出补贴资金共计24.19872万元，向市农业农村局报资金申请</w:t>
      </w:r>
      <w:r>
        <w:rPr>
          <w:rFonts w:hint="eastAsia" w:ascii="仿宋_GB2312" w:hAnsi="宋体" w:eastAsia="仿宋_GB2312" w:cs="仿宋_GB2312"/>
          <w:color w:val="auto"/>
          <w:sz w:val="32"/>
          <w:szCs w:val="32"/>
        </w:rPr>
        <w:t>，资金到位后全部拨付参加“先打后补”的各养殖场。</w:t>
      </w:r>
    </w:p>
    <w:p>
      <w:pPr>
        <w:ind w:firstLine="640" w:firstLineChars="200"/>
        <w:outlineLvl w:val="0"/>
        <w:rPr>
          <w:rFonts w:ascii="仿宋_GB2312" w:hAnsi="宋体" w:eastAsia="仿宋_GB2312" w:cs="Times New Roman"/>
          <w:color w:val="auto"/>
          <w:sz w:val="32"/>
          <w:szCs w:val="32"/>
        </w:rPr>
      </w:pPr>
      <w:r>
        <w:rPr>
          <w:rFonts w:hint="eastAsia" w:ascii="楷体_GB2312" w:hAnsi="楷体" w:eastAsia="楷体_GB2312" w:cs="楷体_GB2312"/>
          <w:color w:val="auto"/>
          <w:sz w:val="32"/>
          <w:szCs w:val="32"/>
        </w:rPr>
        <w:t>（二）</w:t>
      </w:r>
      <w:r>
        <w:rPr>
          <w:rFonts w:hint="eastAsia" w:ascii="楷体_GB2312" w:hAnsi="楷体" w:eastAsia="楷体_GB2312" w:cs="楷体_GB2312"/>
          <w:color w:val="auto"/>
          <w:sz w:val="32"/>
          <w:szCs w:val="32"/>
          <w:highlight w:val="yellow"/>
        </w:rPr>
        <w:t>总体绩效目标</w:t>
      </w:r>
      <w:r>
        <w:rPr>
          <w:rFonts w:hint="eastAsia" w:ascii="楷体_GB2312" w:hAnsi="楷体" w:eastAsia="楷体_GB2312" w:cs="楷体_GB2312"/>
          <w:color w:val="auto"/>
          <w:sz w:val="32"/>
          <w:szCs w:val="32"/>
        </w:rPr>
        <w:t>完成情况分析</w:t>
      </w:r>
    </w:p>
    <w:p>
      <w:pPr>
        <w:ind w:firstLine="640" w:firstLineChars="200"/>
        <w:outlineLvl w:val="0"/>
        <w:rPr>
          <w:rFonts w:ascii="仿宋_GB2312" w:hAnsi="宋体" w:eastAsia="仿宋_GB2312" w:cs="Times New Roman"/>
          <w:color w:val="auto"/>
          <w:sz w:val="32"/>
          <w:szCs w:val="32"/>
        </w:rPr>
      </w:pPr>
      <w:r>
        <w:rPr>
          <w:rFonts w:hint="eastAsia" w:ascii="仿宋_GB2312" w:hAnsi="仿宋_GB2312" w:eastAsia="仿宋_GB2312" w:cs="仿宋_GB2312"/>
          <w:color w:val="auto"/>
          <w:sz w:val="32"/>
          <w:szCs w:val="32"/>
          <w:lang w:val="en-US" w:eastAsia="zh-CN"/>
        </w:rPr>
        <w:t>按照北京市农业农村局 北京市财政局关于印发《</w:t>
      </w:r>
      <w:r>
        <w:rPr>
          <w:rFonts w:hint="eastAsia" w:ascii="仿宋_GB2312" w:hAnsi="仿宋_GB2312" w:eastAsia="仿宋_GB2312" w:cs="仿宋_GB2312"/>
          <w:color w:val="auto"/>
          <w:sz w:val="32"/>
          <w:szCs w:val="32"/>
        </w:rPr>
        <w:t>动物疫病强制免疫</w:t>
      </w:r>
      <w:r>
        <w:rPr>
          <w:rFonts w:hint="eastAsia" w:ascii="仿宋_GB2312" w:hAnsi="仿宋_GB2312" w:eastAsia="仿宋_GB2312" w:cs="仿宋_GB2312"/>
          <w:color w:val="auto"/>
          <w:sz w:val="32"/>
          <w:szCs w:val="32"/>
          <w:lang w:val="en-US" w:eastAsia="zh-CN"/>
        </w:rPr>
        <w:t>“先打后补”工作实施方案(2022-2024年)》（京政农发〔2021〕101号）《北京市农业农村局关于进一步明确动物疫病强制免疫先打后补工作有关事项的通知》（京政农发〔2022〕64号）文件要求,密云区已完成5家生猪养殖场，3家奶牛场和2家种鸡场动物疫病强制免疫“先打后补”工作，</w:t>
      </w:r>
      <w:r>
        <w:rPr>
          <w:rFonts w:hint="eastAsia" w:ascii="仿宋_GB2312" w:hAnsi="仿宋_GB2312" w:eastAsia="仿宋_GB2312" w:cs="仿宋_GB2312"/>
          <w:b w:val="0"/>
          <w:bCs w:val="0"/>
          <w:color w:val="auto"/>
          <w:sz w:val="32"/>
          <w:szCs w:val="32"/>
          <w:lang w:val="en-US" w:eastAsia="zh-CN"/>
        </w:rPr>
        <w:t>共免疫生猪养殖场免疫O-A二价疫苗生猪14904头，免疫O型疫苗生猪10352头和3家奶牛场免疫O型疫苗奶牛10880头，禽流感免疫73200羽，</w:t>
      </w:r>
      <w:r>
        <w:rPr>
          <w:rFonts w:hint="eastAsia" w:ascii="仿宋_GB2312" w:hAnsi="仿宋_GB2312" w:eastAsia="仿宋_GB2312" w:cs="仿宋_GB2312"/>
          <w:color w:val="auto"/>
          <w:sz w:val="32"/>
          <w:szCs w:val="32"/>
          <w:lang w:val="en-US" w:eastAsia="zh-CN"/>
        </w:rPr>
        <w:t>经组织相关部门对</w:t>
      </w:r>
      <w:r>
        <w:rPr>
          <w:rFonts w:hint="eastAsia" w:ascii="仿宋_GB2312" w:hAnsi="仿宋_GB2312" w:eastAsia="仿宋_GB2312" w:cs="仿宋_GB2312"/>
          <w:b w:val="0"/>
          <w:bCs w:val="0"/>
          <w:color w:val="auto"/>
          <w:sz w:val="32"/>
          <w:szCs w:val="32"/>
          <w:lang w:val="en-US" w:eastAsia="zh-CN"/>
        </w:rPr>
        <w:t>免疫记录、疫苗采购发票，免疫监测效果评价，生猪出栏、种猪存栏、奶牛存栏、种鸡出栏情况进行验收，全部合格。</w:t>
      </w:r>
      <w:r>
        <w:rPr>
          <w:rFonts w:hint="eastAsia" w:ascii="仿宋_GB2312" w:hAnsi="仿宋_GB2312" w:eastAsia="仿宋_GB2312" w:cs="仿宋_GB2312"/>
          <w:color w:val="auto"/>
          <w:sz w:val="32"/>
          <w:szCs w:val="32"/>
        </w:rPr>
        <w:t>补贴资金共计24.19872万元</w:t>
      </w:r>
      <w:r>
        <w:rPr>
          <w:rFonts w:hint="eastAsia" w:ascii="仿宋_GB2312" w:hAnsi="仿宋_GB2312" w:eastAsia="仿宋_GB2312" w:cs="仿宋_GB2312"/>
          <w:color w:val="auto"/>
          <w:sz w:val="32"/>
          <w:szCs w:val="32"/>
          <w:lang w:eastAsia="zh-CN"/>
        </w:rPr>
        <w:t>，</w:t>
      </w:r>
      <w:r>
        <w:rPr>
          <w:rFonts w:hint="eastAsia" w:ascii="仿宋_GB2312" w:hAnsi="宋体" w:eastAsia="仿宋_GB2312" w:cs="仿宋_GB2312"/>
          <w:color w:val="auto"/>
          <w:sz w:val="32"/>
          <w:szCs w:val="32"/>
          <w:highlight w:val="yellow"/>
        </w:rPr>
        <w:t>2022年度先打后补资金于2023年4月全部完成拨付。</w:t>
      </w:r>
    </w:p>
    <w:p>
      <w:pPr>
        <w:ind w:firstLine="640" w:firstLineChars="200"/>
        <w:outlineLvl w:val="0"/>
        <w:rPr>
          <w:rFonts w:ascii="仿宋_GB2312" w:hAnsi="宋体" w:eastAsia="仿宋_GB2312" w:cs="Times New Roman"/>
          <w:color w:val="auto"/>
          <w:sz w:val="32"/>
          <w:szCs w:val="32"/>
        </w:rPr>
      </w:pPr>
      <w:r>
        <w:rPr>
          <w:rFonts w:hint="eastAsia" w:ascii="楷体_GB2312" w:hAnsi="楷体" w:eastAsia="楷体_GB2312" w:cs="楷体_GB2312"/>
          <w:color w:val="auto"/>
          <w:sz w:val="32"/>
          <w:szCs w:val="32"/>
        </w:rPr>
        <w:t>（三）绩效指标完成情况分析</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因口蹄疫的发生，可致使奶牛发生乳房炎产奶下降，甚至造成偶蹄动物3%的死亡。因禽流感的发生，可造成禽类大面积死亡，通过“先打后补”的实施，使动物减少了3%-6%的死亡率</w:t>
      </w:r>
      <w:r>
        <w:rPr>
          <w:rFonts w:hint="eastAsia" w:ascii="仿宋_GB2312" w:hAnsi="仿宋_GB2312" w:eastAsia="仿宋_GB2312" w:cs="仿宋_GB2312"/>
          <w:color w:val="auto"/>
          <w:sz w:val="32"/>
          <w:szCs w:val="32"/>
          <w:lang w:eastAsia="zh-CN"/>
        </w:rPr>
        <w:t>。</w:t>
      </w:r>
    </w:p>
    <w:p>
      <w:pPr>
        <w:pageBreakBefore w:val="0"/>
        <w:widowControl w:val="0"/>
        <w:kinsoku/>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高全区对重大动物疫病的防御能力，最大程度地减少养殖户的经济损失，稳定养殖结构，有效地推动畜牧业生产健康发展。为保障人民群众健康安全和经济社会稳定，促进农民增收、维护公共卫生安全和社会稳定提供有力保障。</w:t>
      </w:r>
    </w:p>
    <w:tbl>
      <w:tblPr>
        <w:tblStyle w:val="16"/>
        <w:tblW w:w="0" w:type="auto"/>
        <w:jc w:val="center"/>
        <w:tblLayout w:type="fixed"/>
        <w:tblCellMar>
          <w:top w:w="0" w:type="dxa"/>
          <w:left w:w="108" w:type="dxa"/>
          <w:bottom w:w="0" w:type="dxa"/>
          <w:right w:w="108" w:type="dxa"/>
        </w:tblCellMar>
      </w:tblPr>
      <w:tblGrid>
        <w:gridCol w:w="686"/>
        <w:gridCol w:w="341"/>
        <w:gridCol w:w="411"/>
        <w:gridCol w:w="1050"/>
        <w:gridCol w:w="489"/>
        <w:gridCol w:w="810"/>
        <w:gridCol w:w="585"/>
        <w:gridCol w:w="135"/>
        <w:gridCol w:w="396"/>
        <w:gridCol w:w="309"/>
        <w:gridCol w:w="105"/>
        <w:gridCol w:w="615"/>
        <w:gridCol w:w="900"/>
        <w:gridCol w:w="330"/>
        <w:gridCol w:w="360"/>
        <w:gridCol w:w="330"/>
        <w:gridCol w:w="555"/>
        <w:gridCol w:w="255"/>
        <w:gridCol w:w="390"/>
        <w:gridCol w:w="1228"/>
      </w:tblGrid>
      <w:tr>
        <w:tblPrEx>
          <w:tblCellMar>
            <w:top w:w="0" w:type="dxa"/>
            <w:left w:w="108" w:type="dxa"/>
            <w:bottom w:w="0" w:type="dxa"/>
            <w:right w:w="108" w:type="dxa"/>
          </w:tblCellMar>
        </w:tblPrEx>
        <w:trPr>
          <w:trHeight w:val="327" w:hRule="atLeast"/>
          <w:jc w:val="center"/>
        </w:trPr>
        <w:tc>
          <w:tcPr>
            <w:tcW w:w="297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转移支付（项目）名称</w:t>
            </w:r>
          </w:p>
        </w:tc>
        <w:tc>
          <w:tcPr>
            <w:tcW w:w="7303"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2022年动物疫病强制免疫先打后补</w:t>
            </w:r>
          </w:p>
        </w:tc>
      </w:tr>
      <w:tr>
        <w:tblPrEx>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市级主管部门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北京市农业农村局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转移支付类别</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引导类</w:t>
            </w:r>
          </w:p>
        </w:tc>
      </w:tr>
      <w:tr>
        <w:tblPrEx>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r>
              <w:rPr>
                <w:rFonts w:hint="eastAsia" w:ascii="宋体" w:hAnsi="宋体" w:cs="宋体"/>
                <w:color w:val="auto"/>
                <w:sz w:val="20"/>
                <w:szCs w:val="20"/>
              </w:rPr>
              <w:t>密云区农业农村局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资金使用单位</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密云区农业农村局畜牧渔业科</w:t>
            </w:r>
          </w:p>
        </w:tc>
      </w:tr>
      <w:tr>
        <w:tblPrEx>
          <w:tblCellMar>
            <w:top w:w="0" w:type="dxa"/>
            <w:left w:w="108" w:type="dxa"/>
            <w:bottom w:w="0" w:type="dxa"/>
            <w:right w:w="108" w:type="dxa"/>
          </w:tblCellMar>
        </w:tblPrEx>
        <w:trPr>
          <w:trHeight w:val="1017" w:hRule="atLeast"/>
          <w:jc w:val="center"/>
        </w:trPr>
        <w:tc>
          <w:tcPr>
            <w:tcW w:w="1027"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资金投入情况</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（万元，小数点保留2位）</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年初预算数（A）</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预算调整数（B）</w:t>
            </w: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调整后预算数（C）</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全年执行数（D）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预算调整</w:t>
            </w:r>
            <w:r>
              <w:rPr>
                <w:rStyle w:val="31"/>
                <w:color w:val="auto"/>
                <w:lang w:bidi="ar"/>
              </w:rPr>
              <w:t>率（</w:t>
            </w:r>
            <w:r>
              <w:rPr>
                <w:rStyle w:val="31"/>
                <w:color w:val="auto"/>
                <w:spacing w:val="-11"/>
                <w:lang w:bidi="ar"/>
              </w:rPr>
              <w:t>B/A</w:t>
            </w:r>
            <w:r>
              <w:rPr>
                <w:rStyle w:val="31"/>
                <w:rFonts w:hint="eastAsia"/>
                <w:color w:val="auto"/>
                <w:spacing w:val="-11"/>
                <w:lang w:bidi="ar"/>
              </w:rPr>
              <w:t>×100%）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color w:val="auto"/>
                <w:sz w:val="20"/>
                <w:szCs w:val="20"/>
              </w:rPr>
            </w:pPr>
            <w:r>
              <w:rPr>
                <w:rFonts w:hint="eastAsia"/>
                <w:color w:val="auto"/>
                <w:sz w:val="20"/>
                <w:szCs w:val="20"/>
              </w:rPr>
              <w:t>分值</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预算执行率</w:t>
            </w:r>
            <w:r>
              <w:rPr>
                <w:rFonts w:hint="eastAsia" w:ascii="宋体" w:hAnsi="宋体" w:cs="宋体"/>
                <w:color w:val="auto"/>
                <w:spacing w:val="-11"/>
                <w:kern w:val="0"/>
                <w:sz w:val="20"/>
                <w:szCs w:val="20"/>
                <w:lang w:bidi="ar"/>
              </w:rPr>
              <w:t>（D</w:t>
            </w:r>
            <w:r>
              <w:rPr>
                <w:rStyle w:val="31"/>
                <w:color w:val="auto"/>
                <w:spacing w:val="-11"/>
                <w:lang w:bidi="ar"/>
              </w:rPr>
              <w:t>/C</w:t>
            </w:r>
            <w:r>
              <w:rPr>
                <w:rStyle w:val="31"/>
                <w:rFonts w:hint="eastAsia"/>
                <w:color w:val="auto"/>
                <w:spacing w:val="-11"/>
                <w:lang w:bidi="ar"/>
              </w:rPr>
              <w:t>×100%）</w:t>
            </w:r>
          </w:p>
        </w:tc>
        <w:tc>
          <w:tcPr>
            <w:tcW w:w="645"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得分</w:t>
            </w:r>
          </w:p>
        </w:tc>
        <w:tc>
          <w:tcPr>
            <w:tcW w:w="1228"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预算调整</w:t>
            </w:r>
            <w:r>
              <w:rPr>
                <w:rStyle w:val="31"/>
                <w:color w:val="auto"/>
                <w:lang w:bidi="ar"/>
              </w:rPr>
              <w:t>、结余等原因分析及改进措施</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年度资金总额：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24.19872</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24.19872</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24.19872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10</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r>
              <w:rPr>
                <w:rStyle w:val="31"/>
                <w:rFonts w:hint="eastAsia"/>
                <w:color w:val="auto"/>
                <w:spacing w:val="-11"/>
                <w:lang w:bidi="ar"/>
              </w:rPr>
              <w:t>100%</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228" w:type="dxa"/>
            <w:vMerge w:val="restart"/>
            <w:tcBorders>
              <w:top w:val="single" w:color="auto" w:sz="4" w:space="0"/>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其中：市级财政资金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24.19872</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24.19872</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24.19872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r>
              <w:rPr>
                <w:rStyle w:val="31"/>
                <w:rFonts w:hint="eastAsia"/>
                <w:color w:val="auto"/>
                <w:spacing w:val="-11"/>
                <w:lang w:bidi="ar"/>
              </w:rPr>
              <w:t>100%</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区级资金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中央资金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1027" w:type="dxa"/>
            <w:gridSpan w:val="2"/>
            <w:vMerge w:val="restart"/>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资金管理情况</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情况说明</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hint="eastAsia"/>
                <w:color w:val="auto"/>
                <w:sz w:val="20"/>
                <w:szCs w:val="20"/>
              </w:rPr>
            </w:pPr>
            <w:r>
              <w:rPr>
                <w:rFonts w:hint="eastAsia"/>
                <w:color w:val="auto"/>
                <w:sz w:val="20"/>
                <w:szCs w:val="20"/>
              </w:rPr>
              <w:t>分值</w:t>
            </w:r>
          </w:p>
          <w:p>
            <w:pPr>
              <w:spacing w:line="560" w:lineRule="exact"/>
              <w:jc w:val="center"/>
              <w:rPr>
                <w:rFonts w:hint="eastAsia" w:ascii="宋体" w:hAnsi="宋体" w:cs="宋体"/>
                <w:color w:val="auto"/>
                <w:sz w:val="20"/>
                <w:szCs w:val="20"/>
              </w:rPr>
            </w:pPr>
            <w:r>
              <w:rPr>
                <w:rFonts w:hint="eastAsia" w:ascii="宋体" w:hAnsi="宋体" w:cs="宋体"/>
                <w:color w:val="auto"/>
                <w:spacing w:val="-11"/>
                <w:kern w:val="0"/>
                <w:sz w:val="20"/>
                <w:szCs w:val="20"/>
                <w:lang w:bidi="ar"/>
              </w:rPr>
              <w:t>（40）</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得分</w:t>
            </w:r>
          </w:p>
        </w:tc>
        <w:tc>
          <w:tcPr>
            <w:tcW w:w="1873"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存在的问题和改进措施</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sz w:val="20"/>
                <w:szCs w:val="20"/>
              </w:rPr>
            </w:pPr>
            <w:r>
              <w:rPr>
                <w:rFonts w:hint="eastAsia" w:ascii="宋体" w:hAnsi="宋体" w:cs="宋体"/>
                <w:color w:val="auto"/>
                <w:kern w:val="0"/>
                <w:sz w:val="20"/>
                <w:szCs w:val="20"/>
                <w:lang w:bidi="ar"/>
              </w:rPr>
              <w:t>分配科学性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根据《北京市农业局、北京市财政局关于印发年动物疫病强制免疫“先打后补”工作实施方案（2022-2024年）的通知&gt;》（京政农发〔2021〕101 号）文件要求，，按照“先打后补”方法进行审核，根据奶牛存栏，生猪存、出栏、鸡出栏数量进行分配。</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ascii="宋体" w:hAnsi="宋体" w:cs="宋体"/>
                <w:color w:val="auto"/>
                <w:kern w:val="0"/>
                <w:sz w:val="20"/>
                <w:szCs w:val="20"/>
                <w:lang w:bidi="ar"/>
              </w:rPr>
            </w:pPr>
            <w:r>
              <w:rPr>
                <w:rFonts w:hint="eastAsia" w:ascii="宋体" w:hAnsi="宋体" w:cs="宋体"/>
                <w:color w:val="auto"/>
                <w:kern w:val="0"/>
                <w:sz w:val="20"/>
                <w:szCs w:val="20"/>
                <w:lang w:bidi="ar"/>
              </w:rPr>
              <w:t>下达及时性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根据《北京市农业局、北京市财政局关于印发年动物疫病强制免疫“先打后补”工作实施方案（2022-2024年）的通知&gt;》（京政农发〔2021〕101 号）文件要求，应在规定时限2023年内分解下达，实际2023年分解下达。</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拨付合规性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根据国库集中制度有关规定支付资金，未出现将资金从国库转入财政专户或支付到预算单位是有资金账户等问题。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使用规范性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下达预算的科目为动物疫病强制免疫先打后补，项目执行科目《北京市农业局、北京市财政局关于印发年动物疫病强制免疫“先打后补”工作实施方案（2022-2024年）的通知&gt;》（京政农发〔2021〕101 号），未出现截留、挤占、挪用或擅自调整等问题。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执行准确性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按照上级下达和本级预算安排的金额执行，不存在执行数偏离预算数较多的问题。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预算绩效管理情况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请阐述预算绩效管理情况，包括绩效监控和绩效评价开展情况</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支出责任履行情况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cs="宋体"/>
                <w:color w:val="auto"/>
                <w:sz w:val="20"/>
                <w:szCs w:val="20"/>
              </w:rPr>
            </w:pPr>
            <w:r>
              <w:rPr>
                <w:rFonts w:hint="eastAsia" w:ascii="宋体" w:hAnsi="宋体" w:cs="宋体"/>
                <w:color w:val="auto"/>
                <w:sz w:val="20"/>
                <w:szCs w:val="20"/>
              </w:rPr>
              <w:t>严格按照文件要求，统计存出栏数量，按文件要求对各养殖场进行资金拨付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政策目标实现情况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完成2022年度先打后补工作</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总体目标完成情况</w:t>
            </w: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总体目标</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全年实际完成情况</w:t>
            </w:r>
          </w:p>
        </w:tc>
      </w:tr>
      <w:tr>
        <w:tblPrEx>
          <w:tblCellMar>
            <w:top w:w="0" w:type="dxa"/>
            <w:left w:w="108" w:type="dxa"/>
            <w:bottom w:w="0" w:type="dxa"/>
            <w:right w:w="108" w:type="dxa"/>
          </w:tblCellMar>
        </w:tblPrEx>
        <w:trPr>
          <w:trHeight w:val="856"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动物疫病强制免疫“先打后补”的政策支持，构建重大动物疫病强制免疫新机制，进一步提高规模养殖场实施强制免疫的自主性、灵活性，强化其动物防疫主体责任，深入推动动物防疫工作有效开展，夯实养殖场的防疫主体责任，实现养殖场自主选择疫苗保障畜牧业健康发展和公共卫生安全，提高养殖场牲畜口蹄疫的免疫质量和效果，最大程度地保障畜体健康，稳定养殖结构，有效地推动畜牧业生产健康发展。</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为进一步强化畜禽养殖经营者的强制免疫主体责任，提高强制免疫质量和财政资金使用效益，提高养殖场实施强制免疫的自主性和灵活性，深入推进动物疫病防控工作开展，构建动物疫病防控工作新的运行机制，有效保障全区养殖业安全、动物产品质量安全、公共卫生安全和生态安全。根据《北京市农业局、北京市财政局关于印发年动物疫病强制免疫“先打后补”工作实施方案（2022-2024年）的通知&gt;》（京政农发〔2021〕101 号）文件要求，密云区已完成5家生猪养殖场，3家奶牛场和2家种鸡场动物疫病强制免疫“先打后补”工作，经组织相关部门对免疫记录、疫苗采购发票，免疫监测效果评价，生猪出栏、种猪存栏、奶牛存栏、种鸡出栏情况进行验收，全部合格，需要补助资金共计24.19872万元</w:t>
            </w:r>
          </w:p>
        </w:tc>
      </w:tr>
      <w:tr>
        <w:tblPrEx>
          <w:tblCellMar>
            <w:top w:w="0" w:type="dxa"/>
            <w:left w:w="108" w:type="dxa"/>
            <w:bottom w:w="0" w:type="dxa"/>
            <w:right w:w="108" w:type="dxa"/>
          </w:tblCellMar>
        </w:tblPrEx>
        <w:trPr>
          <w:trHeight w:val="3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绩效指标</w:t>
            </w: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二级指标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三级指标</w:t>
            </w:r>
          </w:p>
        </w:tc>
        <w:tc>
          <w:tcPr>
            <w:tcW w:w="94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指标值</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全年实际完成值</w:t>
            </w:r>
          </w:p>
        </w:tc>
        <w:tc>
          <w:tcPr>
            <w:tcW w:w="690"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分值（50）</w:t>
            </w:r>
          </w:p>
        </w:tc>
        <w:tc>
          <w:tcPr>
            <w:tcW w:w="810"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得分</w:t>
            </w:r>
          </w:p>
        </w:tc>
        <w:tc>
          <w:tcPr>
            <w:tcW w:w="1618"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未完成原因和改进措施</w:t>
            </w:r>
          </w:p>
        </w:tc>
      </w:tr>
      <w:tr>
        <w:tblPrEx>
          <w:tblCellMar>
            <w:top w:w="0" w:type="dxa"/>
            <w:left w:w="108" w:type="dxa"/>
            <w:bottom w:w="0" w:type="dxa"/>
            <w:right w:w="108" w:type="dxa"/>
          </w:tblCellMar>
        </w:tblPrEx>
        <w:trPr>
          <w:trHeight w:val="9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r>
              <w:rPr>
                <w:rFonts w:hint="eastAsia" w:ascii="宋体" w:hAnsi="宋体" w:cs="宋体"/>
                <w:color w:val="auto"/>
                <w:kern w:val="0"/>
                <w:sz w:val="20"/>
                <w:szCs w:val="20"/>
                <w:lang w:bidi="ar"/>
              </w:rPr>
              <w:t>（按照原来的绩效目标表填写</w:t>
            </w:r>
            <w:r>
              <w:rPr>
                <w:rStyle w:val="31"/>
                <w:color w:val="auto"/>
                <w:lang w:bidi="ar"/>
              </w:rPr>
              <w:t>）</w:t>
            </w:r>
          </w:p>
        </w:tc>
        <w:tc>
          <w:tcPr>
            <w:tcW w:w="94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r>
              <w:rPr>
                <w:rFonts w:hint="eastAsia" w:ascii="宋体" w:hAnsi="宋体" w:cs="宋体"/>
                <w:color w:val="auto"/>
                <w:kern w:val="0"/>
                <w:sz w:val="20"/>
                <w:szCs w:val="20"/>
                <w:lang w:bidi="ar"/>
              </w:rPr>
              <w:t>（对照绩效目标表，尽可能通过具体量化的指标和资料呈现核心绩效）</w:t>
            </w:r>
          </w:p>
        </w:tc>
        <w:tc>
          <w:tcPr>
            <w:tcW w:w="690" w:type="dxa"/>
            <w:gridSpan w:val="2"/>
            <w:vMerge w:val="continue"/>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宋体" w:cs="宋体"/>
                <w:color w:val="auto"/>
                <w:sz w:val="18"/>
                <w:szCs w:val="18"/>
                <w:lang w:eastAsia="zh-CN"/>
              </w:rPr>
            </w:pPr>
            <w:r>
              <w:rPr>
                <w:rFonts w:hint="eastAsia" w:ascii="宋体" w:hAnsi="宋体" w:cs="宋体"/>
                <w:color w:val="auto"/>
                <w:kern w:val="0"/>
                <w:sz w:val="18"/>
                <w:szCs w:val="18"/>
                <w:lang w:val="en-US" w:eastAsia="zh-CN" w:bidi="ar"/>
              </w:rPr>
              <w:t>10个养殖场先打后补</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10个</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color w:val="auto"/>
                <w:sz w:val="18"/>
                <w:szCs w:val="18"/>
                <w:lang w:eastAsia="zh-CN"/>
              </w:rPr>
            </w:pPr>
            <w:r>
              <w:rPr>
                <w:rFonts w:hint="eastAsia" w:ascii="宋体" w:hAnsi="宋体" w:cs="宋体"/>
                <w:color w:val="auto"/>
                <w:kern w:val="0"/>
                <w:sz w:val="18"/>
                <w:szCs w:val="18"/>
                <w:lang w:val="en-US" w:eastAsia="zh-CN" w:bidi="ar"/>
              </w:rPr>
              <w:t>10个养殖场先打后补</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通过“先打后补工作”，各养殖场的口蹄疫，禽流感免疫密度达到90%</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免疫密度90%</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通过“先打后补工作”，各养殖场的口蹄疫，禽流感免疫密度达到90%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免疫抗体合格率</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宋体" w:cs="宋体"/>
                <w:color w:val="auto"/>
                <w:sz w:val="18"/>
                <w:szCs w:val="18"/>
                <w:lang w:eastAsia="zh-CN"/>
              </w:rPr>
            </w:pPr>
            <w:r>
              <w:rPr>
                <w:rFonts w:hint="eastAsia" w:ascii="宋体" w:hAnsi="宋体" w:eastAsia="宋体" w:cs="宋体"/>
                <w:i w:val="0"/>
                <w:color w:val="auto"/>
                <w:sz w:val="20"/>
                <w:szCs w:val="20"/>
                <w:highlight w:val="yellow"/>
                <w:u w:val="none"/>
              </w:rPr>
              <w:t>≥70%</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eastAsia="宋体" w:cs="宋体"/>
                <w:color w:val="auto"/>
                <w:sz w:val="18"/>
                <w:szCs w:val="18"/>
                <w:lang w:eastAsia="zh-CN"/>
              </w:rPr>
            </w:pPr>
            <w:r>
              <w:rPr>
                <w:rFonts w:hint="eastAsia" w:ascii="宋体" w:hAnsi="宋体" w:eastAsia="宋体" w:cs="宋体"/>
                <w:i w:val="0"/>
                <w:color w:val="auto"/>
                <w:sz w:val="20"/>
                <w:szCs w:val="20"/>
                <w:highlight w:val="yellow"/>
                <w:u w:val="none"/>
              </w:rPr>
              <w:t>≥70%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时效指标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r>
              <w:rPr>
                <w:rFonts w:hint="eastAsia" w:ascii="宋体" w:hAnsi="宋体" w:cs="宋体"/>
                <w:color w:val="auto"/>
                <w:sz w:val="18"/>
                <w:szCs w:val="18"/>
                <w:highlight w:val="yellow"/>
              </w:rPr>
              <w:t>2021年10月至2022年7月</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宋体"/>
                <w:color w:val="auto"/>
                <w:sz w:val="18"/>
                <w:szCs w:val="18"/>
                <w:highlight w:val="yellow"/>
              </w:rPr>
            </w:pPr>
            <w:r>
              <w:rPr>
                <w:rFonts w:hint="eastAsia" w:ascii="宋体" w:hAnsi="宋体" w:cs="宋体"/>
                <w:color w:val="auto"/>
                <w:sz w:val="18"/>
                <w:szCs w:val="18"/>
                <w:highlight w:val="yellow"/>
              </w:rPr>
              <w:t>项目开展</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highlight w:val="yellow"/>
              </w:rPr>
            </w:pPr>
            <w:r>
              <w:rPr>
                <w:rFonts w:hint="eastAsia" w:ascii="宋体" w:hAnsi="宋体" w:cs="宋体"/>
                <w:color w:val="auto"/>
                <w:sz w:val="18"/>
                <w:szCs w:val="18"/>
                <w:highlight w:val="yellow"/>
              </w:rPr>
              <w:t>2021年10月至2022年7月项目开展</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r>
              <w:rPr>
                <w:rFonts w:hint="eastAsia" w:ascii="宋体" w:hAnsi="宋体" w:cs="宋体"/>
                <w:color w:val="auto"/>
                <w:sz w:val="18"/>
                <w:szCs w:val="18"/>
                <w:highlight w:val="yellow"/>
              </w:rPr>
              <w:t>2022年8月至2023年6月</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r>
              <w:rPr>
                <w:rFonts w:hint="eastAsia" w:ascii="宋体" w:hAnsi="宋体" w:cs="宋体"/>
                <w:color w:val="auto"/>
                <w:sz w:val="18"/>
                <w:szCs w:val="18"/>
                <w:highlight w:val="yellow"/>
              </w:rPr>
              <w:t>资金拨付</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highlight w:val="yellow"/>
              </w:rPr>
            </w:pPr>
            <w:r>
              <w:rPr>
                <w:rFonts w:hint="eastAsia" w:ascii="宋体" w:hAnsi="宋体" w:cs="宋体"/>
                <w:color w:val="auto"/>
                <w:sz w:val="18"/>
                <w:szCs w:val="18"/>
                <w:highlight w:val="yellow"/>
              </w:rPr>
              <w:t>2022年8月至2023年6月资金拨付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成本指标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符合市级规定标准要求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lang w:eastAsia="zh-CN"/>
              </w:rPr>
              <w:t>符合市级规定标准要求</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r>
              <w:rPr>
                <w:rFonts w:hint="eastAsia" w:ascii="宋体" w:hAnsi="宋体" w:cs="宋体"/>
                <w:color w:val="auto"/>
                <w:sz w:val="20"/>
                <w:szCs w:val="20"/>
                <w:lang w:eastAsia="zh-CN"/>
              </w:rPr>
              <w:t>符合市级规定标准要求</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效</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益</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经济效益指标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通过“先打后补”的实施，使动物减少了3%的死亡率</w:t>
            </w:r>
            <w:r>
              <w:rPr>
                <w:rFonts w:hint="eastAsia" w:ascii="宋体" w:hAnsi="宋体" w:cs="宋体"/>
                <w:color w:val="auto"/>
                <w:sz w:val="18"/>
                <w:szCs w:val="18"/>
                <w:lang w:eastAsia="zh-CN"/>
              </w:rPr>
              <w:t>。</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因口蹄疫的发生，可致使奶牛发生乳房炎产奶下降，甚至造成偶蹄动物3%的死亡。因禽流感的发生，可造成禽类大面积死亡通过“先打后补”的实施，使动物减少了3%-6%的死亡率</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因口蹄疫的发生，可致使奶牛发生乳房炎产奶下降，甚至造成偶蹄动物3%的死亡。因禽流感的发生，可造成禽类大面积死亡通过“先打后补”的实施，使动物减少了3%-6%的死亡率</w:t>
            </w:r>
            <w:r>
              <w:rPr>
                <w:rFonts w:hint="eastAsia" w:ascii="宋体" w:hAnsi="宋体" w:cs="宋体"/>
                <w:color w:val="auto"/>
                <w:sz w:val="18"/>
                <w:szCs w:val="18"/>
                <w:lang w:eastAsia="zh-CN"/>
              </w:rPr>
              <w:t>。</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社会效益指标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color w:val="auto"/>
                <w:sz w:val="18"/>
                <w:szCs w:val="18"/>
                <w:lang w:eastAsia="zh-CN"/>
              </w:rPr>
            </w:pPr>
            <w:r>
              <w:rPr>
                <w:rFonts w:hint="eastAsia" w:ascii="宋体" w:hAnsi="宋体" w:eastAsia="宋体" w:cs="宋体"/>
                <w:i w:val="0"/>
                <w:color w:val="auto"/>
                <w:sz w:val="20"/>
                <w:szCs w:val="20"/>
                <w:highlight w:val="yellow"/>
                <w:u w:val="none"/>
                <w:lang w:eastAsia="zh-CN"/>
              </w:rPr>
              <w:t>养殖环节重大动物疫病有效控制</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cs="宋体"/>
                <w:color w:val="auto"/>
                <w:sz w:val="18"/>
                <w:szCs w:val="18"/>
              </w:rPr>
            </w:pPr>
            <w:r>
              <w:rPr>
                <w:rFonts w:hint="eastAsia" w:ascii="宋体" w:hAnsi="宋体" w:eastAsia="宋体" w:cs="宋体"/>
                <w:i w:val="0"/>
                <w:color w:val="auto"/>
                <w:sz w:val="20"/>
                <w:szCs w:val="20"/>
                <w:highlight w:val="yellow"/>
                <w:u w:val="none"/>
                <w:lang w:eastAsia="zh-CN"/>
              </w:rPr>
              <w:t>有关动物疫情控制平稳</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cs="宋体"/>
                <w:color w:val="auto"/>
                <w:sz w:val="18"/>
                <w:szCs w:val="18"/>
              </w:rPr>
            </w:pPr>
            <w:r>
              <w:rPr>
                <w:rFonts w:hint="eastAsia" w:ascii="宋体" w:hAnsi="宋体" w:eastAsia="宋体" w:cs="宋体"/>
                <w:i w:val="0"/>
                <w:color w:val="auto"/>
                <w:sz w:val="20"/>
                <w:szCs w:val="20"/>
                <w:highlight w:val="yellow"/>
                <w:u w:val="none"/>
                <w:lang w:eastAsia="zh-CN"/>
              </w:rPr>
              <w:t>养殖环节重大动物疫病有效控制</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cs="宋体"/>
                <w:color w:val="auto"/>
                <w:sz w:val="18"/>
                <w:szCs w:val="18"/>
              </w:rPr>
            </w:pPr>
            <w:r>
              <w:rPr>
                <w:rFonts w:hint="eastAsia" w:ascii="宋体" w:hAnsi="宋体" w:eastAsia="宋体" w:cs="宋体"/>
                <w:i w:val="0"/>
                <w:color w:val="auto"/>
                <w:sz w:val="20"/>
                <w:szCs w:val="20"/>
                <w:highlight w:val="yellow"/>
                <w:u w:val="none"/>
                <w:lang w:eastAsia="zh-CN"/>
              </w:rPr>
              <w:t>高致病性禽流感、口蹄疫控制情况</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left"/>
              <w:rPr>
                <w:rFonts w:hint="eastAsia" w:ascii="宋体" w:hAnsi="宋体" w:cs="宋体"/>
                <w:color w:val="auto"/>
                <w:sz w:val="18"/>
                <w:szCs w:val="18"/>
              </w:rPr>
            </w:pPr>
            <w:r>
              <w:rPr>
                <w:rFonts w:hint="eastAsia" w:ascii="宋体" w:hAnsi="宋体" w:eastAsia="宋体" w:cs="宋体"/>
                <w:i w:val="0"/>
                <w:color w:val="auto"/>
                <w:sz w:val="20"/>
                <w:szCs w:val="20"/>
                <w:highlight w:val="yellow"/>
                <w:u w:val="none"/>
                <w:lang w:eastAsia="zh-CN"/>
              </w:rPr>
              <w:t>不发生区域性疫情</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left"/>
              <w:rPr>
                <w:rFonts w:hint="eastAsia" w:ascii="宋体" w:hAnsi="宋体" w:eastAsia="宋体" w:cs="宋体"/>
                <w:color w:val="auto"/>
                <w:sz w:val="18"/>
                <w:szCs w:val="18"/>
                <w:lang w:eastAsia="zh-CN"/>
              </w:rPr>
            </w:pPr>
            <w:r>
              <w:rPr>
                <w:rFonts w:hint="eastAsia" w:ascii="宋体" w:hAnsi="宋体" w:cs="宋体"/>
                <w:color w:val="auto"/>
                <w:sz w:val="18"/>
                <w:szCs w:val="18"/>
                <w:lang w:eastAsia="zh-CN"/>
              </w:rPr>
              <w:t>未发生区域性疫情</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可持续影响指标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有效预防重大动物疫病的发生,维护公共卫生安全具有深远意义</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进一步保障畜产品质量安全,推进畜牧业向标准化、规模化、科学化方向发展,有效预防重大动物疫病的发生,维护公共卫生安全具有深远意义。</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进一步保障畜产品质量安全,推进畜牧业向标准化、规模化、科学化方向发展,有效预防重大动物疫病的发生,维护公共卫生安全具有深远意义。</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满意度指标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服务对象满意度指标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养殖场通过“先打后补”，严格按程序免疫，获得补贴，满意度90%</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满意度</w:t>
            </w:r>
            <w:r>
              <w:rPr>
                <w:rFonts w:hint="eastAsia" w:ascii="宋体" w:hAnsi="宋体" w:cs="宋体"/>
                <w:color w:val="auto"/>
                <w:sz w:val="18"/>
                <w:szCs w:val="18"/>
                <w:lang w:val="en-US" w:eastAsia="zh-CN"/>
              </w:rPr>
              <w:t>8</w:t>
            </w:r>
            <w:r>
              <w:rPr>
                <w:rFonts w:hint="eastAsia" w:ascii="宋体" w:hAnsi="宋体" w:cs="宋体"/>
                <w:color w:val="auto"/>
                <w:sz w:val="18"/>
                <w:szCs w:val="18"/>
              </w:rPr>
              <w:t>0%</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养殖场通过“先打后补”，严格按程序免疫，获得补贴，满意度90%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40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62" w:hRule="atLeast"/>
          <w:jc w:val="center"/>
        </w:trPr>
        <w:tc>
          <w:tcPr>
            <w:tcW w:w="7162"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总分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宋体" w:hAnsi="宋体" w:cs="宋体"/>
                <w:color w:val="auto"/>
                <w:kern w:val="0"/>
                <w:sz w:val="20"/>
                <w:szCs w:val="20"/>
                <w:highlight w:val="yellow"/>
                <w:lang w:bidi="ar"/>
              </w:rPr>
            </w:pPr>
            <w:r>
              <w:rPr>
                <w:rFonts w:hint="eastAsia" w:ascii="宋体" w:hAnsi="宋体" w:cs="宋体"/>
                <w:color w:val="auto"/>
                <w:kern w:val="0"/>
                <w:sz w:val="20"/>
                <w:szCs w:val="20"/>
                <w:highlight w:val="yellow"/>
                <w:lang w:bidi="ar"/>
              </w:rPr>
              <w:t>100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highlight w:val="yellow"/>
                <w:lang w:bidi="ar"/>
              </w:rPr>
            </w:pPr>
            <w:r>
              <w:rPr>
                <w:rFonts w:hint="eastAsia" w:ascii="宋体" w:hAnsi="宋体" w:cs="宋体"/>
                <w:color w:val="auto"/>
                <w:kern w:val="0"/>
                <w:sz w:val="20"/>
                <w:szCs w:val="20"/>
                <w:highlight w:val="yellow"/>
                <w:lang w:bidi="ar"/>
              </w:rPr>
              <w:t>100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567" w:hRule="atLeast"/>
          <w:jc w:val="center"/>
        </w:trPr>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说明</w:t>
            </w:r>
          </w:p>
        </w:tc>
        <w:tc>
          <w:tcPr>
            <w:tcW w:w="77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请在此处简要说明巡视、审计和财会监督中发现的问题及其所涉及的金额，如没有请填无</w:t>
            </w:r>
            <w:r>
              <w:rPr>
                <w:rStyle w:val="31"/>
                <w:color w:val="auto"/>
                <w:lang w:bidi="ar"/>
              </w:rPr>
              <w:t>。</w:t>
            </w:r>
          </w:p>
        </w:tc>
      </w:tr>
    </w:tbl>
    <w:p>
      <w:pPr>
        <w:pStyle w:val="28"/>
        <w:keepNext/>
        <w:keepLines/>
        <w:adjustRightInd w:val="0"/>
        <w:snapToGrid w:val="0"/>
        <w:spacing w:after="0" w:line="540" w:lineRule="exact"/>
        <w:jc w:val="both"/>
        <w:rPr>
          <w:rFonts w:ascii="方正小标宋简体" w:eastAsia="方正小标宋简体"/>
          <w:color w:val="auto"/>
          <w:sz w:val="32"/>
          <w:szCs w:val="32"/>
        </w:rPr>
      </w:pPr>
      <w:r>
        <w:rPr>
          <w:rFonts w:hint="eastAsia" w:ascii="方正小标宋简体" w:hAnsi="Times New Roman" w:eastAsia="方正小标宋简体" w:cs="Times New Roman"/>
          <w:color w:val="auto"/>
          <w:sz w:val="32"/>
          <w:szCs w:val="32"/>
          <w:lang w:val="en-US" w:eastAsia="zh-CN"/>
        </w:rPr>
        <w:t>B:</w:t>
      </w:r>
      <w:r>
        <w:rPr>
          <w:rFonts w:hint="eastAsia" w:ascii="方正小标宋简体" w:hAnsi="Times New Roman" w:eastAsia="方正小标宋简体" w:cs="Times New Roman"/>
          <w:color w:val="auto"/>
          <w:sz w:val="32"/>
          <w:szCs w:val="32"/>
        </w:rPr>
        <w:t>区农业农村局202</w:t>
      </w:r>
      <w:r>
        <w:rPr>
          <w:rFonts w:hint="eastAsia" w:ascii="方正小标宋简体" w:hAnsi="Times New Roman" w:eastAsia="方正小标宋简体" w:cs="Times New Roman"/>
          <w:color w:val="auto"/>
          <w:sz w:val="32"/>
          <w:szCs w:val="32"/>
          <w:lang w:val="en-US" w:eastAsia="zh-CN"/>
        </w:rPr>
        <w:t>3</w:t>
      </w:r>
      <w:r>
        <w:rPr>
          <w:rFonts w:hint="eastAsia" w:ascii="方正小标宋简体" w:hAnsi="Times New Roman" w:eastAsia="方正小标宋简体" w:cs="Times New Roman"/>
          <w:color w:val="auto"/>
          <w:sz w:val="32"/>
          <w:szCs w:val="32"/>
        </w:rPr>
        <w:t>年生猪产业优化提升项目建设资金</w:t>
      </w:r>
      <w:r>
        <w:rPr>
          <w:rFonts w:hint="eastAsia" w:ascii="方正小标宋简体" w:eastAsia="方正小标宋简体"/>
          <w:color w:val="auto"/>
          <w:sz w:val="32"/>
          <w:szCs w:val="32"/>
        </w:rPr>
        <w:t>专项转移支付</w:t>
      </w:r>
    </w:p>
    <w:p>
      <w:pPr>
        <w:pStyle w:val="30"/>
        <w:tabs>
          <w:tab w:val="left" w:pos="2187"/>
        </w:tabs>
        <w:adjustRightInd w:val="0"/>
        <w:snapToGrid w:val="0"/>
        <w:spacing w:line="540" w:lineRule="exact"/>
        <w:ind w:left="0" w:firstLine="643" w:firstLineChars="200"/>
        <w:jc w:val="both"/>
        <w:rPr>
          <w:rFonts w:ascii="仿宋_GB2312" w:eastAsia="仿宋_GB2312"/>
          <w:b/>
          <w:color w:val="auto"/>
        </w:rPr>
      </w:pPr>
      <w:r>
        <w:rPr>
          <w:rFonts w:hint="eastAsia" w:ascii="仿宋_GB2312" w:eastAsia="仿宋_GB2312"/>
          <w:b/>
          <w:color w:val="auto"/>
          <w:lang w:eastAsia="zh-CN"/>
        </w:rPr>
        <w:t>一、</w:t>
      </w:r>
      <w:r>
        <w:rPr>
          <w:rFonts w:hint="eastAsia" w:ascii="仿宋_GB2312" w:eastAsia="仿宋_GB2312"/>
          <w:b/>
          <w:color w:val="auto"/>
        </w:rPr>
        <w:t>绩效目标分解下达情况</w:t>
      </w:r>
    </w:p>
    <w:p>
      <w:pPr>
        <w:pStyle w:val="29"/>
        <w:adjustRightInd w:val="0"/>
        <w:snapToGrid w:val="0"/>
        <w:spacing w:line="540" w:lineRule="exact"/>
        <w:ind w:left="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en-US"/>
        </w:rPr>
        <w:t>为缓解新建生猪规模养殖场资金压力，推动生猪生产健康稳定运行，北京市农业农村局下达了生猪产业优化提升项目建设资金专项转移支付786万元，用于穆家峪镇北京穆家峪精育种猪有限公司、大城子镇北京隆盛养殖场、北京华利鑫龙益达养殖场落新改扩建生猪养殖场生产验收资金拨付。</w:t>
      </w:r>
    </w:p>
    <w:p>
      <w:pPr>
        <w:pStyle w:val="30"/>
        <w:tabs>
          <w:tab w:val="left" w:pos="2187"/>
        </w:tabs>
        <w:adjustRightInd w:val="0"/>
        <w:snapToGrid w:val="0"/>
        <w:spacing w:line="540" w:lineRule="exact"/>
        <w:ind w:left="0" w:firstLine="643" w:firstLineChars="200"/>
        <w:jc w:val="both"/>
        <w:rPr>
          <w:rFonts w:ascii="仿宋_GB2312" w:eastAsia="仿宋_GB2312"/>
          <w:b/>
          <w:color w:val="auto"/>
        </w:rPr>
      </w:pPr>
      <w:r>
        <w:rPr>
          <w:rFonts w:hint="eastAsia" w:ascii="仿宋_GB2312" w:eastAsia="仿宋_GB2312"/>
          <w:b/>
          <w:color w:val="auto"/>
          <w:lang w:eastAsia="zh-CN"/>
        </w:rPr>
        <w:t>二、</w:t>
      </w:r>
      <w:r>
        <w:rPr>
          <w:rFonts w:hint="eastAsia" w:ascii="仿宋_GB2312" w:eastAsia="仿宋_GB2312"/>
          <w:b/>
          <w:color w:val="auto"/>
        </w:rPr>
        <w:t>绩效目标过程管理情况</w:t>
      </w:r>
    </w:p>
    <w:p>
      <w:pPr>
        <w:snapToGrid w:val="0"/>
        <w:spacing w:line="54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根据北京市农业农村局 北京市财政局《关于印发北京市生猪产业优化提升发展项目实施意见的通知》（京政农发〔2020〕36号）和中共北京市密云区委农村工作领导小组办公室《关于印发北京市密云区优化生猪产业工作实施方案的通知》（</w:t>
      </w:r>
      <w:r>
        <w:rPr>
          <w:rFonts w:hint="eastAsia" w:ascii="仿宋_GB2312" w:hAnsi="仿宋_GB2312" w:eastAsia="仿宋_GB2312" w:cs="仿宋_GB2312"/>
          <w:bCs/>
          <w:color w:val="auto"/>
          <w:sz w:val="32"/>
          <w:szCs w:val="32"/>
          <w:lang w:eastAsia="zh-CN"/>
        </w:rPr>
        <w:t>密农组办发〔2019〕5号</w:t>
      </w:r>
      <w:r>
        <w:rPr>
          <w:rFonts w:hint="eastAsia" w:ascii="仿宋_GB2312" w:hAnsi="仿宋_GB2312" w:eastAsia="仿宋_GB2312" w:cs="仿宋_GB2312"/>
          <w:color w:val="auto"/>
          <w:sz w:val="32"/>
          <w:szCs w:val="32"/>
          <w:lang w:eastAsia="zh-CN"/>
        </w:rPr>
        <w:t>）文件精神，密云区成立了由主管区长任组长，各相关单位主管领导为成员的优化生猪产业布局工作组，全力推进项目建设实施。</w:t>
      </w:r>
    </w:p>
    <w:tbl>
      <w:tblPr>
        <w:tblStyle w:val="16"/>
        <w:tblW w:w="7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827"/>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exact"/>
          <w:jc w:val="center"/>
        </w:trPr>
        <w:tc>
          <w:tcPr>
            <w:tcW w:w="1697" w:type="dxa"/>
            <w:noWrap w:val="0"/>
            <w:vAlign w:val="center"/>
          </w:tcPr>
          <w:p>
            <w:pPr>
              <w:spacing w:line="240" w:lineRule="exact"/>
              <w:jc w:val="center"/>
              <w:rPr>
                <w:rFonts w:ascii="仿宋_GB2312" w:eastAsia="仿宋_GB2312"/>
                <w:color w:val="auto"/>
              </w:rPr>
            </w:pPr>
            <w:r>
              <w:rPr>
                <w:rFonts w:hint="eastAsia" w:ascii="仿宋_GB2312" w:eastAsia="仿宋_GB2312"/>
                <w:color w:val="auto"/>
              </w:rPr>
              <w:t>第一阶段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成立专班，组织项目申报，审批，落实项目建设地点，准备施工建设。</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2020年1月-3月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exact"/>
          <w:jc w:val="center"/>
        </w:trPr>
        <w:tc>
          <w:tcPr>
            <w:tcW w:w="1697" w:type="dxa"/>
            <w:noWrap w:val="0"/>
            <w:vAlign w:val="center"/>
          </w:tcPr>
          <w:p>
            <w:pPr>
              <w:spacing w:line="240" w:lineRule="exact"/>
              <w:jc w:val="center"/>
              <w:rPr>
                <w:rFonts w:ascii="仿宋_GB2312" w:eastAsia="仿宋_GB2312"/>
                <w:color w:val="auto"/>
              </w:rPr>
            </w:pPr>
            <w:r>
              <w:rPr>
                <w:rFonts w:hint="eastAsia" w:ascii="仿宋_GB2312" w:eastAsia="仿宋_GB2312"/>
                <w:color w:val="auto"/>
              </w:rPr>
              <w:t>第二阶段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组织3个实施新改扩建设项目单位，进行施工建设，开展督导检查，做好协调服务，及时协助解决施工过程中遇到的问题，确保按时建成投产。</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2020年3月至2021年6月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ascii="仿宋_GB2312" w:eastAsia="仿宋_GB2312"/>
                <w:color w:val="auto"/>
              </w:rPr>
            </w:pPr>
            <w:r>
              <w:rPr>
                <w:rFonts w:hint="eastAsia" w:ascii="仿宋_GB2312" w:eastAsia="仿宋_GB2312"/>
                <w:color w:val="auto"/>
              </w:rPr>
              <w:t>第三阶段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对完成新改扩建的项目单位开展生物安全验收和养殖生产技术验收；组织生态环境局、水务局、园林绿化局、属地政府等部门进行建设竣工验收，做好财政结算评审准备工作。</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2021年6月至2021年9月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ascii="仿宋_GB2312" w:eastAsia="仿宋_GB2312"/>
                <w:color w:val="auto"/>
                <w:lang w:eastAsia="zh-CN"/>
              </w:rPr>
            </w:pPr>
            <w:r>
              <w:rPr>
                <w:rFonts w:hint="eastAsia" w:ascii="仿宋_GB2312" w:eastAsia="仿宋_GB2312"/>
                <w:color w:val="auto"/>
                <w:lang w:eastAsia="zh-CN"/>
              </w:rPr>
              <w:t>第四阶段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完成穆家峪镇北京穆家峪精育种猪有限公司、大城子镇北京隆盛养殖场财政评审，准备生产验收北京华利鑫龙益达养殖场竣工验收，报财政局结算评审</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2021年10月至2022年7月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ascii="仿宋_GB2312" w:eastAsia="仿宋_GB2312"/>
                <w:color w:val="auto"/>
                <w:lang w:eastAsia="zh-CN"/>
              </w:rPr>
            </w:pPr>
            <w:r>
              <w:rPr>
                <w:rFonts w:hint="eastAsia" w:ascii="仿宋_GB2312" w:eastAsia="仿宋_GB2312"/>
                <w:color w:val="auto"/>
                <w:lang w:eastAsia="zh-CN"/>
              </w:rPr>
              <w:t>第五阶段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完成北京华利鑫龙益达养殖场结算评审，准备生产验收</w:t>
            </w:r>
          </w:p>
        </w:tc>
        <w:tc>
          <w:tcPr>
            <w:tcW w:w="2367" w:type="dxa"/>
            <w:noWrap w:val="0"/>
            <w:vAlign w:val="center"/>
          </w:tcPr>
          <w:p>
            <w:pPr>
              <w:spacing w:line="240" w:lineRule="exact"/>
              <w:jc w:val="both"/>
              <w:rPr>
                <w:rFonts w:ascii="仿宋_GB2312" w:eastAsia="仿宋_GB2312"/>
                <w:color w:val="auto"/>
                <w:highlight w:val="yellow"/>
                <w:lang w:eastAsia="zh-CN"/>
              </w:rPr>
            </w:pPr>
            <w:r>
              <w:rPr>
                <w:rFonts w:hint="eastAsia" w:ascii="仿宋_GB2312" w:eastAsia="仿宋_GB2312"/>
                <w:color w:val="auto"/>
                <w:highlight w:val="yellow"/>
                <w:lang w:eastAsia="zh-CN"/>
              </w:rPr>
              <w:t>2022年8月至2022年12月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hint="eastAsia" w:ascii="仿宋_GB2312" w:eastAsia="仿宋_GB2312"/>
                <w:color w:val="auto"/>
                <w:lang w:eastAsia="zh-CN"/>
              </w:rPr>
            </w:pPr>
            <w:r>
              <w:rPr>
                <w:rFonts w:hint="eastAsia" w:ascii="仿宋_GB2312" w:eastAsia="仿宋_GB2312"/>
                <w:color w:val="auto"/>
                <w:lang w:eastAsia="zh-CN"/>
              </w:rPr>
              <w:t>第六阶段</w:t>
            </w:r>
          </w:p>
        </w:tc>
        <w:tc>
          <w:tcPr>
            <w:tcW w:w="3827" w:type="dxa"/>
            <w:noWrap w:val="0"/>
            <w:vAlign w:val="center"/>
          </w:tcPr>
          <w:p>
            <w:pPr>
              <w:spacing w:line="240" w:lineRule="exact"/>
              <w:jc w:val="both"/>
              <w:rPr>
                <w:rFonts w:hint="eastAsia" w:ascii="仿宋_GB2312" w:eastAsia="仿宋_GB2312"/>
                <w:color w:val="auto"/>
                <w:lang w:eastAsia="zh-CN"/>
              </w:rPr>
            </w:pPr>
            <w:r>
              <w:rPr>
                <w:rFonts w:hint="eastAsia" w:ascii="仿宋_GB2312" w:eastAsia="仿宋_GB2312"/>
                <w:color w:val="auto"/>
                <w:lang w:eastAsia="zh-CN"/>
              </w:rPr>
              <w:t>完成北京华丽鑫龙益达养殖场，北京隆盛养殖场，北京穆家峪精育种猪有限公司生产验收任务</w:t>
            </w:r>
          </w:p>
        </w:tc>
        <w:tc>
          <w:tcPr>
            <w:tcW w:w="2367" w:type="dxa"/>
            <w:noWrap w:val="0"/>
            <w:vAlign w:val="center"/>
          </w:tcPr>
          <w:p>
            <w:pPr>
              <w:spacing w:line="240" w:lineRule="exact"/>
              <w:jc w:val="both"/>
              <w:rPr>
                <w:rFonts w:hint="eastAsia" w:ascii="仿宋_GB2312" w:eastAsia="仿宋_GB2312"/>
                <w:color w:val="auto"/>
                <w:highlight w:val="yellow"/>
                <w:lang w:val="en-US" w:eastAsia="zh-CN"/>
              </w:rPr>
            </w:pPr>
            <w:r>
              <w:rPr>
                <w:rFonts w:hint="eastAsia" w:ascii="仿宋_GB2312" w:eastAsia="仿宋_GB2312"/>
                <w:color w:val="auto"/>
                <w:highlight w:val="yellow"/>
                <w:lang w:val="en-US" w:eastAsia="zh-CN"/>
              </w:rPr>
              <w:t>2022年9月1日至2024年2月29日</w:t>
            </w:r>
          </w:p>
        </w:tc>
      </w:tr>
    </w:tbl>
    <w:p>
      <w:pPr>
        <w:pStyle w:val="30"/>
        <w:tabs>
          <w:tab w:val="left" w:pos="2187"/>
        </w:tabs>
        <w:adjustRightInd w:val="0"/>
        <w:snapToGrid w:val="0"/>
        <w:spacing w:line="540" w:lineRule="exact"/>
        <w:ind w:left="0" w:firstLine="643" w:firstLineChars="200"/>
        <w:jc w:val="both"/>
        <w:rPr>
          <w:rFonts w:ascii="仿宋_GB2312" w:eastAsia="仿宋_GB2312"/>
          <w:b/>
          <w:color w:val="auto"/>
          <w:lang w:eastAsia="zh-CN"/>
        </w:rPr>
      </w:pPr>
    </w:p>
    <w:p>
      <w:pPr>
        <w:pStyle w:val="30"/>
        <w:tabs>
          <w:tab w:val="left" w:pos="2187"/>
        </w:tabs>
        <w:adjustRightInd w:val="0"/>
        <w:snapToGrid w:val="0"/>
        <w:spacing w:line="540" w:lineRule="exact"/>
        <w:ind w:left="0" w:firstLine="643" w:firstLineChars="200"/>
        <w:jc w:val="both"/>
        <w:rPr>
          <w:rFonts w:ascii="仿宋_GB2312" w:eastAsia="仿宋_GB2312"/>
          <w:b/>
          <w:color w:val="auto"/>
        </w:rPr>
      </w:pPr>
      <w:r>
        <w:rPr>
          <w:rFonts w:hint="eastAsia" w:ascii="仿宋_GB2312" w:eastAsia="仿宋_GB2312"/>
          <w:b/>
          <w:color w:val="auto"/>
          <w:lang w:eastAsia="zh-CN"/>
        </w:rPr>
        <w:t>三、</w:t>
      </w:r>
      <w:r>
        <w:rPr>
          <w:rFonts w:hint="eastAsia" w:ascii="仿宋_GB2312" w:eastAsia="仿宋_GB2312"/>
          <w:b/>
          <w:color w:val="auto"/>
        </w:rPr>
        <w:t>绩效目标完成情况分析</w:t>
      </w:r>
    </w:p>
    <w:p>
      <w:pPr>
        <w:pStyle w:val="29"/>
        <w:adjustRightInd w:val="0"/>
        <w:snapToGrid w:val="0"/>
        <w:spacing w:line="540" w:lineRule="exact"/>
        <w:ind w:left="0" w:firstLine="643" w:firstLineChars="200"/>
        <w:jc w:val="both"/>
        <w:rPr>
          <w:rFonts w:ascii="仿宋_GB2312" w:eastAsia="仿宋_GB2312"/>
          <w:b/>
          <w:color w:val="auto"/>
          <w:sz w:val="32"/>
          <w:szCs w:val="32"/>
        </w:rPr>
      </w:pPr>
      <w:r>
        <w:rPr>
          <w:rFonts w:hint="eastAsia" w:ascii="仿宋_GB2312" w:eastAsia="仿宋_GB2312"/>
          <w:b/>
          <w:color w:val="auto"/>
          <w:sz w:val="32"/>
          <w:szCs w:val="32"/>
          <w:lang w:eastAsia="zh-CN"/>
        </w:rPr>
        <w:t>（一）</w:t>
      </w:r>
      <w:r>
        <w:rPr>
          <w:rFonts w:hint="eastAsia" w:ascii="仿宋_GB2312" w:eastAsia="仿宋_GB2312"/>
          <w:b/>
          <w:color w:val="auto"/>
          <w:sz w:val="32"/>
          <w:szCs w:val="32"/>
        </w:rPr>
        <w:t>资金投入情况分析</w:t>
      </w:r>
    </w:p>
    <w:p>
      <w:pPr>
        <w:pStyle w:val="29"/>
        <w:adjustRightInd w:val="0"/>
        <w:snapToGrid w:val="0"/>
        <w:spacing w:line="540" w:lineRule="exact"/>
        <w:ind w:left="0" w:firstLineChars="200"/>
        <w:jc w:val="both"/>
        <w:rPr>
          <w:rFonts w:hint="eastAsia" w:ascii="仿宋_GB2312" w:hAnsi="仿宋_GB2312" w:eastAsia="仿宋_GB2312" w:cs="仿宋_GB2312"/>
          <w:color w:val="auto"/>
          <w:kern w:val="0"/>
          <w:sz w:val="32"/>
          <w:szCs w:val="32"/>
          <w:lang w:val="en-US" w:eastAsia="zh-CN" w:bidi="en-US"/>
        </w:rPr>
      </w:pPr>
      <w:r>
        <w:rPr>
          <w:rFonts w:hint="eastAsia" w:ascii="仿宋_GB2312" w:hAnsi="仿宋_GB2312" w:eastAsia="仿宋_GB2312" w:cs="仿宋_GB2312"/>
          <w:color w:val="auto"/>
          <w:kern w:val="0"/>
          <w:sz w:val="32"/>
          <w:szCs w:val="32"/>
          <w:lang w:val="en-US" w:eastAsia="zh-CN" w:bidi="en-US"/>
        </w:rPr>
        <w:t>依据北京市农业农村局 北京市财政局《关于印发北京市生猪产业优化提升发展项目实施意见的通知》（京政农发〔2020〕36号），北京华利鑫龙益达养殖场</w:t>
      </w:r>
      <w:r>
        <w:rPr>
          <w:rFonts w:hint="eastAsia" w:ascii="仿宋" w:hAnsi="仿宋" w:eastAsia="仿宋" w:cs="仿宋"/>
          <w:color w:val="auto"/>
          <w:sz w:val="32"/>
          <w:szCs w:val="32"/>
          <w:lang w:val="en-US" w:eastAsia="zh-CN"/>
        </w:rPr>
        <w:t>设计存栏为2个补贴单元（存栏基础母猪1000头），补贴资金为2000万元。北京隆盛养殖场和北京穆家峪精育种猪有限公司设计存栏均为1个补贴单元，补贴资金为1000万元。三个场补贴资金4000万元。市局分三批拨付资金1308万元，1906万元，786万元，共计4000万元。目前</w:t>
      </w:r>
      <w:r>
        <w:rPr>
          <w:rFonts w:hint="eastAsia" w:ascii="仿宋_GB2312" w:hAnsi="仿宋_GB2312" w:eastAsia="仿宋_GB2312" w:cs="仿宋_GB2312"/>
          <w:color w:val="auto"/>
          <w:kern w:val="0"/>
          <w:sz w:val="32"/>
          <w:szCs w:val="32"/>
          <w:lang w:val="en-US" w:eastAsia="zh-CN" w:bidi="en-US"/>
        </w:rPr>
        <w:t>北京华利鑫龙益达养殖场已完成竣工和生产验收，已拨付资金2000万元，北京隆盛养殖场也全部完成竣工和生产验收，拨付补贴资金1000万元。北京穆家峪精育种猪有限公司完成竣工验收和17%的生产验收资金，完成拨付770万元资金拨付。</w:t>
      </w:r>
    </w:p>
    <w:p>
      <w:pPr>
        <w:pStyle w:val="29"/>
        <w:adjustRightInd w:val="0"/>
        <w:snapToGrid w:val="0"/>
        <w:spacing w:line="540" w:lineRule="exact"/>
        <w:ind w:left="0" w:firstLineChars="200"/>
        <w:jc w:val="both"/>
        <w:rPr>
          <w:rFonts w:ascii="仿宋_GB2312" w:hAnsi="仿宋_GB2312" w:eastAsia="仿宋_GB2312" w:cs="仿宋_GB2312"/>
          <w:color w:val="auto"/>
          <w:kern w:val="0"/>
          <w:sz w:val="32"/>
          <w:szCs w:val="32"/>
          <w:lang w:val="en-US" w:eastAsia="zh-CN" w:bidi="en-US"/>
        </w:rPr>
      </w:pPr>
      <w:r>
        <w:rPr>
          <w:rFonts w:hint="eastAsia" w:ascii="仿宋_GB2312" w:hAnsi="仿宋_GB2312" w:eastAsia="仿宋_GB2312" w:cs="仿宋_GB2312"/>
          <w:color w:val="auto"/>
          <w:kern w:val="0"/>
          <w:sz w:val="32"/>
          <w:szCs w:val="32"/>
          <w:lang w:val="en-US" w:eastAsia="zh-CN" w:bidi="en-US"/>
        </w:rPr>
        <w:t>2023年市农业农村局拨付786万资金中已拨付北京华利鑫龙益达养殖场生产验收资金462万，北京隆盛养殖场生产验收资金185万，</w:t>
      </w:r>
      <w:r>
        <w:rPr>
          <w:rFonts w:hint="eastAsia" w:ascii="仿宋" w:hAnsi="仿宋" w:eastAsia="仿宋" w:cs="仿宋"/>
          <w:color w:val="auto"/>
          <w:sz w:val="32"/>
          <w:szCs w:val="32"/>
          <w:highlight w:val="yellow"/>
          <w:lang w:val="en-US" w:eastAsia="zh-CN"/>
        </w:rPr>
        <w:t>剩余资金生产验收资金139万元为北京穆家峪精育种猪有限公司生产验收资金，根据生猪出栏数据，拨付2024年拨付该资金。</w:t>
      </w:r>
    </w:p>
    <w:p>
      <w:pPr>
        <w:pStyle w:val="29"/>
        <w:tabs>
          <w:tab w:val="left" w:pos="2520"/>
        </w:tabs>
        <w:adjustRightInd w:val="0"/>
        <w:snapToGrid w:val="0"/>
        <w:spacing w:line="540" w:lineRule="exact"/>
        <w:ind w:left="0" w:firstLine="643" w:firstLineChars="200"/>
        <w:jc w:val="both"/>
        <w:rPr>
          <w:rFonts w:ascii="仿宋_GB2312" w:eastAsia="仿宋_GB2312"/>
          <w:b/>
          <w:color w:val="auto"/>
          <w:sz w:val="32"/>
          <w:szCs w:val="32"/>
        </w:rPr>
      </w:pPr>
      <w:r>
        <w:rPr>
          <w:rFonts w:hint="eastAsia" w:ascii="仿宋_GB2312" w:eastAsia="仿宋_GB2312"/>
          <w:b/>
          <w:color w:val="auto"/>
          <w:sz w:val="32"/>
          <w:szCs w:val="32"/>
          <w:lang w:eastAsia="zh-CN"/>
        </w:rPr>
        <w:t>（二）</w:t>
      </w:r>
      <w:r>
        <w:rPr>
          <w:rFonts w:hint="eastAsia" w:ascii="仿宋_GB2312" w:eastAsia="仿宋_GB2312"/>
          <w:b/>
          <w:color w:val="auto"/>
          <w:sz w:val="32"/>
          <w:szCs w:val="32"/>
        </w:rPr>
        <w:t>总体绩效目标完成情况分析</w:t>
      </w:r>
    </w:p>
    <w:p>
      <w:pPr>
        <w:snapToGrid w:val="0"/>
        <w:spacing w:line="56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总目标：通过对生猪规模养殖场实施新、改、扩建项目建设，有效的促进了生猪产业设施设备提档升级，实现养殖粪污减量化、无害化、资源化、生态化，构建种养生态循环链，形成生态养殖与有机种植业一体化发展的生猪产业模式。提高了从业人员素质，构建生物安全屏障体系，消除隐患、减少风险，对防控非洲猪瘟等重大动物疫病，稳定生猪产业健康发展，保障猪肉市场基本供应，发挥重要作用。</w:t>
      </w:r>
    </w:p>
    <w:p>
      <w:pPr>
        <w:pStyle w:val="6"/>
        <w:spacing w:line="560" w:lineRule="exact"/>
        <w:ind w:left="0" w:firstLine="640" w:firstLineChars="200"/>
        <w:rPr>
          <w:color w:val="auto"/>
          <w:lang w:val="en-US" w:eastAsia="zh-CN"/>
        </w:rPr>
      </w:pPr>
      <w:r>
        <w:rPr>
          <w:rFonts w:hint="eastAsia"/>
          <w:color w:val="auto"/>
          <w:lang w:val="en-US" w:eastAsia="zh-CN"/>
        </w:rPr>
        <w:t>年度目标：加快落实北京穆家峪精育种猪有限公司生产验收。完成市级下达给密云区生猪存栏3.5万头生产任务。</w:t>
      </w:r>
    </w:p>
    <w:p>
      <w:pPr>
        <w:pStyle w:val="29"/>
        <w:tabs>
          <w:tab w:val="left" w:pos="2520"/>
        </w:tabs>
        <w:adjustRightInd w:val="0"/>
        <w:snapToGrid w:val="0"/>
        <w:spacing w:line="540" w:lineRule="exact"/>
        <w:ind w:left="0" w:firstLine="643" w:firstLineChars="200"/>
        <w:jc w:val="both"/>
        <w:rPr>
          <w:rFonts w:ascii="仿宋_GB2312" w:eastAsia="仿宋_GB2312"/>
          <w:b/>
          <w:color w:val="auto"/>
          <w:sz w:val="32"/>
          <w:szCs w:val="32"/>
          <w:lang w:eastAsia="zh-CN"/>
        </w:rPr>
      </w:pPr>
      <w:r>
        <w:rPr>
          <w:rFonts w:hint="eastAsia" w:ascii="仿宋_GB2312" w:eastAsia="仿宋_GB2312"/>
          <w:b/>
          <w:color w:val="auto"/>
          <w:sz w:val="32"/>
          <w:szCs w:val="32"/>
          <w:lang w:eastAsia="zh-CN"/>
        </w:rPr>
        <w:t>（三）</w:t>
      </w:r>
      <w:r>
        <w:rPr>
          <w:rFonts w:hint="eastAsia" w:ascii="仿宋_GB2312" w:eastAsia="仿宋_GB2312"/>
          <w:b/>
          <w:color w:val="auto"/>
          <w:sz w:val="32"/>
          <w:szCs w:val="32"/>
        </w:rPr>
        <w:t>绩效指标完成情况分析</w:t>
      </w:r>
    </w:p>
    <w:p>
      <w:pPr>
        <w:pStyle w:val="29"/>
        <w:tabs>
          <w:tab w:val="left" w:pos="2520"/>
        </w:tabs>
        <w:adjustRightInd w:val="0"/>
        <w:snapToGrid w:val="0"/>
        <w:spacing w:line="540" w:lineRule="exact"/>
        <w:ind w:left="0" w:firstLine="600" w:firstLineChars="200"/>
        <w:jc w:val="both"/>
        <w:rPr>
          <w:rFonts w:ascii="仿宋_GB2312" w:eastAsia="仿宋_GB2312"/>
          <w:color w:val="auto"/>
          <w:sz w:val="30"/>
          <w:szCs w:val="30"/>
          <w:lang w:val="en-US" w:eastAsia="zh-CN"/>
        </w:rPr>
      </w:pPr>
      <w:r>
        <w:rPr>
          <w:rFonts w:hint="eastAsia" w:ascii="仿宋_GB2312" w:eastAsia="仿宋_GB2312"/>
          <w:color w:val="auto"/>
          <w:sz w:val="30"/>
          <w:szCs w:val="30"/>
        </w:rPr>
        <w:t>对3个生猪规模生猪养殖场实施新改扩建项目建设</w:t>
      </w:r>
      <w:r>
        <w:rPr>
          <w:rFonts w:hint="eastAsia" w:ascii="仿宋_GB2312" w:eastAsia="仿宋_GB2312"/>
          <w:color w:val="auto"/>
          <w:sz w:val="30"/>
          <w:szCs w:val="30"/>
          <w:lang w:eastAsia="zh-CN"/>
        </w:rPr>
        <w:t>，全部建成投产将实现生猪存栏30000头，出栏40000头的目标。稳定生猪生产，保障猪肉市场供应，防止出现猪肉价格出现大的波动。促进生猪产业提档升级，实现养殖粪污减量化、无害化、资源化、生态化，构建种养生态循环链，形成生态养殖与有机种植业一体化发展的生猪产业模式构建生物安全屏障体系，消除隐患、减少风险，严防重大动物疫病发生。通过新改扩建项目的实施，有效提高生猪产能，改善养殖环境，提升生猪生物安全防控水平，保障安全健康的生猪供应，</w:t>
      </w:r>
      <w:r>
        <w:rPr>
          <w:rFonts w:hint="eastAsia" w:ascii="仿宋_GB2312" w:eastAsia="仿宋_GB2312"/>
          <w:color w:val="auto"/>
          <w:sz w:val="30"/>
          <w:szCs w:val="30"/>
          <w:lang w:val="en-US" w:eastAsia="zh-CN"/>
        </w:rPr>
        <w:t>构建生物安全保障，达到种养结合循环发展生态养殖模式，促进全区规模化、标准化健康养殖。可持续影响力显著增强。通过良好的协调服务，3个新改扩建项目实施单位对区农业农村局的服务满意度为100%。</w:t>
      </w:r>
    </w:p>
    <w:tbl>
      <w:tblPr>
        <w:tblStyle w:val="16"/>
        <w:tblW w:w="0" w:type="auto"/>
        <w:jc w:val="center"/>
        <w:tblLayout w:type="fixed"/>
        <w:tblCellMar>
          <w:top w:w="0" w:type="dxa"/>
          <w:left w:w="108" w:type="dxa"/>
          <w:bottom w:w="0" w:type="dxa"/>
          <w:right w:w="108" w:type="dxa"/>
        </w:tblCellMar>
      </w:tblPr>
      <w:tblGrid>
        <w:gridCol w:w="686"/>
        <w:gridCol w:w="341"/>
        <w:gridCol w:w="411"/>
        <w:gridCol w:w="1050"/>
        <w:gridCol w:w="489"/>
        <w:gridCol w:w="810"/>
        <w:gridCol w:w="585"/>
        <w:gridCol w:w="135"/>
        <w:gridCol w:w="396"/>
        <w:gridCol w:w="309"/>
        <w:gridCol w:w="105"/>
        <w:gridCol w:w="615"/>
        <w:gridCol w:w="900"/>
        <w:gridCol w:w="330"/>
        <w:gridCol w:w="360"/>
        <w:gridCol w:w="330"/>
        <w:gridCol w:w="555"/>
        <w:gridCol w:w="255"/>
        <w:gridCol w:w="390"/>
        <w:gridCol w:w="1228"/>
      </w:tblGrid>
      <w:tr>
        <w:tblPrEx>
          <w:tblCellMar>
            <w:top w:w="0" w:type="dxa"/>
            <w:left w:w="108" w:type="dxa"/>
            <w:bottom w:w="0" w:type="dxa"/>
            <w:right w:w="108" w:type="dxa"/>
          </w:tblCellMar>
        </w:tblPrEx>
        <w:trPr>
          <w:trHeight w:val="327" w:hRule="atLeast"/>
          <w:jc w:val="center"/>
        </w:trPr>
        <w:tc>
          <w:tcPr>
            <w:tcW w:w="297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转移支付（项目）名称</w:t>
            </w:r>
          </w:p>
        </w:tc>
        <w:tc>
          <w:tcPr>
            <w:tcW w:w="7303"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2023年生猪产业优化提升项目</w:t>
            </w:r>
          </w:p>
        </w:tc>
      </w:tr>
      <w:tr>
        <w:tblPrEx>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市级主管部门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北京市农业农村局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转移支付类别</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引导类</w:t>
            </w:r>
          </w:p>
        </w:tc>
      </w:tr>
      <w:tr>
        <w:tblPrEx>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r>
              <w:rPr>
                <w:rFonts w:hint="eastAsia" w:ascii="宋体" w:hAnsi="宋体" w:cs="宋体"/>
                <w:color w:val="auto"/>
                <w:sz w:val="20"/>
                <w:szCs w:val="20"/>
              </w:rPr>
              <w:t>密云区农业农村局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资金使用单位</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密云区农业农村局畜牧渔业科</w:t>
            </w:r>
          </w:p>
        </w:tc>
      </w:tr>
      <w:tr>
        <w:tblPrEx>
          <w:tblCellMar>
            <w:top w:w="0" w:type="dxa"/>
            <w:left w:w="108" w:type="dxa"/>
            <w:bottom w:w="0" w:type="dxa"/>
            <w:right w:w="108" w:type="dxa"/>
          </w:tblCellMar>
        </w:tblPrEx>
        <w:trPr>
          <w:trHeight w:val="1017" w:hRule="atLeast"/>
          <w:jc w:val="center"/>
        </w:trPr>
        <w:tc>
          <w:tcPr>
            <w:tcW w:w="1027"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资金投入情况</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（万元，小数点保留2位）</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年初预算数（A）</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预算调整数（B）</w:t>
            </w: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调整后预算数（C）</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全年执行数（D）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预算调整</w:t>
            </w:r>
            <w:r>
              <w:rPr>
                <w:rStyle w:val="31"/>
                <w:color w:val="auto"/>
                <w:lang w:bidi="ar"/>
              </w:rPr>
              <w:t>率（</w:t>
            </w:r>
            <w:r>
              <w:rPr>
                <w:rStyle w:val="31"/>
                <w:color w:val="auto"/>
                <w:spacing w:val="-11"/>
                <w:lang w:bidi="ar"/>
              </w:rPr>
              <w:t>B/A</w:t>
            </w:r>
            <w:r>
              <w:rPr>
                <w:rStyle w:val="31"/>
                <w:rFonts w:hint="eastAsia"/>
                <w:color w:val="auto"/>
                <w:spacing w:val="-11"/>
                <w:lang w:bidi="ar"/>
              </w:rPr>
              <w:t>×100%）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color w:val="auto"/>
                <w:sz w:val="20"/>
                <w:szCs w:val="20"/>
              </w:rPr>
            </w:pPr>
            <w:r>
              <w:rPr>
                <w:rFonts w:hint="eastAsia"/>
                <w:color w:val="auto"/>
                <w:sz w:val="20"/>
                <w:szCs w:val="20"/>
              </w:rPr>
              <w:t>分值</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预算执行率</w:t>
            </w:r>
            <w:r>
              <w:rPr>
                <w:rFonts w:hint="eastAsia" w:ascii="宋体" w:hAnsi="宋体" w:cs="宋体"/>
                <w:color w:val="auto"/>
                <w:spacing w:val="-11"/>
                <w:kern w:val="0"/>
                <w:sz w:val="20"/>
                <w:szCs w:val="20"/>
                <w:lang w:bidi="ar"/>
              </w:rPr>
              <w:t>（D</w:t>
            </w:r>
            <w:r>
              <w:rPr>
                <w:rStyle w:val="31"/>
                <w:color w:val="auto"/>
                <w:spacing w:val="-11"/>
                <w:lang w:bidi="ar"/>
              </w:rPr>
              <w:t>/C</w:t>
            </w:r>
            <w:r>
              <w:rPr>
                <w:rStyle w:val="31"/>
                <w:rFonts w:hint="eastAsia"/>
                <w:color w:val="auto"/>
                <w:spacing w:val="-11"/>
                <w:lang w:bidi="ar"/>
              </w:rPr>
              <w:t>×100%）</w:t>
            </w:r>
          </w:p>
        </w:tc>
        <w:tc>
          <w:tcPr>
            <w:tcW w:w="645"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得分</w:t>
            </w:r>
          </w:p>
        </w:tc>
        <w:tc>
          <w:tcPr>
            <w:tcW w:w="1228"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预算调整</w:t>
            </w:r>
            <w:r>
              <w:rPr>
                <w:rStyle w:val="31"/>
                <w:color w:val="auto"/>
                <w:lang w:bidi="ar"/>
              </w:rPr>
              <w:t>、结余等原因分析及改进措施</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年度资金总额：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647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10</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100%</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10</w:t>
            </w:r>
          </w:p>
        </w:tc>
        <w:tc>
          <w:tcPr>
            <w:tcW w:w="122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剩余</w:t>
            </w:r>
            <w:r>
              <w:rPr>
                <w:rFonts w:hint="eastAsia" w:ascii="宋体" w:hAnsi="宋体" w:cs="宋体"/>
                <w:color w:val="auto"/>
                <w:sz w:val="20"/>
                <w:szCs w:val="20"/>
                <w:lang w:val="en-US" w:eastAsia="zh-CN"/>
              </w:rPr>
              <w:t xml:space="preserve">139   </w:t>
            </w:r>
            <w:r>
              <w:rPr>
                <w:rFonts w:hint="eastAsia" w:ascii="宋体" w:hAnsi="宋体" w:cs="宋体"/>
                <w:color w:val="auto"/>
                <w:sz w:val="20"/>
                <w:szCs w:val="20"/>
              </w:rPr>
              <w:t>万用于2024年度北京穆家峪精育种猪有限公司生产验收</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其中：市级财政资金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647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区级资金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中央资金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1027" w:type="dxa"/>
            <w:gridSpan w:val="2"/>
            <w:vMerge w:val="restart"/>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资金管理情况</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情况说明</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hint="eastAsia"/>
                <w:color w:val="auto"/>
                <w:sz w:val="20"/>
                <w:szCs w:val="20"/>
              </w:rPr>
            </w:pPr>
            <w:r>
              <w:rPr>
                <w:rFonts w:hint="eastAsia"/>
                <w:color w:val="auto"/>
                <w:sz w:val="20"/>
                <w:szCs w:val="20"/>
              </w:rPr>
              <w:t>分值</w:t>
            </w:r>
          </w:p>
          <w:p>
            <w:pPr>
              <w:spacing w:line="560" w:lineRule="exact"/>
              <w:jc w:val="center"/>
              <w:rPr>
                <w:rFonts w:hint="eastAsia" w:ascii="宋体" w:hAnsi="宋体" w:cs="宋体"/>
                <w:color w:val="auto"/>
                <w:sz w:val="20"/>
                <w:szCs w:val="20"/>
              </w:rPr>
            </w:pPr>
            <w:r>
              <w:rPr>
                <w:rFonts w:hint="eastAsia" w:ascii="宋体" w:hAnsi="宋体" w:cs="宋体"/>
                <w:color w:val="auto"/>
                <w:spacing w:val="-11"/>
                <w:kern w:val="0"/>
                <w:sz w:val="20"/>
                <w:szCs w:val="20"/>
                <w:lang w:bidi="ar"/>
              </w:rPr>
              <w:t>（40）</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得分</w:t>
            </w:r>
          </w:p>
        </w:tc>
        <w:tc>
          <w:tcPr>
            <w:tcW w:w="1873"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存在的问题和改进措施</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sz w:val="20"/>
                <w:szCs w:val="20"/>
              </w:rPr>
            </w:pPr>
            <w:r>
              <w:rPr>
                <w:rFonts w:hint="eastAsia" w:ascii="宋体" w:hAnsi="宋体" w:cs="宋体"/>
                <w:color w:val="auto"/>
                <w:kern w:val="0"/>
                <w:sz w:val="20"/>
                <w:szCs w:val="20"/>
                <w:lang w:bidi="ar"/>
              </w:rPr>
              <w:t>分配科学性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严格按照北京市《北京市生猪产业优化提升发展项目实施意见》要求,按照生猪出栏数量，进行生产验收</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ascii="宋体" w:hAnsi="宋体" w:cs="宋体"/>
                <w:color w:val="auto"/>
                <w:kern w:val="0"/>
                <w:sz w:val="20"/>
                <w:szCs w:val="20"/>
                <w:lang w:bidi="ar"/>
              </w:rPr>
            </w:pPr>
            <w:r>
              <w:rPr>
                <w:rFonts w:hint="eastAsia" w:ascii="宋体" w:hAnsi="宋体" w:cs="宋体"/>
                <w:color w:val="auto"/>
                <w:kern w:val="0"/>
                <w:sz w:val="20"/>
                <w:szCs w:val="20"/>
                <w:lang w:bidi="ar"/>
              </w:rPr>
              <w:t>下达及时性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养殖场生产指标完成后，及时拨付生产验收资金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拨付合规性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根据国库集中制度有关规定支付资金，未出现将资金从国库转入财政专户或支付到预算单位是有资金账户等问题。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使用规范性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按照《北京市生猪产业优化提升发展项目实施意见》，统计出栏数据，按要求将生产验收资金拨付养殖场。未出现截留、挤占、挪用或擅自调整等问题。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执行准确性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根据《北京市生猪产业优化提升发展项目实施意见》，根据严格出栏数据，拨付生产验收资金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预算绩效管理情况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宋体"/>
                <w:color w:val="auto"/>
                <w:sz w:val="18"/>
                <w:szCs w:val="18"/>
              </w:rPr>
            </w:pPr>
            <w:r>
              <w:rPr>
                <w:rFonts w:hint="eastAsia" w:ascii="宋体" w:hAnsi="宋体" w:cs="宋体"/>
                <w:color w:val="auto"/>
                <w:sz w:val="18"/>
                <w:szCs w:val="18"/>
              </w:rPr>
              <w:t>严格按照预算管理要求，执行生产验收资金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支出责任履行情况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18"/>
                <w:szCs w:val="18"/>
              </w:rPr>
              <w:t>按照《北京市生猪产业优化提升发展项目实施意见》，按要求完成生产验收支出。</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政策目标实现情况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rPr>
            </w:pPr>
            <w:r>
              <w:rPr>
                <w:rFonts w:hint="eastAsia" w:ascii="宋体" w:hAnsi="宋体" w:cs="宋体"/>
                <w:color w:val="auto"/>
                <w:sz w:val="20"/>
                <w:szCs w:val="20"/>
              </w:rPr>
              <w:t>根据</w:t>
            </w:r>
            <w:r>
              <w:rPr>
                <w:rFonts w:hint="eastAsia" w:ascii="宋体" w:hAnsi="宋体" w:cs="宋体"/>
                <w:color w:val="auto"/>
                <w:sz w:val="18"/>
                <w:szCs w:val="18"/>
              </w:rPr>
              <w:t>《北京市生猪产业优化提升发展项目实施意见》</w:t>
            </w:r>
            <w:r>
              <w:rPr>
                <w:rFonts w:hint="eastAsia" w:ascii="宋体" w:hAnsi="宋体" w:cs="宋体"/>
                <w:color w:val="auto"/>
                <w:sz w:val="20"/>
                <w:szCs w:val="20"/>
              </w:rPr>
              <w:t>，完成生产验收指标</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总体目标完成情况</w:t>
            </w: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总体目标</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全年实际完成情况</w:t>
            </w:r>
          </w:p>
        </w:tc>
      </w:tr>
      <w:tr>
        <w:tblPrEx>
          <w:tblCellMar>
            <w:top w:w="0" w:type="dxa"/>
            <w:left w:w="108" w:type="dxa"/>
            <w:bottom w:w="0" w:type="dxa"/>
            <w:right w:w="108" w:type="dxa"/>
          </w:tblCellMar>
        </w:tblPrEx>
        <w:trPr>
          <w:trHeight w:val="856"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对生猪规模养殖场实施新、改、扩建项目建设，有效的促进了生猪产业设施设备提档升级，实现养殖粪污减量化、无害化、资源化、生态化，构建种养生态循环链，形成生态养殖与有机种植业一体化发展的生猪产业模式。</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已完成</w:t>
            </w:r>
          </w:p>
        </w:tc>
      </w:tr>
      <w:tr>
        <w:tblPrEx>
          <w:tblCellMar>
            <w:top w:w="0" w:type="dxa"/>
            <w:left w:w="108" w:type="dxa"/>
            <w:bottom w:w="0" w:type="dxa"/>
            <w:right w:w="108" w:type="dxa"/>
          </w:tblCellMar>
        </w:tblPrEx>
        <w:trPr>
          <w:trHeight w:val="3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绩效指标</w:t>
            </w: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二级指标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三级指标</w:t>
            </w:r>
          </w:p>
        </w:tc>
        <w:tc>
          <w:tcPr>
            <w:tcW w:w="94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指标值</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全年实际完成值</w:t>
            </w:r>
          </w:p>
        </w:tc>
        <w:tc>
          <w:tcPr>
            <w:tcW w:w="690"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分值（50分）</w:t>
            </w:r>
          </w:p>
        </w:tc>
        <w:tc>
          <w:tcPr>
            <w:tcW w:w="810"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得分</w:t>
            </w:r>
          </w:p>
        </w:tc>
        <w:tc>
          <w:tcPr>
            <w:tcW w:w="1618"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未完成原因和改进措施</w:t>
            </w:r>
          </w:p>
        </w:tc>
      </w:tr>
      <w:tr>
        <w:tblPrEx>
          <w:tblCellMar>
            <w:top w:w="0" w:type="dxa"/>
            <w:left w:w="108" w:type="dxa"/>
            <w:bottom w:w="0" w:type="dxa"/>
            <w:right w:w="108" w:type="dxa"/>
          </w:tblCellMar>
        </w:tblPrEx>
        <w:trPr>
          <w:trHeight w:val="9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94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690" w:type="dxa"/>
            <w:gridSpan w:val="2"/>
            <w:vMerge w:val="continue"/>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color w:val="auto"/>
                <w:sz w:val="18"/>
                <w:szCs w:val="18"/>
              </w:rPr>
            </w:pPr>
            <w:r>
              <w:rPr>
                <w:rFonts w:hint="eastAsia" w:ascii="宋体" w:hAnsi="宋体" w:cs="宋体"/>
                <w:color w:val="auto"/>
                <w:sz w:val="18"/>
                <w:szCs w:val="18"/>
              </w:rPr>
              <w:t>北京隆盛养殖场出栏生猪9000头，北京华利鑫龙益达养殖场18000头</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27000头</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北京隆盛养殖场出栏生猪9124头，北京华利鑫龙益达养殖场18000头</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按照《北京市生猪产业优化提升发展项目实施意见》要求，北京隆盛养殖完成生猪出栏9000头，北京华利鑫龙益达养殖场18000头，全额拨付生产验收资金。</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按照《北京市生猪产业优化提升发展项目实施意见》要求，北京隆盛养殖完成生猪出栏9124头，北京华利鑫龙益达养殖场18000头，全额拨付生产验收资金。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75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时效指标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r>
              <w:rPr>
                <w:rFonts w:hint="eastAsia" w:ascii="宋体" w:hAnsi="宋体" w:cs="宋体"/>
                <w:color w:val="auto"/>
                <w:sz w:val="18"/>
                <w:szCs w:val="18"/>
                <w:highlight w:val="yellow"/>
              </w:rPr>
              <w:t>2022年9月1日至2023年12月1日</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highlight w:val="yellow"/>
              </w:rPr>
            </w:pPr>
            <w:r>
              <w:rPr>
                <w:rFonts w:hint="eastAsia" w:ascii="仿宋_GB2312" w:hAnsi="仿宋_GB2312" w:eastAsia="仿宋_GB2312" w:cs="仿宋_GB2312"/>
                <w:color w:val="auto"/>
                <w:szCs w:val="21"/>
                <w:highlight w:val="yellow"/>
              </w:rPr>
              <w:t>2022年9月1日至2023年12月1日</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成本指标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786万</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786万</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556万</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1113"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效</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益</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经济效益指标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宋体"/>
                <w:color w:val="auto"/>
                <w:sz w:val="18"/>
                <w:szCs w:val="18"/>
              </w:rPr>
            </w:pPr>
            <w:r>
              <w:rPr>
                <w:rFonts w:hint="eastAsia" w:ascii="宋体" w:hAnsi="宋体" w:cs="宋体"/>
                <w:color w:val="auto"/>
                <w:sz w:val="18"/>
                <w:szCs w:val="18"/>
              </w:rPr>
              <w:t>通过生猪产业优化提升，养殖场增加生猪出栏，增收810万元</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增收800万元</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通过生猪产业优化提升，养殖场增加生猪出栏，增收810万元</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社会效益指标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通过生猪产业优化提升，增加生猪出栏，稳定提高社会供给量，满足人民食肉需求。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通过生猪产业优化提升，增加生猪出栏，稳定提高社会供给量，满足人民食肉需求。</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改善养殖设备，更加环保。</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改善养殖设备，更加环保。</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改善养殖设备，更加环保。</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可持续影响指标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改善生猪规模场环境，促进增加生猪出栏数量，提高动物产品产量。</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改善生猪规模场环境，促进增加生猪出栏数量，提高动物产品产量。</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满意度指标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服务对象满意度指标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通过生猪产业优化提升，提高养殖场设施设备，增加生猪出栏，满意度100%</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满意度100%</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通过生猪产业优化提升，提高养殖场设施设备，增加生猪出栏，满意度100%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40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62" w:hRule="atLeast"/>
          <w:jc w:val="center"/>
        </w:trPr>
        <w:tc>
          <w:tcPr>
            <w:tcW w:w="7162"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总分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highlight w:val="yellow"/>
                <w:lang w:bidi="ar"/>
              </w:rPr>
              <w:t>100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highlight w:val="yellow"/>
                <w:lang w:bidi="ar"/>
              </w:rPr>
              <w:t>100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567" w:hRule="atLeast"/>
          <w:jc w:val="center"/>
        </w:trPr>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说明</w:t>
            </w:r>
          </w:p>
        </w:tc>
        <w:tc>
          <w:tcPr>
            <w:tcW w:w="77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请在此处简要说明巡视、审计和财会监督中发现的问题及其所涉及的金额，如没有请填无</w:t>
            </w:r>
            <w:r>
              <w:rPr>
                <w:rStyle w:val="31"/>
                <w:color w:val="auto"/>
                <w:lang w:bidi="ar"/>
              </w:rPr>
              <w:t>。</w:t>
            </w:r>
          </w:p>
        </w:tc>
      </w:tr>
    </w:tbl>
    <w:p>
      <w:pPr>
        <w:pageBreakBefore w:val="0"/>
        <w:widowControl w:val="0"/>
        <w:kinsoku/>
        <w:overflowPunct/>
        <w:topLinePunct w:val="0"/>
        <w:autoSpaceDE/>
        <w:autoSpaceDN/>
        <w:bidi w:val="0"/>
        <w:spacing w:line="560" w:lineRule="exact"/>
        <w:ind w:firstLine="640" w:firstLineChars="200"/>
        <w:jc w:val="both"/>
        <w:textAlignment w:val="auto"/>
        <w:rPr>
          <w:rFonts w:hint="eastAsia" w:ascii="CESI黑体-GB2312" w:hAnsi="CESI黑体-GB2312" w:eastAsia="CESI黑体-GB2312" w:cs="CESI黑体-GB2312"/>
          <w:bCs/>
          <w:color w:val="auto"/>
          <w:kern w:val="0"/>
          <w:sz w:val="32"/>
          <w:szCs w:val="32"/>
        </w:rPr>
      </w:pPr>
      <w:r>
        <w:rPr>
          <w:rFonts w:hint="eastAsia" w:ascii="CESI黑体-GB2312" w:hAnsi="CESI黑体-GB2312" w:eastAsia="CESI黑体-GB2312" w:cs="CESI黑体-GB2312"/>
          <w:bCs/>
          <w:color w:val="auto"/>
          <w:kern w:val="0"/>
          <w:sz w:val="32"/>
          <w:szCs w:val="32"/>
          <w:u w:val="none"/>
          <w:lang w:val="en-US" w:eastAsia="zh-CN"/>
        </w:rPr>
        <w:t>C:2022</w:t>
      </w:r>
      <w:r>
        <w:rPr>
          <w:rFonts w:hint="eastAsia" w:ascii="CESI黑体-GB2312" w:hAnsi="CESI黑体-GB2312" w:eastAsia="CESI黑体-GB2312" w:cs="CESI黑体-GB2312"/>
          <w:bCs/>
          <w:color w:val="auto"/>
          <w:kern w:val="0"/>
          <w:sz w:val="32"/>
          <w:szCs w:val="32"/>
          <w:u w:val="none"/>
        </w:rPr>
        <w:t>年</w:t>
      </w:r>
      <w:r>
        <w:rPr>
          <w:rFonts w:hint="eastAsia" w:ascii="CESI黑体-GB2312" w:hAnsi="CESI黑体-GB2312" w:eastAsia="CESI黑体-GB2312" w:cs="CESI黑体-GB2312"/>
          <w:bCs/>
          <w:color w:val="auto"/>
          <w:kern w:val="0"/>
          <w:sz w:val="32"/>
          <w:szCs w:val="32"/>
          <w:lang w:val="en-US" w:eastAsia="zh-CN"/>
        </w:rPr>
        <w:t>扶持壮大村级集体经济</w:t>
      </w:r>
      <w:r>
        <w:rPr>
          <w:rFonts w:hint="eastAsia" w:ascii="CESI黑体-GB2312" w:hAnsi="CESI黑体-GB2312" w:eastAsia="CESI黑体-GB2312" w:cs="CESI黑体-GB2312"/>
          <w:bCs/>
          <w:color w:val="auto"/>
          <w:kern w:val="0"/>
          <w:sz w:val="32"/>
          <w:szCs w:val="32"/>
        </w:rPr>
        <w:t>项目</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rPr>
        <w:t>一、绩效目标分解下达情况</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仿宋_GB2312" w:hAnsi="宋体" w:eastAsia="仿宋_GB2312"/>
          <w:color w:val="auto"/>
          <w:sz w:val="32"/>
          <w:szCs w:val="32"/>
          <w:lang w:val="en-US" w:eastAsia="zh-CN"/>
        </w:rPr>
        <w:t>2023年，市级下达本区扶持壮大村级集体经济项目资金2000万</w:t>
      </w:r>
      <w:r>
        <w:rPr>
          <w:rFonts w:hint="eastAsia" w:ascii="仿宋_GB2312" w:hAnsi="宋体" w:eastAsia="仿宋_GB2312"/>
          <w:color w:val="auto"/>
          <w:sz w:val="32"/>
          <w:szCs w:val="32"/>
          <w:lang w:val="en" w:eastAsia="zh-CN"/>
        </w:rPr>
        <w:t>元，</w:t>
      </w:r>
      <w:r>
        <w:rPr>
          <w:rFonts w:hint="eastAsia" w:ascii="仿宋_GB2312" w:hAnsi="仿宋_GB2312" w:eastAsia="仿宋_GB2312" w:cs="仿宋_GB2312"/>
          <w:color w:val="auto"/>
          <w:kern w:val="2"/>
          <w:sz w:val="32"/>
          <w:szCs w:val="32"/>
          <w:lang w:val="en-US" w:eastAsia="zh-CN" w:bidi="ar-SA"/>
        </w:rPr>
        <w:t>主要用于扶持村集体发展壮大可持续增收的乡村产业。</w:t>
      </w:r>
      <w:r>
        <w:rPr>
          <w:rFonts w:hint="eastAsia" w:ascii="仿宋_GB2312" w:hAnsi="仿宋_GB2312" w:eastAsia="仿宋_GB2312" w:cs="仿宋_GB2312"/>
          <w:color w:val="auto"/>
          <w:sz w:val="32"/>
          <w:szCs w:val="32"/>
          <w:lang w:eastAsia="zh-CN"/>
        </w:rPr>
        <w:t>通过扶持，形成可持续发展的农村集体产业，确保扶持村年集体经营性收入持续达到</w:t>
      </w:r>
      <w:r>
        <w:rPr>
          <w:rFonts w:hint="eastAsia" w:ascii="仿宋_GB2312" w:hAnsi="仿宋_GB2312" w:eastAsia="仿宋_GB2312" w:cs="仿宋_GB2312"/>
          <w:color w:val="auto"/>
          <w:sz w:val="32"/>
          <w:szCs w:val="32"/>
          <w:lang w:val="en-US" w:eastAsia="zh-CN"/>
        </w:rPr>
        <w:t>10万元以上</w:t>
      </w:r>
      <w:r>
        <w:rPr>
          <w:rFonts w:hint="eastAsia" w:ascii="仿宋_GB2312" w:hAnsi="仿宋_GB2312" w:eastAsia="仿宋_GB2312" w:cs="仿宋_GB2312"/>
          <w:color w:val="auto"/>
          <w:sz w:val="32"/>
          <w:szCs w:val="32"/>
          <w:lang w:eastAsia="zh-CN"/>
        </w:rPr>
        <w:t>，进一步增强村级自我保障和服务群众能力，提升农村基层党组织的组织力。按照市级相关要求，区委农工委、区委组织部、区财政局、区农业农村局联合印发了《密云区2023年扶持壮大村级集体经济工作实施方案》，并要求各镇村按照方案内容执行并谋划上报产业项目，确保集体经济薄弱村年经营性收入达到</w:t>
      </w:r>
      <w:r>
        <w:rPr>
          <w:rFonts w:hint="eastAsia" w:ascii="仿宋_GB2312" w:hAnsi="仿宋_GB2312" w:eastAsia="仿宋_GB2312" w:cs="仿宋_GB2312"/>
          <w:color w:val="auto"/>
          <w:sz w:val="32"/>
          <w:szCs w:val="32"/>
          <w:lang w:val="en-US" w:eastAsia="zh-CN"/>
        </w:rPr>
        <w:t>10万元以上。</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lang w:eastAsia="zh-CN"/>
        </w:rPr>
        <w:t>二</w:t>
      </w:r>
      <w:r>
        <w:rPr>
          <w:rFonts w:hint="eastAsia" w:ascii="黑体" w:hAnsi="黑体" w:eastAsia="黑体" w:cs="仿宋_GB2312"/>
          <w:color w:val="auto"/>
          <w:sz w:val="32"/>
          <w:szCs w:val="32"/>
        </w:rPr>
        <w:t>、绩效目标完成情况分析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楷体_GB2312" w:hAnsi="楷体" w:eastAsia="楷体_GB2312" w:cs="仿宋_GB2312"/>
          <w:color w:val="auto"/>
          <w:sz w:val="32"/>
          <w:szCs w:val="32"/>
        </w:rPr>
        <w:t>（一）资金投入情况分析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仿宋_GB2312" w:hAnsi="宋体" w:eastAsia="仿宋_GB2312" w:cs="Times New Roman"/>
          <w:b w:val="0"/>
          <w:bCs w:val="0"/>
          <w:color w:val="auto"/>
          <w:sz w:val="32"/>
          <w:szCs w:val="32"/>
          <w:u w:val="none"/>
          <w:lang w:eastAsia="zh-CN"/>
        </w:rPr>
      </w:pPr>
      <w:r>
        <w:rPr>
          <w:rFonts w:hint="eastAsia" w:ascii="仿宋_GB2312" w:hAnsi="宋体" w:eastAsia="仿宋_GB2312" w:cs="Times New Roman"/>
          <w:b w:val="0"/>
          <w:bCs w:val="0"/>
          <w:color w:val="auto"/>
          <w:sz w:val="32"/>
          <w:szCs w:val="32"/>
          <w:u w:val="none"/>
          <w:lang w:val="en-US" w:eastAsia="zh-CN"/>
        </w:rPr>
        <w:t>2023年市级转移支付扶持壮大村级集体经济项目资金2000万元共安排11个薄弱村的8个项目</w:t>
      </w:r>
      <w:r>
        <w:rPr>
          <w:rFonts w:hint="eastAsia" w:ascii="仿宋_GB2312" w:hAnsi="宋体" w:eastAsia="仿宋_GB2312" w:cs="Times New Roman"/>
          <w:b w:val="0"/>
          <w:bCs w:val="0"/>
          <w:color w:val="auto"/>
          <w:sz w:val="32"/>
          <w:szCs w:val="32"/>
          <w:u w:val="none"/>
          <w:lang w:eastAsia="zh-CN"/>
        </w:rPr>
        <w:t>。</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楷体_GB2312" w:hAnsi="楷体" w:eastAsia="楷体_GB2312" w:cs="仿宋_GB2312"/>
          <w:color w:val="auto"/>
          <w:sz w:val="32"/>
          <w:szCs w:val="32"/>
          <w:lang w:eastAsia="zh-CN"/>
        </w:rPr>
      </w:pPr>
      <w:r>
        <w:rPr>
          <w:rFonts w:hint="eastAsia" w:ascii="楷体_GB2312" w:hAnsi="楷体" w:eastAsia="楷体_GB2312" w:cs="仿宋_GB2312"/>
          <w:color w:val="auto"/>
          <w:sz w:val="32"/>
          <w:szCs w:val="32"/>
          <w:lang w:eastAsia="zh-CN"/>
        </w:rPr>
        <w:t>（二）资金管理情况分析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2023年，市级转移支付2000万元安排的8个项目中，已拨付实施的3个项目，涉及资金861.45万元；已完成评审待实施的2个项目，涉及资金368.39万元；正在进行资金评审待拨付实施的3个项目，涉及资金770.16万元。</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楷体_GB2312" w:hAnsi="楷体" w:eastAsia="楷体_GB2312" w:cs="仿宋_GB2312"/>
          <w:color w:val="auto"/>
          <w:sz w:val="32"/>
          <w:szCs w:val="32"/>
        </w:rPr>
        <w:t>（</w:t>
      </w:r>
      <w:r>
        <w:rPr>
          <w:rFonts w:hint="eastAsia" w:ascii="楷体_GB2312" w:hAnsi="楷体" w:eastAsia="楷体_GB2312" w:cs="仿宋_GB2312"/>
          <w:color w:val="auto"/>
          <w:sz w:val="32"/>
          <w:szCs w:val="32"/>
          <w:lang w:eastAsia="zh-CN"/>
        </w:rPr>
        <w:t>三</w:t>
      </w:r>
      <w:r>
        <w:rPr>
          <w:rFonts w:hint="eastAsia" w:ascii="楷体_GB2312" w:hAnsi="楷体" w:eastAsia="楷体_GB2312" w:cs="仿宋_GB2312"/>
          <w:color w:val="auto"/>
          <w:sz w:val="32"/>
          <w:szCs w:val="32"/>
        </w:rPr>
        <w:t>）总体绩效目标完成情况分析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1.2023年，全区331个村集体经济组织（包括列入市级台账管理的197个集体经济薄弱村）经营性收入全部超过10万元</w:t>
      </w:r>
      <w:r>
        <w:rPr>
          <w:rFonts w:hint="eastAsia" w:ascii="仿宋_GB2312" w:hAnsi="宋体"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w:t>
      </w:r>
      <w:r>
        <w:rPr>
          <w:rFonts w:hint="eastAsia" w:ascii="仿宋_GB2312" w:hAnsi="宋体" w:eastAsia="仿宋_GB2312"/>
          <w:color w:val="auto"/>
          <w:sz w:val="32"/>
          <w:szCs w:val="32"/>
          <w:lang w:eastAsia="zh-CN"/>
        </w:rPr>
        <w:t>按照市级、区级相关要求，市级扶持壮大村级集体经济资金的使用按照项目制执行，由各薄弱村经村级民主决策程序及公示后报镇政府会议审议，审议同意后上报项目请示及方案，区农业农村局对项目进行初审并组织区级部门联审（涉及固定资产投资的项目由区发改委组织项目入库），联审通过的项目进行项目可行性设计并形成项目可行性报告，由区财政局组织项目可行性专家论证，论证通过的项目报区政府审批，审批同意后由区财政局组织资金评审，并按审定金额报区政府同意后进行资金拨付，由各相关镇政府组织项目实施，并由区财政局监理公司全程监理，项目实施完成后镇政府进行项目预验收，并组织区级部门进行项目验收。</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楷体_GB2312" w:hAnsi="楷体" w:eastAsia="楷体_GB2312" w:cs="仿宋_GB2312"/>
          <w:color w:val="auto"/>
          <w:sz w:val="32"/>
          <w:szCs w:val="32"/>
        </w:rPr>
        <w:t>（</w:t>
      </w:r>
      <w:r>
        <w:rPr>
          <w:rFonts w:hint="eastAsia" w:ascii="楷体_GB2312" w:hAnsi="楷体" w:eastAsia="楷体_GB2312" w:cs="仿宋_GB2312"/>
          <w:color w:val="auto"/>
          <w:sz w:val="32"/>
          <w:szCs w:val="32"/>
          <w:lang w:eastAsia="zh-CN"/>
        </w:rPr>
        <w:t>四</w:t>
      </w:r>
      <w:r>
        <w:rPr>
          <w:rFonts w:hint="eastAsia" w:ascii="楷体_GB2312" w:hAnsi="楷体" w:eastAsia="楷体_GB2312" w:cs="仿宋_GB2312"/>
          <w:color w:val="auto"/>
          <w:sz w:val="32"/>
          <w:szCs w:val="32"/>
        </w:rPr>
        <w:t>）绩效指标完成情况分析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2023年，全区331个村集体经济组织（包括列入市级台账管理的197个集体经济薄弱村）经营性收入全部超过10万元</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市级资金全部安排了具体项目并推进实施。</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lang w:eastAsia="zh-CN"/>
        </w:rPr>
        <w:t>四</w:t>
      </w:r>
      <w:r>
        <w:rPr>
          <w:rFonts w:hint="eastAsia" w:ascii="黑体" w:hAnsi="黑体" w:eastAsia="黑体" w:cs="仿宋_GB2312"/>
          <w:color w:val="auto"/>
          <w:sz w:val="32"/>
          <w:szCs w:val="32"/>
        </w:rPr>
        <w:t>、偏离绩效目标的原因和下一步改进措施</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（一）存在问题及原因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1.各村谋划项目不积极</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部分村两委班子增收思路不宽、点子不多、步子不大，存在畏难、求稳、怕乱思想，虽然能够完成经营性收入超过10万元的“消薄”任务，但在发展村级产业项目上主动谋划、积极推进存在不足，</w:t>
      </w:r>
      <w:r>
        <w:rPr>
          <w:rFonts w:hint="default" w:ascii="仿宋_GB2312" w:hAnsi="仿宋_GB2312" w:eastAsia="仿宋_GB2312" w:cs="仿宋_GB2312"/>
          <w:color w:val="auto"/>
          <w:sz w:val="32"/>
          <w:szCs w:val="32"/>
          <w:lang w:val="en-US" w:eastAsia="zh-CN"/>
        </w:rPr>
        <w:t>村级集体经济还比较薄弱，发展</w:t>
      </w:r>
      <w:r>
        <w:rPr>
          <w:rFonts w:hint="eastAsia" w:ascii="仿宋_GB2312" w:hAnsi="仿宋_GB2312" w:eastAsia="仿宋_GB2312" w:cs="仿宋_GB2312"/>
          <w:color w:val="auto"/>
          <w:sz w:val="32"/>
          <w:szCs w:val="32"/>
          <w:lang w:val="en-US" w:eastAsia="zh-CN"/>
        </w:rPr>
        <w:t>的内生动力不足。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2.资金使用要求限制及政策制约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资金使用要求高。</w:t>
      </w:r>
      <w:r>
        <w:rPr>
          <w:rFonts w:hint="eastAsia" w:ascii="仿宋_GB2312" w:hAnsi="仿宋_GB2312" w:eastAsia="仿宋_GB2312" w:cs="仿宋_GB2312"/>
          <w:color w:val="auto"/>
          <w:sz w:val="32"/>
          <w:szCs w:val="32"/>
          <w:lang w:val="en-US" w:eastAsia="zh-CN"/>
        </w:rPr>
        <w:t>使用市级扶持资金，需形成可持续发展的村集体产业，确保扶持村年集体经营性收入持续达到10万元以上。目前，多家市属和区属国有企业有项目合作意愿和资金需求，但按每个村200万元扶持资金计，年收益率需大于5%，高于同期银行贷款利率，项目形成的固定资产归属村集体，企业对资金使用存在顾虑，吸引力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3.各薄弱村产业发展受限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部分镇村资产资源匮乏，对于发展产业项目难度较大，大部分薄弱村仅停留在简单的计划或意向，无实际谋划和具体项目安排。部分镇村即使谋划了村级产业项目，但大多无法实际推进实施。</w:t>
      </w:r>
      <w:r>
        <w:rPr>
          <w:rFonts w:hint="eastAsia" w:ascii="仿宋_GB2312" w:hAnsi="仿宋_GB2312" w:eastAsia="仿宋_GB2312" w:cs="仿宋_GB2312"/>
          <w:color w:val="auto"/>
          <w:sz w:val="32"/>
          <w:szCs w:val="32"/>
        </w:rPr>
        <w:t>目前全区位于</w:t>
      </w:r>
      <w:r>
        <w:rPr>
          <w:rFonts w:hint="eastAsia" w:ascii="仿宋_GB2312" w:hAnsi="仿宋_GB2312" w:eastAsia="仿宋_GB2312" w:cs="仿宋_GB2312"/>
          <w:color w:val="auto"/>
          <w:sz w:val="32"/>
          <w:szCs w:val="32"/>
          <w:lang w:eastAsia="zh-CN"/>
        </w:rPr>
        <w:t>密云</w:t>
      </w:r>
      <w:r>
        <w:rPr>
          <w:rFonts w:hint="eastAsia" w:ascii="仿宋_GB2312" w:hAnsi="仿宋_GB2312" w:eastAsia="仿宋_GB2312" w:cs="仿宋_GB2312"/>
          <w:color w:val="auto"/>
          <w:sz w:val="32"/>
          <w:szCs w:val="32"/>
        </w:rPr>
        <w:t>水库保护区内的集体经济薄弱村共计6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个，其中一级区内32个，二级区内</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受密云水库保水政策影响，</w:t>
      </w:r>
      <w:r>
        <w:rPr>
          <w:rFonts w:hint="eastAsia" w:ascii="仿宋_GB2312" w:hAnsi="仿宋_GB2312" w:eastAsia="仿宋_GB2312" w:cs="仿宋_GB2312"/>
          <w:color w:val="auto"/>
          <w:sz w:val="32"/>
          <w:szCs w:val="32"/>
          <w:lang w:eastAsia="zh-CN"/>
        </w:rPr>
        <w:t>密云水库一、二级</w:t>
      </w:r>
      <w:r>
        <w:rPr>
          <w:rFonts w:hint="eastAsia" w:ascii="仿宋_GB2312" w:hAnsi="仿宋_GB2312" w:eastAsia="仿宋_GB2312" w:cs="仿宋_GB2312"/>
          <w:color w:val="auto"/>
          <w:sz w:val="32"/>
          <w:szCs w:val="32"/>
        </w:rPr>
        <w:t>保护区内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薄弱村</w:t>
      </w:r>
      <w:r>
        <w:rPr>
          <w:rFonts w:hint="eastAsia" w:ascii="仿宋_GB2312" w:hAnsi="仿宋_GB2312" w:eastAsia="仿宋_GB2312" w:cs="仿宋_GB2312"/>
          <w:color w:val="auto"/>
          <w:sz w:val="32"/>
          <w:szCs w:val="32"/>
          <w:lang w:eastAsia="zh-CN"/>
        </w:rPr>
        <w:t>和水库整体搬迁村</w:t>
      </w:r>
      <w:r>
        <w:rPr>
          <w:rFonts w:hint="eastAsia" w:ascii="仿宋_GB2312" w:hAnsi="仿宋_GB2312" w:eastAsia="仿宋_GB2312" w:cs="仿宋_GB2312"/>
          <w:color w:val="auto"/>
          <w:sz w:val="32"/>
          <w:szCs w:val="32"/>
          <w:lang w:val="en-US" w:eastAsia="zh-CN"/>
        </w:rPr>
        <w:t>产业发展严重受限，各类产业项目落地困难。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color w:val="auto"/>
          <w:lang w:val="en-US" w:eastAsia="zh-CN"/>
        </w:rPr>
      </w:pPr>
      <w:r>
        <w:rPr>
          <w:rFonts w:hint="eastAsia" w:ascii="楷体_GB2312" w:hAnsi="楷体_GB2312" w:eastAsia="楷体_GB2312" w:cs="楷体_GB2312"/>
          <w:color w:val="auto"/>
          <w:sz w:val="32"/>
          <w:szCs w:val="32"/>
          <w:lang w:val="en-US" w:eastAsia="zh-CN"/>
        </w:rPr>
        <w:t>（二）改进措施</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1.强化责任落实</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针对我区镇村谋划申报项目不足，资金执行率低的情况，压紧、压实各镇项目主体责任加大考核力度，确保各镇村级产业项目村级谋划实、镇级申报早、区级审批快</w:t>
      </w:r>
      <w:r>
        <w:rPr>
          <w:rFonts w:hint="eastAsia" w:ascii="仿宋_GB2312" w:hAnsi="仿宋_GB2312" w:eastAsia="仿宋_GB2312" w:cs="仿宋_GB2312"/>
          <w:b/>
          <w:bCs/>
          <w:color w:val="auto"/>
          <w:sz w:val="32"/>
          <w:szCs w:val="32"/>
          <w:lang w:val="en-US" w:eastAsia="zh-CN"/>
        </w:rPr>
        <w:t>。</w:t>
      </w:r>
      <w:r>
        <w:rPr>
          <w:rFonts w:hint="eastAsia" w:ascii="仿宋_GB2312" w:hAnsi="黑体" w:eastAsia="仿宋_GB2312" w:cs="方正小标宋_GBK"/>
          <w:b/>
          <w:bCs/>
          <w:color w:val="auto"/>
          <w:kern w:val="0"/>
          <w:sz w:val="32"/>
          <w:szCs w:val="32"/>
          <w:lang w:eastAsia="zh-CN"/>
        </w:rPr>
        <w:t>各镇党委、政府</w:t>
      </w:r>
      <w:r>
        <w:rPr>
          <w:rFonts w:hint="eastAsia" w:ascii="仿宋_GB2312" w:hAnsi="黑体" w:eastAsia="仿宋_GB2312" w:cs="方正小标宋_GBK"/>
          <w:color w:val="auto"/>
          <w:kern w:val="0"/>
          <w:sz w:val="32"/>
          <w:szCs w:val="32"/>
          <w:lang w:eastAsia="zh-CN"/>
        </w:rPr>
        <w:t>是责</w:t>
      </w:r>
      <w:r>
        <w:rPr>
          <w:rFonts w:hint="eastAsia" w:ascii="仿宋_GB2312" w:hAnsi="仿宋_GB2312" w:eastAsia="仿宋_GB2312" w:cs="仿宋_GB2312"/>
          <w:color w:val="auto"/>
          <w:sz w:val="32"/>
          <w:szCs w:val="32"/>
        </w:rPr>
        <w:t>任主体，党委、政府主要负责同志要抓在手上、主</w:t>
      </w:r>
      <w:r>
        <w:rPr>
          <w:rFonts w:hint="eastAsia" w:ascii="仿宋_GB2312" w:hAnsi="仿宋_GB2312" w:eastAsia="仿宋_GB2312" w:cs="仿宋_GB2312"/>
          <w:color w:val="auto"/>
          <w:sz w:val="32"/>
          <w:szCs w:val="32"/>
          <w:lang w:eastAsia="zh-CN"/>
        </w:rPr>
        <w:t>动</w:t>
      </w:r>
      <w:r>
        <w:rPr>
          <w:rFonts w:hint="eastAsia" w:ascii="仿宋_GB2312" w:hAnsi="仿宋_GB2312" w:eastAsia="仿宋_GB2312" w:cs="仿宋_GB2312"/>
          <w:color w:val="auto"/>
          <w:sz w:val="32"/>
          <w:szCs w:val="32"/>
        </w:rPr>
        <w:t>研究、部署推动、调研指导，协调各有关部门加强对集体经济薄弱村组织建设、资金</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、产业发展、土地流转、招商引资、人才培训、政策宣传等方面的指导，</w:t>
      </w:r>
      <w:r>
        <w:rPr>
          <w:rFonts w:hint="eastAsia" w:ascii="仿宋_GB2312" w:hAnsi="仿宋_GB2312" w:eastAsia="仿宋_GB2312" w:cs="仿宋_GB2312"/>
          <w:color w:val="auto"/>
          <w:sz w:val="32"/>
          <w:szCs w:val="32"/>
          <w:lang w:eastAsia="zh-CN"/>
        </w:rPr>
        <w:t>指导落实好村集体产业发展项目，</w:t>
      </w:r>
      <w:r>
        <w:rPr>
          <w:rFonts w:hint="eastAsia" w:ascii="仿宋_GB2312" w:hAnsi="仿宋_GB2312" w:eastAsia="仿宋_GB2312" w:cs="仿宋_GB2312"/>
          <w:color w:val="auto"/>
          <w:sz w:val="32"/>
          <w:szCs w:val="32"/>
        </w:rPr>
        <w:t>坚持严格把关、全程跟踪，确保落地见效。</w:t>
      </w:r>
      <w:r>
        <w:rPr>
          <w:rFonts w:hint="eastAsia" w:ascii="仿宋_GB2312" w:hAnsi="仿宋_GB2312" w:eastAsia="仿宋_GB2312" w:cs="仿宋_GB2312"/>
          <w:b/>
          <w:bCs/>
          <w:color w:val="auto"/>
          <w:sz w:val="32"/>
          <w:szCs w:val="32"/>
        </w:rPr>
        <w:t>集体经济薄弱村</w:t>
      </w:r>
      <w:r>
        <w:rPr>
          <w:rFonts w:hint="eastAsia" w:ascii="仿宋_GB2312" w:hAnsi="仿宋_GB2312" w:eastAsia="仿宋_GB2312" w:cs="仿宋_GB2312"/>
          <w:color w:val="auto"/>
          <w:sz w:val="32"/>
          <w:szCs w:val="32"/>
        </w:rPr>
        <w:t>党组织、集体经济组织是执行主体，要认真组织实施，做好土地流转协调、村民组织动员、引资合作服务等工作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各行业部门</w:t>
      </w:r>
      <w:r>
        <w:rPr>
          <w:rFonts w:hint="eastAsia" w:ascii="仿宋_GB2312" w:hAnsi="仿宋_GB2312" w:eastAsia="仿宋_GB2312" w:cs="仿宋_GB2312"/>
          <w:color w:val="auto"/>
          <w:sz w:val="32"/>
          <w:szCs w:val="32"/>
          <w:lang w:eastAsia="zh-CN"/>
        </w:rPr>
        <w:t>在政策上、技术上指导各镇村加强产业项目谋划，因地制宜发展“一村一策”优势产业，对资产资源匮乏的薄弱村由区、镇统筹谋划异地置业项目，确保村集体增收。</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2.加强项目管理</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是</w:t>
      </w:r>
      <w:r>
        <w:rPr>
          <w:rFonts w:hint="eastAsia" w:ascii="仿宋_GB2312" w:hAnsi="仿宋_GB2312" w:eastAsia="仿宋_GB2312" w:cs="仿宋_GB2312"/>
          <w:b w:val="0"/>
          <w:bCs w:val="0"/>
          <w:color w:val="auto"/>
          <w:sz w:val="32"/>
          <w:szCs w:val="32"/>
          <w:lang w:eastAsia="zh-CN"/>
        </w:rPr>
        <w:t>推进项目实施。</w:t>
      </w:r>
      <w:r>
        <w:rPr>
          <w:rFonts w:hint="eastAsia" w:ascii="仿宋_GB2312" w:hAnsi="仿宋_GB2312" w:eastAsia="仿宋_GB2312" w:cs="仿宋_GB2312"/>
          <w:color w:val="auto"/>
          <w:sz w:val="32"/>
          <w:szCs w:val="32"/>
          <w:lang w:val="en-US" w:eastAsia="zh-CN"/>
        </w:rPr>
        <w:t>加快推进已拨付的市级转移支付资金项目建设实施进度，紧盯已谋划项目的设计、审批等环节，确保项目早落地早见效，切实形成可持续的村集体收益，壮大村集体经济；</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完善项目追踪问效机制。</w:t>
      </w:r>
      <w:r>
        <w:rPr>
          <w:rFonts w:hint="eastAsia" w:ascii="仿宋_GB2312" w:hAnsi="仿宋_GB2312" w:eastAsia="仿宋_GB2312" w:cs="仿宋_GB2312"/>
          <w:color w:val="auto"/>
          <w:sz w:val="32"/>
          <w:szCs w:val="32"/>
          <w:lang w:val="en-US" w:eastAsia="zh-CN"/>
        </w:rPr>
        <w:t>建立健全薄弱村资金项目台账，认真梳理所有项目绩效目标执行情况，严格把关、全程跟踪，做好项目总结，确保项目真落地、见实效；</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建立项目储备库。</w:t>
      </w:r>
      <w:r>
        <w:rPr>
          <w:rFonts w:hint="eastAsia" w:ascii="仿宋_GB2312" w:hAnsi="仿宋_GB2312" w:eastAsia="仿宋_GB2312" w:cs="仿宋_GB2312"/>
          <w:color w:val="auto"/>
          <w:sz w:val="32"/>
          <w:szCs w:val="32"/>
          <w:lang w:val="en-US" w:eastAsia="zh-CN"/>
        </w:rPr>
        <w:t>对各镇村谋划的项目按产业类型动态管理，根据项目可行性和成熟度分批推进，切实达到“储备一批、推进一批、实施一批、见效一批”，为村级集体经济持续健康发展奠定坚实的产业支撑。</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3.深化帮扶机制</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eastAsia="仿宋_GB2312" w:cs="Times New Roman"/>
          <w:color w:val="auto"/>
          <w:sz w:val="32"/>
          <w:szCs w:val="32"/>
        </w:rPr>
      </w:pPr>
      <w:r>
        <w:rPr>
          <w:rFonts w:hint="eastAsia" w:ascii="仿宋_GB2312" w:hAnsi="仿宋_GB2312" w:eastAsia="仿宋_GB2312" w:cs="仿宋_GB2312"/>
          <w:color w:val="auto"/>
          <w:sz w:val="32"/>
          <w:szCs w:val="32"/>
          <w:lang w:val="en-US" w:eastAsia="zh-CN"/>
        </w:rPr>
        <w:t>充分发挥1+9+N“组团式帮扶协作”机制，利用好各类帮扶资源，加强本镇域内产业项目统筹，通过“飞地抱团”、“异地置业”等方式，真正谋划一批可落地、能增收、能带动、有效益的镇级统筹优势产业项目，推动村集体经济与区域经济融合发展。同时，利用好我区13家市属国企、7家区属国企和有合作意向的央企国企等帮扶力量，探索村企合作</w:t>
      </w:r>
      <w:r>
        <w:rPr>
          <w:rFonts w:hint="eastAsia" w:ascii="仿宋_GB2312" w:hAnsi="仿宋_GB2312" w:eastAsia="仿宋_GB2312" w:cs="仿宋_GB2312"/>
          <w:color w:val="auto"/>
          <w:sz w:val="32"/>
          <w:szCs w:val="32"/>
        </w:rPr>
        <w:t>路径，</w:t>
      </w:r>
      <w:r>
        <w:rPr>
          <w:rFonts w:hint="eastAsia" w:ascii="仿宋_GB2312" w:hAnsi="仿宋_GB2312" w:eastAsia="仿宋_GB2312" w:cs="仿宋_GB2312"/>
          <w:color w:val="auto"/>
          <w:sz w:val="32"/>
          <w:szCs w:val="32"/>
          <w:lang w:eastAsia="zh-CN"/>
        </w:rPr>
        <w:t>加快统筹谋划</w:t>
      </w:r>
      <w:r>
        <w:rPr>
          <w:rFonts w:hint="eastAsia" w:ascii="仿宋_GB2312" w:hAnsi="仿宋_GB2312" w:eastAsia="仿宋_GB2312" w:cs="仿宋_GB2312"/>
          <w:color w:val="auto"/>
          <w:sz w:val="32"/>
          <w:szCs w:val="32"/>
          <w:lang w:val="en-US" w:eastAsia="zh-CN"/>
        </w:rPr>
        <w:t>大型异地置业项目，积极推动与国电投、首农集团、密云文旅集团、建工集团等企业的合作项目落地实施，解决</w:t>
      </w:r>
      <w:r>
        <w:rPr>
          <w:rFonts w:hint="eastAsia" w:ascii="仿宋_GB2312" w:hAnsi="仿宋_GB2312" w:eastAsia="仿宋_GB2312" w:cs="仿宋_GB2312"/>
          <w:color w:val="auto"/>
          <w:sz w:val="32"/>
          <w:szCs w:val="32"/>
          <w:lang w:eastAsia="zh-CN"/>
        </w:rPr>
        <w:t>资产</w:t>
      </w:r>
      <w:r>
        <w:rPr>
          <w:rFonts w:hint="eastAsia" w:ascii="仿宋_GB2312" w:hAnsi="仿宋_GB2312" w:eastAsia="仿宋_GB2312" w:cs="仿宋_GB2312"/>
          <w:color w:val="auto"/>
          <w:sz w:val="32"/>
          <w:szCs w:val="32"/>
        </w:rPr>
        <w:t>资源匮乏的薄弱村</w:t>
      </w:r>
      <w:r>
        <w:rPr>
          <w:rFonts w:hint="eastAsia" w:ascii="仿宋_GB2312" w:hAnsi="仿宋_GB2312" w:eastAsia="仿宋_GB2312" w:cs="仿宋_GB2312"/>
          <w:color w:val="auto"/>
          <w:sz w:val="32"/>
          <w:szCs w:val="32"/>
          <w:lang w:eastAsia="zh-CN"/>
        </w:rPr>
        <w:t>产业项目无法落地问题，保障村集体收益</w:t>
      </w:r>
      <w:r>
        <w:rPr>
          <w:rFonts w:hint="eastAsia" w:ascii="仿宋_GB2312" w:hAnsi="仿宋_GB2312" w:eastAsia="仿宋_GB2312" w:cs="仿宋_GB2312"/>
          <w:color w:val="auto"/>
          <w:sz w:val="32"/>
          <w:szCs w:val="32"/>
          <w:lang w:val="en-US" w:eastAsia="zh-CN"/>
        </w:rPr>
        <w:t>。</w:t>
      </w:r>
    </w:p>
    <w:p>
      <w:pPr>
        <w:rPr>
          <w:rFonts w:hint="eastAsia" w:eastAsia="宋体"/>
          <w:color w:val="auto"/>
          <w:lang w:eastAsia="zh-CN"/>
        </w:rPr>
      </w:pPr>
      <w:r>
        <w:rPr>
          <w:rFonts w:hint="eastAsia"/>
          <w:color w:val="auto"/>
          <w:lang w:eastAsia="zh-CN"/>
        </w:rPr>
        <w:t>、</w:t>
      </w:r>
    </w:p>
    <w:tbl>
      <w:tblPr>
        <w:tblStyle w:val="16"/>
        <w:tblW w:w="10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341"/>
        <w:gridCol w:w="411"/>
        <w:gridCol w:w="1050"/>
        <w:gridCol w:w="489"/>
        <w:gridCol w:w="810"/>
        <w:gridCol w:w="585"/>
        <w:gridCol w:w="135"/>
        <w:gridCol w:w="396"/>
        <w:gridCol w:w="245"/>
        <w:gridCol w:w="169"/>
        <w:gridCol w:w="615"/>
        <w:gridCol w:w="900"/>
        <w:gridCol w:w="330"/>
        <w:gridCol w:w="360"/>
        <w:gridCol w:w="330"/>
        <w:gridCol w:w="555"/>
        <w:gridCol w:w="255"/>
        <w:gridCol w:w="39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0280" w:type="dxa"/>
            <w:gridSpan w:val="2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ascii="方正小标宋简体" w:hAnsi="方正小标宋简体" w:eastAsia="方正小标宋简体" w:cs="方正小标宋简体"/>
                <w:i w:val="0"/>
                <w:color w:val="auto"/>
                <w:sz w:val="28"/>
                <w:szCs w:val="28"/>
                <w:u w:val="none"/>
              </w:rPr>
            </w:pPr>
            <w:r>
              <w:rPr>
                <w:rFonts w:hint="eastAsia" w:ascii="方正小标宋简体" w:hAnsi="方正小标宋简体" w:eastAsia="方正小标宋简体" w:cs="方正小标宋简体"/>
                <w:i w:val="0"/>
                <w:color w:val="auto"/>
                <w:kern w:val="0"/>
                <w:sz w:val="36"/>
                <w:szCs w:val="36"/>
                <w:u w:val="none"/>
                <w:lang w:val="en-US" w:eastAsia="zh-CN" w:bidi="ar"/>
              </w:rPr>
              <w:t>市级转移支付密云区（扶持壮大村级集体经济项目）绩效自评表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0280" w:type="dxa"/>
            <w:gridSpan w:val="2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2"/>
                <w:szCs w:val="22"/>
                <w:u w:val="none"/>
              </w:rPr>
            </w:pPr>
            <w:r>
              <w:rPr>
                <w:rFonts w:hint="eastAsia" w:ascii="仿宋_GB2312" w:hAnsi="仿宋_GB2312" w:eastAsia="仿宋_GB2312" w:cs="仿宋_GB2312"/>
                <w:i w:val="0"/>
                <w:color w:val="auto"/>
                <w:kern w:val="0"/>
                <w:sz w:val="32"/>
                <w:szCs w:val="3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9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转移支付（项目）名称</w:t>
            </w:r>
          </w:p>
        </w:tc>
        <w:tc>
          <w:tcPr>
            <w:tcW w:w="7303"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rPr>
              <w:t>扶持壮大村级集体经济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市农业农村局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rPr>
              <w:t>转移支付类别</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区</w:t>
            </w:r>
            <w:r>
              <w:rPr>
                <w:rFonts w:hint="eastAsia" w:ascii="宋体" w:hAnsi="宋体" w:cs="宋体"/>
                <w:i w:val="0"/>
                <w:color w:val="auto"/>
                <w:kern w:val="0"/>
                <w:sz w:val="20"/>
                <w:szCs w:val="20"/>
                <w:u w:val="none"/>
                <w:lang w:val="en-US" w:eastAsia="zh-CN" w:bidi="ar"/>
              </w:rPr>
              <w:t>级</w:t>
            </w:r>
            <w:r>
              <w:rPr>
                <w:rFonts w:hint="eastAsia" w:ascii="宋体" w:hAnsi="宋体" w:eastAsia="宋体" w:cs="宋体"/>
                <w:i w:val="0"/>
                <w:color w:val="auto"/>
                <w:kern w:val="0"/>
                <w:sz w:val="20"/>
                <w:szCs w:val="20"/>
                <w:u w:val="none"/>
                <w:lang w:val="en-US" w:eastAsia="zh-CN" w:bidi="ar"/>
              </w:rPr>
              <w:t>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区农业农村局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rPr>
              <w:t>资金使用单位</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薄弱村及薄弱村所在镇政府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1027"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资金</w:t>
            </w:r>
            <w:r>
              <w:rPr>
                <w:rFonts w:hint="eastAsia" w:ascii="宋体" w:hAnsi="宋体" w:cs="宋体"/>
                <w:i w:val="0"/>
                <w:color w:val="auto"/>
                <w:kern w:val="0"/>
                <w:sz w:val="20"/>
                <w:szCs w:val="20"/>
                <w:u w:val="none"/>
                <w:lang w:val="en-US" w:eastAsia="zh-CN" w:bidi="ar"/>
              </w:rPr>
              <w:t>投入</w:t>
            </w:r>
            <w:r>
              <w:rPr>
                <w:rFonts w:hint="eastAsia" w:ascii="宋体" w:hAnsi="宋体" w:eastAsia="宋体" w:cs="宋体"/>
                <w:i w:val="0"/>
                <w:color w:val="auto"/>
                <w:kern w:val="0"/>
                <w:sz w:val="20"/>
                <w:szCs w:val="20"/>
                <w:u w:val="none"/>
                <w:lang w:val="en-US" w:eastAsia="zh-CN" w:bidi="ar"/>
              </w:rPr>
              <w:t>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（万元，小数点保留2位）</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left"/>
              <w:rPr>
                <w:rFonts w:hint="eastAsia" w:ascii="宋体" w:hAnsi="宋体" w:eastAsia="宋体" w:cs="宋体"/>
                <w:i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年初预算数</w:t>
            </w:r>
            <w:r>
              <w:rPr>
                <w:rFonts w:hint="eastAsia" w:ascii="宋体" w:hAnsi="宋体" w:cs="宋体"/>
                <w:i w:val="0"/>
                <w:color w:val="auto"/>
                <w:kern w:val="0"/>
                <w:sz w:val="20"/>
                <w:szCs w:val="20"/>
                <w:u w:val="none"/>
                <w:lang w:val="en-US" w:eastAsia="zh-CN" w:bidi="ar"/>
              </w:rPr>
              <w:t>（A）</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预算调整数</w:t>
            </w:r>
            <w:r>
              <w:rPr>
                <w:rFonts w:hint="eastAsia" w:ascii="宋体" w:hAnsi="宋体" w:cs="宋体"/>
                <w:i w:val="0"/>
                <w:color w:val="auto"/>
                <w:kern w:val="0"/>
                <w:sz w:val="20"/>
                <w:szCs w:val="20"/>
                <w:u w:val="none"/>
                <w:lang w:val="en-US" w:eastAsia="zh-CN" w:bidi="ar"/>
              </w:rPr>
              <w:t>（B）</w:t>
            </w: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调整后预算数</w:t>
            </w:r>
            <w:r>
              <w:rPr>
                <w:rFonts w:hint="eastAsia" w:ascii="宋体" w:hAnsi="宋体" w:cs="宋体"/>
                <w:i w:val="0"/>
                <w:color w:val="auto"/>
                <w:kern w:val="0"/>
                <w:sz w:val="20"/>
                <w:szCs w:val="20"/>
                <w:u w:val="none"/>
                <w:lang w:val="en-US" w:eastAsia="zh-CN" w:bidi="ar"/>
              </w:rPr>
              <w:t>（C）</w:t>
            </w: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全年执行数</w:t>
            </w:r>
            <w:r>
              <w:rPr>
                <w:rFonts w:hint="eastAsia" w:ascii="宋体" w:hAnsi="宋体" w:cs="宋体"/>
                <w:i w:val="0"/>
                <w:color w:val="auto"/>
                <w:kern w:val="0"/>
                <w:sz w:val="20"/>
                <w:szCs w:val="20"/>
                <w:u w:val="none"/>
                <w:lang w:val="en-US" w:eastAsia="zh-CN" w:bidi="ar"/>
              </w:rPr>
              <w:t>（D）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spacing w:val="0"/>
                <w:kern w:val="0"/>
                <w:sz w:val="20"/>
                <w:szCs w:val="20"/>
                <w:u w:val="none"/>
                <w:lang w:val="en-US" w:eastAsia="zh-CN" w:bidi="ar"/>
              </w:rPr>
              <w:t>预算调整</w:t>
            </w:r>
            <w:r>
              <w:rPr>
                <w:rStyle w:val="31"/>
                <w:color w:val="auto"/>
                <w:spacing w:val="0"/>
                <w:sz w:val="20"/>
                <w:szCs w:val="20"/>
                <w:lang w:val="en-US" w:eastAsia="zh-CN" w:bidi="ar"/>
              </w:rPr>
              <w:t>率（</w:t>
            </w:r>
            <w:r>
              <w:rPr>
                <w:rStyle w:val="31"/>
                <w:color w:val="auto"/>
                <w:spacing w:val="-11"/>
                <w:sz w:val="20"/>
                <w:szCs w:val="20"/>
                <w:lang w:val="en-US" w:eastAsia="zh-CN" w:bidi="ar"/>
              </w:rPr>
              <w:t>B/A</w:t>
            </w:r>
            <w:r>
              <w:rPr>
                <w:rStyle w:val="31"/>
                <w:rFonts w:hint="eastAsia"/>
                <w:color w:val="auto"/>
                <w:spacing w:val="-11"/>
                <w:sz w:val="20"/>
                <w:szCs w:val="20"/>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color w:val="auto"/>
                <w:sz w:val="20"/>
                <w:szCs w:val="20"/>
                <w:lang w:val="en-US" w:eastAsia="zh-CN"/>
              </w:rPr>
            </w:pPr>
            <w:r>
              <w:rPr>
                <w:rFonts w:hint="eastAsia"/>
                <w:color w:val="auto"/>
                <w:sz w:val="20"/>
                <w:szCs w:val="20"/>
                <w:lang w:val="en-US" w:eastAsia="zh-CN"/>
              </w:rPr>
              <w:t>分值</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预算执行率</w:t>
            </w:r>
            <w:r>
              <w:rPr>
                <w:rFonts w:hint="eastAsia" w:ascii="宋体" w:hAnsi="宋体" w:cs="宋体"/>
                <w:i w:val="0"/>
                <w:color w:val="auto"/>
                <w:spacing w:val="-11"/>
                <w:kern w:val="0"/>
                <w:sz w:val="20"/>
                <w:szCs w:val="20"/>
                <w:u w:val="none"/>
                <w:lang w:val="en-US" w:eastAsia="zh-CN" w:bidi="ar"/>
              </w:rPr>
              <w:t>（</w:t>
            </w:r>
            <w:r>
              <w:rPr>
                <w:rFonts w:hint="eastAsia" w:ascii="宋体" w:hAnsi="宋体" w:eastAsia="宋体" w:cs="宋体"/>
                <w:i w:val="0"/>
                <w:color w:val="auto"/>
                <w:spacing w:val="-11"/>
                <w:kern w:val="0"/>
                <w:sz w:val="20"/>
                <w:szCs w:val="20"/>
                <w:u w:val="none"/>
                <w:lang w:val="en-US" w:eastAsia="zh-CN" w:bidi="ar"/>
              </w:rPr>
              <w:t>D</w:t>
            </w:r>
            <w:r>
              <w:rPr>
                <w:rStyle w:val="31"/>
                <w:color w:val="auto"/>
                <w:spacing w:val="-11"/>
                <w:sz w:val="20"/>
                <w:szCs w:val="20"/>
                <w:lang w:val="en-US" w:eastAsia="zh-CN" w:bidi="ar"/>
              </w:rPr>
              <w:t>/C</w:t>
            </w:r>
            <w:r>
              <w:rPr>
                <w:rStyle w:val="31"/>
                <w:rFonts w:hint="eastAsia"/>
                <w:color w:val="auto"/>
                <w:spacing w:val="-11"/>
                <w:sz w:val="20"/>
                <w:szCs w:val="20"/>
                <w:lang w:val="en-US" w:eastAsia="zh-CN" w:bidi="ar"/>
              </w:rPr>
              <w:t>×100%）</w:t>
            </w:r>
          </w:p>
        </w:tc>
        <w:tc>
          <w:tcPr>
            <w:tcW w:w="64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得分</w:t>
            </w:r>
          </w:p>
        </w:tc>
        <w:tc>
          <w:tcPr>
            <w:tcW w:w="12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预算调整</w:t>
            </w:r>
            <w:r>
              <w:rPr>
                <w:rStyle w:val="31"/>
                <w:color w:val="auto"/>
                <w:sz w:val="20"/>
                <w:szCs w:val="20"/>
                <w:lang w:val="en-US" w:eastAsia="zh-CN" w:bidi="ar"/>
              </w:rPr>
              <w:t>、结余等原因分析及改进措施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年度资金总额：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861.45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10</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43.07%</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4.3</w:t>
            </w:r>
          </w:p>
        </w:tc>
        <w:tc>
          <w:tcPr>
            <w:tcW w:w="1228" w:type="dxa"/>
            <w:vMerge w:val="restart"/>
            <w:tcBorders>
              <w:top w:val="single" w:color="auto" w:sz="4" w:space="0"/>
              <w:left w:val="single" w:color="auto" w:sz="4" w:space="0"/>
              <w:right w:val="single" w:color="auto" w:sz="4" w:space="0"/>
            </w:tcBorders>
            <w:noWrap w:val="0"/>
            <w:vAlign w:val="center"/>
          </w:tcPr>
          <w:p>
            <w:pPr>
              <w:spacing w:line="240" w:lineRule="auto"/>
              <w:jc w:val="left"/>
              <w:rPr>
                <w:rFonts w:hint="eastAsia" w:ascii="宋体" w:hAnsi="宋体" w:cs="宋体"/>
                <w:color w:val="auto"/>
                <w:sz w:val="20"/>
                <w:szCs w:val="20"/>
                <w:lang w:eastAsia="zh-CN"/>
              </w:rPr>
            </w:pPr>
            <w:r>
              <w:rPr>
                <w:rFonts w:hint="eastAsia" w:ascii="宋体" w:hAnsi="宋体" w:cs="宋体"/>
                <w:color w:val="auto"/>
                <w:sz w:val="20"/>
                <w:szCs w:val="20"/>
                <w:lang w:eastAsia="zh-CN"/>
              </w:rPr>
              <w:t>结余原因：薄弱村产业发展受限、项目谋划不足、资金使用要求高、。</w:t>
            </w:r>
          </w:p>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r>
              <w:rPr>
                <w:rFonts w:hint="eastAsia" w:ascii="宋体" w:hAnsi="宋体" w:eastAsia="宋体" w:cs="宋体"/>
                <w:color w:val="auto"/>
                <w:sz w:val="20"/>
                <w:szCs w:val="20"/>
                <w:lang w:eastAsia="zh-CN"/>
              </w:rPr>
              <w:t>措施：加强顶层设计、强化责任落实、加强项目管理、深化帮扶机制。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其中：市级财政资金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区级资金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中央资金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27" w:type="dxa"/>
            <w:gridSpan w:val="2"/>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资金管理情况</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情况说明</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eastAsia"/>
                <w:color w:val="auto"/>
                <w:sz w:val="20"/>
                <w:szCs w:val="20"/>
                <w:lang w:val="en-US" w:eastAsia="zh-CN"/>
              </w:rPr>
            </w:pPr>
            <w:r>
              <w:rPr>
                <w:rFonts w:hint="eastAsia"/>
                <w:color w:val="auto"/>
                <w:sz w:val="20"/>
                <w:szCs w:val="20"/>
                <w:lang w:val="en-US" w:eastAsia="zh-CN"/>
              </w:rPr>
              <w:t>分值</w:t>
            </w:r>
          </w:p>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cs="宋体"/>
                <w:i w:val="0"/>
                <w:color w:val="auto"/>
                <w:sz w:val="20"/>
                <w:szCs w:val="20"/>
                <w:u w:val="none"/>
                <w:lang w:eastAsia="zh-CN"/>
              </w:rPr>
            </w:pPr>
            <w:r>
              <w:rPr>
                <w:rFonts w:hint="eastAsia" w:ascii="宋体" w:hAnsi="宋体" w:cs="宋体"/>
                <w:i w:val="0"/>
                <w:color w:val="auto"/>
                <w:spacing w:val="-11"/>
                <w:kern w:val="0"/>
                <w:sz w:val="20"/>
                <w:szCs w:val="20"/>
                <w:u w:val="none"/>
                <w:lang w:val="en-US" w:eastAsia="zh-CN" w:bidi="ar"/>
              </w:rPr>
              <w:t>（40）</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得分</w:t>
            </w:r>
          </w:p>
        </w:tc>
        <w:tc>
          <w:tcPr>
            <w:tcW w:w="1873"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存在的问题和改进措施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分配科学性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按照市级、区级方案，全区纳入市级台账的</w:t>
            </w:r>
            <w:r>
              <w:rPr>
                <w:rFonts w:hint="eastAsia" w:ascii="宋体" w:hAnsi="宋体" w:cs="宋体"/>
                <w:color w:val="auto"/>
                <w:sz w:val="20"/>
                <w:szCs w:val="20"/>
                <w:lang w:val="en-US" w:eastAsia="zh-CN"/>
              </w:rPr>
              <w:t>197个集体经济薄弱村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下达及时性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按照市级、区级方案，各薄弱村按照项目制形式申报资金，经村级民主程序、镇级审议、区级审批程序后下达资金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拨付合规性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cs="宋体"/>
                <w:color w:val="auto"/>
                <w:sz w:val="20"/>
                <w:szCs w:val="20"/>
                <w:lang w:eastAsia="zh-CN"/>
              </w:rPr>
              <w:t>按照市级、区级方案，各薄弱村按照项目制形式申报资金，经村级民主程序、镇级审议、项目初审、联审、可行性专家论证、资金评审后报区政府审批，审批同意后拨付资金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使用规范性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各项目所在镇政府为项目主体，对项目规范性进行监督管理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执行准确性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cs="宋体"/>
                <w:color w:val="auto"/>
                <w:sz w:val="20"/>
                <w:szCs w:val="20"/>
                <w:lang w:eastAsia="zh-CN"/>
              </w:rPr>
              <w:t>各项目所在镇政府为项目主体，对项目执行情况进行监督管理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预算绩效管理情况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严格按照项目实施方案执行</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支出责任履行情况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项目实施单位、行业主管部门、财政部门严格履职</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总体目标完成情况</w:t>
            </w: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总体目标</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通过扶持，形成可持续发展的农村集体产业，确保扶持村年集体经营性收入持续达到</w:t>
            </w:r>
            <w:r>
              <w:rPr>
                <w:rFonts w:hint="eastAsia" w:ascii="宋体" w:hAnsi="宋体" w:eastAsia="宋体" w:cs="宋体"/>
                <w:color w:val="auto"/>
                <w:kern w:val="0"/>
                <w:sz w:val="20"/>
                <w:szCs w:val="20"/>
                <w:lang w:val="en-US" w:eastAsia="zh-CN" w:bidi="ar"/>
              </w:rPr>
              <w:t>10万元以上</w:t>
            </w:r>
            <w:r>
              <w:rPr>
                <w:rFonts w:hint="eastAsia" w:ascii="宋体" w:hAnsi="宋体" w:eastAsia="宋体" w:cs="宋体"/>
                <w:color w:val="auto"/>
                <w:kern w:val="0"/>
                <w:sz w:val="20"/>
                <w:szCs w:val="20"/>
                <w:lang w:eastAsia="zh-CN" w:bidi="ar"/>
              </w:rPr>
              <w:t>，进一步增强村级自我保障和服务群众能力，提升农村基层党组织的组织力。</w:t>
            </w:r>
          </w:p>
          <w:p>
            <w:pPr>
              <w:jc w:val="center"/>
              <w:rPr>
                <w:rFonts w:hint="eastAsia" w:ascii="宋体" w:hAnsi="宋体" w:cs="宋体"/>
                <w:color w:val="auto"/>
                <w:kern w:val="2"/>
                <w:sz w:val="20"/>
                <w:szCs w:val="20"/>
                <w:lang w:val="en-US" w:eastAsia="zh-CN" w:bidi="ar-SA"/>
              </w:rPr>
            </w:pP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2023年，全区197个集体经济薄弱村</w:t>
            </w:r>
            <w:r>
              <w:rPr>
                <w:rFonts w:hint="eastAsia" w:ascii="宋体" w:hAnsi="宋体" w:eastAsia="宋体" w:cs="宋体"/>
                <w:color w:val="auto"/>
                <w:kern w:val="0"/>
                <w:sz w:val="20"/>
                <w:szCs w:val="20"/>
                <w:lang w:eastAsia="zh-CN" w:bidi="ar"/>
              </w:rPr>
              <w:t>年集体经营性收入全部达到</w:t>
            </w:r>
            <w:r>
              <w:rPr>
                <w:rFonts w:hint="eastAsia" w:ascii="宋体" w:hAnsi="宋体" w:eastAsia="宋体" w:cs="宋体"/>
                <w:color w:val="auto"/>
                <w:kern w:val="0"/>
                <w:sz w:val="20"/>
                <w:szCs w:val="20"/>
                <w:lang w:val="en-US" w:eastAsia="zh-CN" w:bidi="ar"/>
              </w:rPr>
              <w:t>10万元以上。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绩效指标</w:t>
            </w: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二级指标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三级指标</w:t>
            </w:r>
          </w:p>
        </w:tc>
        <w:tc>
          <w:tcPr>
            <w:tcW w:w="94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指标值</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全年实际完成值</w:t>
            </w:r>
          </w:p>
        </w:tc>
        <w:tc>
          <w:tcPr>
            <w:tcW w:w="690"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分值</w:t>
            </w:r>
          </w:p>
        </w:tc>
        <w:tc>
          <w:tcPr>
            <w:tcW w:w="810"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得分</w:t>
            </w:r>
          </w:p>
        </w:tc>
        <w:tc>
          <w:tcPr>
            <w:tcW w:w="1618"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（按照原来的绩效目标表填写</w:t>
            </w:r>
            <w:r>
              <w:rPr>
                <w:rStyle w:val="31"/>
                <w:color w:val="auto"/>
                <w:lang w:val="en-US" w:eastAsia="zh-CN" w:bidi="ar"/>
              </w:rPr>
              <w:t>）</w:t>
            </w:r>
          </w:p>
        </w:tc>
        <w:tc>
          <w:tcPr>
            <w:tcW w:w="94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（对照绩效目标表，尽可能通过具体量化的指标和资料呈现核心绩效）</w:t>
            </w:r>
          </w:p>
        </w:tc>
        <w:tc>
          <w:tcPr>
            <w:tcW w:w="690"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810"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618"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指标</w:t>
            </w:r>
            <w:r>
              <w:rPr>
                <w:rFonts w:hint="eastAsia" w:ascii="宋体" w:hAnsi="宋体" w:cs="宋体"/>
                <w:color w:val="auto"/>
                <w:sz w:val="20"/>
                <w:szCs w:val="20"/>
                <w:lang w:val="en-US" w:eastAsia="zh-CN"/>
              </w:rPr>
              <w:t>1：</w:t>
            </w:r>
            <w:r>
              <w:rPr>
                <w:rFonts w:hint="eastAsia" w:ascii="宋体" w:hAnsi="宋体" w:cs="宋体"/>
                <w:color w:val="auto"/>
                <w:sz w:val="20"/>
                <w:szCs w:val="20"/>
                <w:lang w:eastAsia="zh-CN"/>
              </w:rPr>
              <w:t>扶持全区纳入市级台账的</w:t>
            </w:r>
            <w:r>
              <w:rPr>
                <w:rFonts w:hint="eastAsia" w:ascii="宋体" w:hAnsi="宋体" w:cs="宋体"/>
                <w:color w:val="auto"/>
                <w:sz w:val="20"/>
                <w:szCs w:val="20"/>
                <w:lang w:val="en-US" w:eastAsia="zh-CN"/>
              </w:rPr>
              <w:t>197个集体经济薄弱村发展产业项目，应扶持不少于10个村</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10个</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eastAsia="zh-CN"/>
              </w:rPr>
              <w:t>全部资金共安排</w:t>
            </w:r>
            <w:r>
              <w:rPr>
                <w:rFonts w:hint="eastAsia" w:ascii="宋体" w:hAnsi="宋体" w:eastAsia="宋体" w:cs="宋体"/>
                <w:i w:val="0"/>
                <w:color w:val="auto"/>
                <w:sz w:val="20"/>
                <w:szCs w:val="20"/>
                <w:u w:val="none"/>
                <w:lang w:val="en-US" w:eastAsia="zh-CN"/>
              </w:rPr>
              <w:t>11个村的项目</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薄弱村产业发展受限、项目谋划不足、资金使用要求高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指</w:t>
            </w:r>
            <w:r>
              <w:rPr>
                <w:rFonts w:hint="eastAsia" w:ascii="宋体" w:hAnsi="宋体" w:eastAsia="宋体" w:cs="宋体"/>
                <w:color w:val="auto"/>
                <w:sz w:val="20"/>
                <w:szCs w:val="20"/>
                <w:lang w:eastAsia="zh-CN"/>
              </w:rPr>
              <w:t>标</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每个薄弱村扶持资金不超过</w:t>
            </w:r>
            <w:r>
              <w:rPr>
                <w:rFonts w:hint="eastAsia" w:ascii="宋体" w:hAnsi="宋体" w:eastAsia="宋体" w:cs="宋体"/>
                <w:color w:val="auto"/>
                <w:sz w:val="20"/>
                <w:szCs w:val="20"/>
                <w:lang w:val="en-US" w:eastAsia="zh-CN"/>
              </w:rPr>
              <w:t>200万元</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200万元</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eastAsia="zh-CN"/>
              </w:rPr>
              <w:t>按照标准，每个村扶持资金均不超过</w:t>
            </w:r>
            <w:r>
              <w:rPr>
                <w:rFonts w:hint="eastAsia" w:ascii="宋体" w:hAnsi="宋体" w:eastAsia="宋体" w:cs="宋体"/>
                <w:i w:val="0"/>
                <w:color w:val="auto"/>
                <w:sz w:val="20"/>
                <w:szCs w:val="20"/>
                <w:u w:val="none"/>
                <w:lang w:val="en-US" w:eastAsia="zh-CN"/>
              </w:rPr>
              <w:t>200万元</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质量指标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项目实施后保障村集体年集体经营性收入持续达到</w:t>
            </w:r>
            <w:r>
              <w:rPr>
                <w:rFonts w:hint="eastAsia" w:ascii="宋体" w:hAnsi="宋体" w:cs="宋体"/>
                <w:color w:val="auto"/>
                <w:sz w:val="20"/>
                <w:szCs w:val="20"/>
                <w:lang w:val="en-US" w:eastAsia="zh-CN"/>
              </w:rPr>
              <w:t>10万元以上</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10万元以上</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时效指标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落实具体项目时间</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 w:eastAsia="zh-CN" w:bidi="ar-SA"/>
              </w:rPr>
            </w:pPr>
            <w:r>
              <w:rPr>
                <w:rFonts w:hint="eastAsia" w:ascii="宋体" w:hAnsi="宋体" w:cs="宋体"/>
                <w:color w:val="auto"/>
                <w:sz w:val="20"/>
                <w:szCs w:val="20"/>
                <w:lang w:val="en-US" w:eastAsia="zh-CN"/>
              </w:rPr>
              <w:t>资全部安排具体项目，正在推进实施</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成本指标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扶持标准</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按标准执行</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经济效益指标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确保扶持村年集体经营性收入持续达到</w:t>
            </w:r>
            <w:r>
              <w:rPr>
                <w:rFonts w:hint="eastAsia" w:ascii="宋体" w:hAnsi="宋体" w:eastAsia="宋体" w:cs="宋体"/>
                <w:color w:val="auto"/>
                <w:kern w:val="0"/>
                <w:sz w:val="20"/>
                <w:szCs w:val="20"/>
                <w:lang w:val="en-US" w:eastAsia="zh-CN" w:bidi="ar"/>
              </w:rPr>
              <w:t>10万元以上</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lang w:val="en-US" w:eastAsia="zh-CN"/>
              </w:rPr>
              <w:t>10万元以上</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cs="宋体"/>
                <w:color w:val="auto"/>
                <w:sz w:val="20"/>
                <w:szCs w:val="20"/>
                <w:lang w:val="en-US" w:eastAsia="zh-CN"/>
              </w:rPr>
              <w:t>2022年全区197个集体经济薄弱村</w:t>
            </w:r>
            <w:r>
              <w:rPr>
                <w:rFonts w:hint="eastAsia" w:ascii="宋体" w:hAnsi="宋体" w:eastAsia="宋体" w:cs="宋体"/>
                <w:color w:val="auto"/>
                <w:kern w:val="0"/>
                <w:sz w:val="20"/>
                <w:szCs w:val="20"/>
                <w:lang w:eastAsia="zh-CN" w:bidi="ar"/>
              </w:rPr>
              <w:t>年集体经营性收入全部达到</w:t>
            </w:r>
            <w:r>
              <w:rPr>
                <w:rFonts w:hint="eastAsia" w:ascii="宋体" w:hAnsi="宋体" w:eastAsia="宋体" w:cs="宋体"/>
                <w:color w:val="auto"/>
                <w:kern w:val="0"/>
                <w:sz w:val="20"/>
                <w:szCs w:val="20"/>
                <w:lang w:val="en-US" w:eastAsia="zh-CN" w:bidi="ar"/>
              </w:rPr>
              <w:t>10万元以上</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进一步增强村级自我保障和服务群众能力，提升农村基层党组织的组织力</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生态效益指标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符项目合生态保护等相关要求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可持续影响指标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符项目合生态保护等相关要求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满意度指标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服务对象满意度指标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村集体、农民满意度</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项目未全部实施完工</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162"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总分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100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87.3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说明</w:t>
            </w:r>
          </w:p>
        </w:tc>
        <w:tc>
          <w:tcPr>
            <w:tcW w:w="7792"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请在此处简要说明</w:t>
            </w:r>
            <w:r>
              <w:rPr>
                <w:rFonts w:hint="eastAsia" w:ascii="宋体" w:hAnsi="宋体" w:cs="宋体"/>
                <w:i w:val="0"/>
                <w:color w:val="auto"/>
                <w:kern w:val="0"/>
                <w:sz w:val="20"/>
                <w:szCs w:val="20"/>
                <w:u w:val="none"/>
                <w:lang w:val="en-US" w:eastAsia="zh-CN" w:bidi="ar"/>
              </w:rPr>
              <w:t>巡视、审计和财会监督中</w:t>
            </w:r>
            <w:r>
              <w:rPr>
                <w:rFonts w:hint="eastAsia" w:ascii="宋体" w:hAnsi="宋体" w:eastAsia="宋体" w:cs="宋体"/>
                <w:i w:val="0"/>
                <w:color w:val="auto"/>
                <w:kern w:val="0"/>
                <w:sz w:val="20"/>
                <w:szCs w:val="20"/>
                <w:u w:val="none"/>
                <w:lang w:val="en-US" w:eastAsia="zh-CN" w:bidi="ar"/>
              </w:rPr>
              <w:t>发现的问题及其所涉及的金额，如没有请填无</w:t>
            </w:r>
            <w:r>
              <w:rPr>
                <w:rStyle w:val="31"/>
                <w:color w:val="auto"/>
                <w:lang w:val="en-US" w:eastAsia="zh-CN" w:bidi="ar"/>
              </w:rPr>
              <w:t>。</w:t>
            </w:r>
          </w:p>
        </w:tc>
      </w:tr>
    </w:tbl>
    <w:p>
      <w:pPr>
        <w:pStyle w:val="13"/>
        <w:ind w:left="0" w:leftChars="0" w:firstLine="0" w:firstLineChars="0"/>
        <w:rPr>
          <w:rFonts w:hint="default" w:eastAsia="仿宋_GB2312"/>
          <w:color w:val="auto"/>
          <w:lang w:val="en-US" w:eastAsia="zh-CN"/>
        </w:rPr>
      </w:pPr>
    </w:p>
    <w:p>
      <w:pPr>
        <w:pStyle w:val="28"/>
        <w:keepNext/>
        <w:keepLines/>
        <w:adjustRightInd w:val="0"/>
        <w:snapToGrid w:val="0"/>
        <w:spacing w:after="0" w:line="540" w:lineRule="exact"/>
        <w:jc w:val="both"/>
        <w:rPr>
          <w:rFonts w:ascii="方正小标宋简体" w:eastAsia="方正小标宋简体"/>
          <w:color w:val="auto"/>
          <w:sz w:val="36"/>
          <w:szCs w:val="36"/>
        </w:rPr>
      </w:pPr>
      <w:r>
        <w:rPr>
          <w:rFonts w:hint="eastAsia" w:ascii="方正小标宋简体" w:eastAsia="方正小标宋简体"/>
          <w:color w:val="auto"/>
          <w:sz w:val="36"/>
          <w:szCs w:val="36"/>
          <w:lang w:val="en-US" w:eastAsia="zh-CN"/>
        </w:rPr>
        <w:t>D:2022年</w:t>
      </w:r>
      <w:r>
        <w:rPr>
          <w:rFonts w:hint="eastAsia" w:ascii="方正小标宋简体" w:eastAsia="方正小标宋简体"/>
          <w:color w:val="auto"/>
          <w:sz w:val="36"/>
          <w:szCs w:val="36"/>
        </w:rPr>
        <w:t>农业农村改革发展资金</w:t>
      </w:r>
    </w:p>
    <w:p>
      <w:pPr>
        <w:pStyle w:val="30"/>
        <w:tabs>
          <w:tab w:val="left" w:pos="2187"/>
        </w:tabs>
        <w:adjustRightInd w:val="0"/>
        <w:snapToGrid w:val="0"/>
        <w:spacing w:line="540" w:lineRule="exact"/>
        <w:ind w:left="0" w:firstLine="643" w:firstLineChars="200"/>
        <w:jc w:val="both"/>
        <w:rPr>
          <w:rFonts w:ascii="仿宋_GB2312" w:eastAsia="仿宋_GB2312"/>
          <w:b/>
          <w:color w:val="auto"/>
        </w:rPr>
      </w:pPr>
      <w:r>
        <w:rPr>
          <w:rFonts w:hint="eastAsia" w:ascii="仿宋_GB2312" w:eastAsia="仿宋_GB2312"/>
          <w:b/>
          <w:color w:val="auto"/>
          <w:lang w:eastAsia="zh-CN"/>
        </w:rPr>
        <w:t>一、</w:t>
      </w:r>
      <w:r>
        <w:rPr>
          <w:rFonts w:hint="eastAsia" w:ascii="仿宋_GB2312" w:eastAsia="仿宋_GB2312"/>
          <w:b/>
          <w:color w:val="auto"/>
        </w:rPr>
        <w:t>绩效目标分解下达情况</w:t>
      </w:r>
    </w:p>
    <w:p>
      <w:pPr>
        <w:pStyle w:val="29"/>
        <w:tabs>
          <w:tab w:val="left" w:pos="2520"/>
        </w:tabs>
        <w:adjustRightInd w:val="0"/>
        <w:snapToGrid w:val="0"/>
        <w:spacing w:line="540" w:lineRule="exact"/>
        <w:ind w:left="0" w:firstLineChars="200"/>
        <w:jc w:val="both"/>
        <w:rPr>
          <w:rFonts w:hint="default" w:ascii="仿宋_GB2312" w:hAnsi="Times New Roman" w:eastAsia="仿宋_GB2312" w:cs="Times New Roman"/>
          <w:b/>
          <w:bCs/>
          <w:color w:val="auto"/>
          <w:kern w:val="0"/>
          <w:sz w:val="32"/>
          <w:szCs w:val="32"/>
          <w:highlight w:val="none"/>
          <w:lang w:val="en-US" w:eastAsia="zh-CN" w:bidi="en-US"/>
        </w:rPr>
      </w:pPr>
      <w:r>
        <w:rPr>
          <w:rFonts w:hint="eastAsia" w:ascii="仿宋_GB2312" w:hAnsi="Times New Roman" w:eastAsia="仿宋_GB2312" w:cs="Times New Roman"/>
          <w:color w:val="auto"/>
          <w:kern w:val="0"/>
          <w:sz w:val="32"/>
          <w:szCs w:val="32"/>
          <w:highlight w:val="none"/>
          <w:lang w:val="en-US" w:eastAsia="zh-CN" w:bidi="en-US"/>
        </w:rPr>
        <w:t>资金从2022农业农村改革发展资金预算资金列支，用于密云农业农村改革发展项目。</w:t>
      </w:r>
      <w:r>
        <w:rPr>
          <w:rFonts w:hint="eastAsia" w:ascii="仿宋_GB2312" w:hAnsi="仿宋_GB2312" w:eastAsia="仿宋_GB2312" w:cs="仿宋_GB2312"/>
          <w:color w:val="auto"/>
          <w:sz w:val="30"/>
          <w:szCs w:val="30"/>
          <w:highlight w:val="none"/>
          <w:lang w:eastAsia="zh-CN"/>
        </w:rPr>
        <w:t>密云</w:t>
      </w:r>
      <w:r>
        <w:rPr>
          <w:rFonts w:hint="eastAsia" w:ascii="仿宋_GB2312" w:eastAsia="仿宋_GB2312"/>
          <w:color w:val="auto"/>
          <w:sz w:val="32"/>
          <w:szCs w:val="32"/>
          <w:highlight w:val="none"/>
        </w:rPr>
        <w:t>区</w:t>
      </w:r>
      <w:r>
        <w:rPr>
          <w:rFonts w:hint="eastAsia" w:ascii="仿宋_GB2312" w:eastAsia="仿宋_GB2312"/>
          <w:color w:val="auto"/>
          <w:sz w:val="32"/>
          <w:szCs w:val="32"/>
          <w:highlight w:val="none"/>
          <w:lang w:eastAsia="zh-CN"/>
        </w:rPr>
        <w:t>按照下达任务</w:t>
      </w:r>
      <w:r>
        <w:rPr>
          <w:rFonts w:hint="eastAsia" w:ascii="仿宋_GB2312" w:eastAsia="仿宋_GB2312"/>
          <w:color w:val="auto"/>
          <w:sz w:val="32"/>
          <w:szCs w:val="32"/>
          <w:highlight w:val="none"/>
        </w:rPr>
        <w:t>资金安排。</w:t>
      </w:r>
      <w:r>
        <w:rPr>
          <w:rFonts w:hint="eastAsia" w:ascii="仿宋_GB2312" w:eastAsia="仿宋_GB2312"/>
          <w:color w:val="auto"/>
          <w:sz w:val="32"/>
          <w:szCs w:val="32"/>
          <w:highlight w:val="none"/>
          <w:lang w:eastAsia="zh-CN"/>
        </w:rPr>
        <w:t>共安排项目</w:t>
      </w:r>
      <w:r>
        <w:rPr>
          <w:rFonts w:hint="eastAsia" w:ascii="仿宋_GB2312" w:eastAsia="仿宋_GB2312"/>
          <w:color w:val="auto"/>
          <w:sz w:val="32"/>
          <w:szCs w:val="32"/>
          <w:highlight w:val="none"/>
          <w:lang w:val="en-US" w:eastAsia="zh-CN"/>
        </w:rPr>
        <w:t>15个，分别为密云区乡村振兴发展大会项目，2023年中国农民丰收节密云庆祝活动项目，西红柿营销体系建设项目，柔性日光温室喷涂防火涂料费项目，现代农业示范区评估资料编制项目，石匣甘薯产业设备购置项目，密云区番茄“一虫两病”监测与防控技术研究应用项目，重大动物疫病防控项目，农产品质量安全检测项目，农产品及其投入品质量安全检测、抽样项目，农业综合执法装备购置项目，农业机械技能与安全培训项目，2022年耕地土壤质量等级评定与变动表项目，东邵渠镇生态环境保护中心购买设备项目，密云区农村住宅建筑风貌指导图集编制项目。</w:t>
      </w:r>
    </w:p>
    <w:p>
      <w:pPr>
        <w:spacing w:line="600" w:lineRule="exac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E:项目</w:t>
      </w:r>
      <w:r>
        <w:rPr>
          <w:rFonts w:ascii="仿宋_GB2312" w:hAnsi="宋体" w:eastAsia="仿宋_GB2312" w:cs="宋体"/>
          <w:color w:val="auto"/>
          <w:kern w:val="0"/>
          <w:sz w:val="32"/>
          <w:szCs w:val="32"/>
        </w:rPr>
        <w:t>资金总体</w:t>
      </w:r>
      <w:r>
        <w:rPr>
          <w:rFonts w:hint="eastAsia" w:ascii="仿宋_GB2312" w:hAnsi="宋体" w:eastAsia="仿宋_GB2312" w:cs="宋体"/>
          <w:color w:val="auto"/>
          <w:kern w:val="0"/>
          <w:sz w:val="32"/>
          <w:szCs w:val="32"/>
        </w:rPr>
        <w:t>支出52288</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8</w:t>
      </w:r>
      <w:r>
        <w:rPr>
          <w:rFonts w:hint="eastAsia" w:ascii="仿宋_GB2312" w:hAnsi="宋体" w:eastAsia="仿宋_GB2312" w:cs="宋体"/>
          <w:color w:val="auto"/>
          <w:kern w:val="0"/>
          <w:sz w:val="32"/>
          <w:szCs w:val="32"/>
          <w:lang w:val="en-US" w:eastAsia="zh-CN"/>
        </w:rPr>
        <w:t>7</w:t>
      </w:r>
      <w:r>
        <w:rPr>
          <w:rFonts w:ascii="仿宋_GB2312" w:hAnsi="宋体" w:eastAsia="仿宋_GB2312" w:cs="宋体"/>
          <w:color w:val="auto"/>
          <w:kern w:val="0"/>
          <w:sz w:val="32"/>
          <w:szCs w:val="32"/>
        </w:rPr>
        <w:t>万元，其中，基本支出</w:t>
      </w:r>
      <w:r>
        <w:rPr>
          <w:rFonts w:hint="eastAsia" w:ascii="仿宋_GB2312" w:hAnsi="宋体" w:eastAsia="仿宋_GB2312" w:cs="宋体"/>
          <w:color w:val="auto"/>
          <w:kern w:val="0"/>
          <w:sz w:val="32"/>
          <w:szCs w:val="32"/>
        </w:rPr>
        <w:t>4179</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93</w:t>
      </w:r>
      <w:r>
        <w:rPr>
          <w:rFonts w:ascii="仿宋_GB2312" w:hAnsi="宋体" w:eastAsia="仿宋_GB2312" w:cs="宋体"/>
          <w:color w:val="auto"/>
          <w:kern w:val="0"/>
          <w:sz w:val="32"/>
          <w:szCs w:val="32"/>
        </w:rPr>
        <w:t>万元，项目</w:t>
      </w:r>
      <w:r>
        <w:rPr>
          <w:rFonts w:hint="eastAsia" w:ascii="仿宋_GB2312" w:hAnsi="宋体" w:eastAsia="仿宋_GB2312" w:cs="宋体"/>
          <w:color w:val="auto"/>
          <w:kern w:val="0"/>
          <w:sz w:val="32"/>
          <w:szCs w:val="32"/>
        </w:rPr>
        <w:t>支出48108</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9</w:t>
      </w:r>
      <w:r>
        <w:rPr>
          <w:rFonts w:hint="eastAsia" w:ascii="仿宋_GB2312" w:hAnsi="宋体" w:eastAsia="仿宋_GB2312" w:cs="宋体"/>
          <w:color w:val="auto"/>
          <w:kern w:val="0"/>
          <w:sz w:val="32"/>
          <w:szCs w:val="32"/>
          <w:lang w:val="en-US" w:eastAsia="zh-CN"/>
        </w:rPr>
        <w:t>4</w:t>
      </w:r>
      <w:r>
        <w:rPr>
          <w:rFonts w:ascii="仿宋_GB2312" w:hAnsi="宋体" w:eastAsia="仿宋_GB2312" w:cs="宋体"/>
          <w:color w:val="auto"/>
          <w:kern w:val="0"/>
          <w:sz w:val="32"/>
          <w:szCs w:val="32"/>
        </w:rPr>
        <w:t>万元，其他支出</w:t>
      </w:r>
      <w:r>
        <w:rPr>
          <w:rFonts w:hint="eastAsia" w:ascii="仿宋_GB2312" w:hAnsi="宋体" w:eastAsia="仿宋_GB2312" w:cs="宋体"/>
          <w:color w:val="auto"/>
          <w:kern w:val="0"/>
          <w:sz w:val="32"/>
          <w:szCs w:val="32"/>
          <w:lang w:val="en-US" w:eastAsia="zh-CN"/>
        </w:rPr>
        <w:t>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rPr>
        <w:t>预算</w:t>
      </w:r>
      <w:r>
        <w:rPr>
          <w:rFonts w:ascii="仿宋_GB2312" w:hAnsi="宋体" w:eastAsia="仿宋_GB2312" w:cs="宋体"/>
          <w:color w:val="auto"/>
          <w:kern w:val="0"/>
          <w:sz w:val="32"/>
          <w:szCs w:val="32"/>
        </w:rPr>
        <w:t>执行率为</w:t>
      </w:r>
      <w:r>
        <w:rPr>
          <w:rFonts w:hint="eastAsia" w:ascii="仿宋_GB2312" w:hAnsi="宋体" w:eastAsia="仿宋_GB2312" w:cs="宋体"/>
          <w:color w:val="auto"/>
          <w:kern w:val="0"/>
          <w:sz w:val="32"/>
          <w:szCs w:val="32"/>
          <w:lang w:val="en-US" w:eastAsia="zh-CN"/>
        </w:rPr>
        <w:t>129.66%</w:t>
      </w:r>
      <w:r>
        <w:rPr>
          <w:rFonts w:hint="eastAsia" w:ascii="仿宋_GB2312" w:hAnsi="宋体" w:eastAsia="仿宋_GB2312" w:cs="宋体"/>
          <w:color w:val="auto"/>
          <w:kern w:val="0"/>
          <w:sz w:val="32"/>
          <w:szCs w:val="32"/>
        </w:rPr>
        <w:t>。</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二  </w:t>
      </w:r>
      <w:r>
        <w:rPr>
          <w:rFonts w:hint="eastAsia" w:ascii="楷体_GB2312" w:hAnsi="楷体_GB2312" w:eastAsia="楷体_GB2312" w:cs="楷体_GB2312"/>
          <w:color w:val="auto"/>
          <w:sz w:val="32"/>
          <w:szCs w:val="32"/>
        </w:rPr>
        <w:t>绩效评价原则、评价指标体系（附表说明）、评价方法、评价标准等。</w:t>
      </w:r>
    </w:p>
    <w:p>
      <w:pPr>
        <w:pStyle w:val="4"/>
        <w:pageBreakBefore w:val="0"/>
        <w:kinsoku/>
        <w:wordWrap/>
        <w:overflowPunct/>
        <w:topLinePunct w:val="0"/>
        <w:autoSpaceDE/>
        <w:autoSpaceDN/>
        <w:bidi w:val="0"/>
        <w:adjustRightInd/>
        <w:snapToGrid/>
        <w:spacing w:before="0" w:after="0" w:line="560" w:lineRule="exact"/>
        <w:jc w:val="center"/>
        <w:textAlignment w:val="auto"/>
        <w:rPr>
          <w:rFonts w:hint="eastAsia" w:ascii="仿宋_GB2312" w:eastAsia="仿宋_GB2312"/>
          <w:b w:val="0"/>
          <w:bCs/>
          <w:color w:val="auto"/>
          <w:szCs w:val="32"/>
        </w:rPr>
      </w:pPr>
      <w:r>
        <w:rPr>
          <w:rFonts w:hint="eastAsia" w:ascii="方正小标宋简体" w:hAnsi="黑体" w:eastAsia="方正小标宋简体" w:cs="宋体"/>
          <w:b w:val="0"/>
          <w:bCs/>
          <w:color w:val="auto"/>
          <w:sz w:val="36"/>
          <w:szCs w:val="36"/>
        </w:rPr>
        <w:t>项目支出绩效评价指标体系框架</w:t>
      </w:r>
    </w:p>
    <w:tbl>
      <w:tblPr>
        <w:tblStyle w:val="1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909"/>
        <w:gridCol w:w="1701"/>
        <w:gridCol w:w="2789"/>
        <w:gridCol w:w="73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2" w:hRule="atLeast"/>
          <w:tblHeader/>
          <w:jc w:val="center"/>
        </w:trPr>
        <w:tc>
          <w:tcPr>
            <w:tcW w:w="86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一级指标</w:t>
            </w: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二级指标</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三级指标</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指标解释</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88" w:hRule="atLeast"/>
          <w:jc w:val="center"/>
        </w:trPr>
        <w:tc>
          <w:tcPr>
            <w:tcW w:w="861"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决策　</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909"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项目立项　</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立项依据</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充分性</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项目立项是否符合法律法规、相关政策、发展规划以及部门职责，用以反映和考核项目立项依据情况。</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①项目立项是否符合国家法律法规、国民经济发展规划和相关政策；</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②项目立项是否符合行业发展规划和政策要求；</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③项目立项是否与部门职责范围相符，属于部门履职所需；</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④项目是否属于公共财政支持范围，是否符合中央、地方事权支出责任划分原则；</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71" w:hRule="atLeast"/>
          <w:jc w:val="center"/>
        </w:trPr>
        <w:tc>
          <w:tcPr>
            <w:tcW w:w="861"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立项程序</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规范性</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项目申请、设立过程是否符合相关要求，用以反映和考核项目立项的规范情况。</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①项目是否按照规定的程序申请设立；</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②审批文件、材料是否符合相关要求；</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绩效目标　</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绩效目标</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合理性</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项目所设定的绩效目标是否依据充分，是否符合客观实际，用以反映和考核项目绩效目标与项目实施的相符情况。</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（如未设定预算绩效目标，也可考核其他工作任务目标）</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①项目是否有绩效目标；</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②项目绩效目标与实际工作内容是否具有相关性；</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③项目预期产出效益和效果是否符合正常的业绩水平；</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决策　</w:t>
            </w: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绩效目标</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绩效指标</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明确性</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依据绩效目标设定的绩效指标是否清晰、细化、可衡量等，用以反映和考核项目绩效目标的明细化情况。</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①是否将项目绩效目标细化分解为具体的绩效指标；</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②是否通过清晰、可衡量的指标值予以体现；</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③是否与项目目标任务数或计划数相对应。</w:t>
            </w:r>
            <w:r>
              <w:rPr>
                <w:rFonts w:hint="eastAsia" w:ascii="仿宋_GB2312" w:hAnsi="宋体" w:eastAsia="仿宋_GB2312" w:cs="宋体"/>
                <w:color w:val="auto"/>
                <w:kern w:val="0"/>
                <w:sz w:val="24"/>
              </w:rPr>
              <w:br w:type="textWrapping"/>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资金投入</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预算编制</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科学性</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项目预算编制是否经过科学论证、有明确标准，资金额度与年度目标是否相适应，用以反映和考核项目预算编制的科学性、合理性情况。</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①预算编制是否经过科学论证；</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②预算内容与项目内容是否匹配；</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③预算额度测算依据是否充分，是否按照标准编制；</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资金分配</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合理性</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项目预算资金分配是否有测算依据，与补助单位或地方实际是否相适应，用以反映和考核项目预算资金分配的科学性、合理性情况。</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①预算资金分配依据是否充分；</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36" w:hRule="atLeast"/>
          <w:jc w:val="center"/>
        </w:trPr>
        <w:tc>
          <w:tcPr>
            <w:tcW w:w="861" w:type="dxa"/>
            <w:vMerge w:val="restart"/>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过程</w:t>
            </w:r>
          </w:p>
        </w:tc>
        <w:tc>
          <w:tcPr>
            <w:tcW w:w="909"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资金管理</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资金到位率</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实际到位资金与预算资金的比率，用以反映和考核资金落实情况对项目实施的总体保障程度。</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资金到位率=（实际到位资金/预算资金）×100%。</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实际到位资金：一定时期（本年度或项目期）内落实到具体项目的资金。</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9" w:hRule="atLeast"/>
          <w:jc w:val="center"/>
        </w:trPr>
        <w:tc>
          <w:tcPr>
            <w:tcW w:w="861"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预算执行率</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项目预算资金是否按照计划执行，用以反映或考核项目预算执行情况。</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预算执行率=（实际支出资金/实际到位资金）×100%。</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4" w:hRule="atLeast"/>
          <w:jc w:val="center"/>
        </w:trPr>
        <w:tc>
          <w:tcPr>
            <w:tcW w:w="861"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过程　</w:t>
            </w: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资金管理</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资金使用</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合规性</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项目资金使用是否符合相关的财务管理制度规定，用以反映和考核项目资金的规范运行情况。</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①是否符合国家财经法规和财务管理制度以及有关专项资金管理办法的规定；</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②资金的拨付是否有完整的审批程序和手续；</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③是否符合项目预算批复或合同规定的用途；</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7" w:hRule="atLeast"/>
          <w:jc w:val="center"/>
        </w:trPr>
        <w:tc>
          <w:tcPr>
            <w:tcW w:w="861"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组织实施</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管理制度</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健全性</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项目实施单位的财务和业务管理制度是否健全，用以反映和考核财务和业务管理制度对项目顺利实施的保障情况。</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①是否已制定或具有相应的财务和业务管理制度；</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9" w:hRule="atLeast"/>
          <w:jc w:val="center"/>
        </w:trPr>
        <w:tc>
          <w:tcPr>
            <w:tcW w:w="861"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制度执行</w:t>
            </w:r>
          </w:p>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有效性</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项目实施是否符合相关管理规定，用以反映和考核相关管理制度的有效执行情况。</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评价要点：</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①是否遵守相关法律法规和相关管理规定；</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②项目调整及支出调整手续是否完备；</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③项目合同书、验收报告、技术鉴定等资料是否齐全并及时归档；</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97" w:hRule="atLeast"/>
          <w:jc w:val="center"/>
        </w:trPr>
        <w:tc>
          <w:tcPr>
            <w:tcW w:w="86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产出</w:t>
            </w: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产出数量</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实际完成率</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项目实施的实际产出数与计划产出数的比率，用以反映和考核项目产出数量目标的实现程度。</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实际完成率=（实际产出数/计划产出数）×100%。</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实际产出数：一定时期（本年度或项目期）内项目实际产出的产品或提供的服务数量。</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产出</w:t>
            </w: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产出质量</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质量达标率</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项目完成的质量达标产出数与实际产出数的比率，用以反映和考核项目产出质量目标的实现程度。</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质量达标率=（质量达标产出数/实际产出数）×100%。</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39" w:hRule="atLeast"/>
          <w:jc w:val="center"/>
        </w:trPr>
        <w:tc>
          <w:tcPr>
            <w:tcW w:w="861" w:type="dxa"/>
            <w:vMerge w:val="continue"/>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shd w:val="clear" w:color="auto" w:fill="FFFFFF"/>
            <w:noWrap w:val="0"/>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产出时效</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完成及时性</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项目实际完成时间与计划完成时间的比较，用以反映和考核项目产出时效目标的实现程度。</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实际完成时间：项目实施单位完成该项目实际所耗用的时间。</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7" w:hRule="atLeast"/>
          <w:jc w:val="center"/>
        </w:trPr>
        <w:tc>
          <w:tcPr>
            <w:tcW w:w="861"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产出成本</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成本节约率</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完成项目计划工作目标的实际节约成本与计划成本的比率，用以反映和考核项目的成本节约程度。</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成本节约率=[（计划成本-实际成本）/计划成本]×100%。</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实际成本：项目实施单位如期、保质、保量完成既定工作目标实际所耗费的支出。</w:t>
            </w:r>
            <w:r>
              <w:rPr>
                <w:rFonts w:hint="eastAsia" w:ascii="仿宋_GB2312" w:hAnsi="宋体" w:eastAsia="仿宋_GB2312" w:cs="宋体"/>
                <w:color w:val="auto"/>
                <w:kern w:val="0"/>
                <w:sz w:val="24"/>
              </w:rPr>
              <w:br w:type="textWrapping"/>
            </w:r>
            <w:r>
              <w:rPr>
                <w:rFonts w:hint="eastAsia" w:ascii="仿宋_GB2312" w:hAnsi="宋体" w:eastAsia="仿宋_GB2312" w:cs="宋体"/>
                <w:color w:val="auto"/>
                <w:kern w:val="0"/>
                <w:sz w:val="24"/>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6" w:hRule="atLeast"/>
          <w:jc w:val="center"/>
        </w:trPr>
        <w:tc>
          <w:tcPr>
            <w:tcW w:w="861"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效益　</w:t>
            </w:r>
          </w:p>
        </w:tc>
        <w:tc>
          <w:tcPr>
            <w:tcW w:w="909" w:type="dxa"/>
            <w:vMerge w:val="restart"/>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项目效益　</w:t>
            </w: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实施效益</w:t>
            </w:r>
          </w:p>
        </w:tc>
        <w:tc>
          <w:tcPr>
            <w:tcW w:w="2789"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项目实施所产生的效益。</w:t>
            </w:r>
          </w:p>
        </w:tc>
        <w:tc>
          <w:tcPr>
            <w:tcW w:w="734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8" w:hRule="atLeast"/>
          <w:jc w:val="center"/>
        </w:trPr>
        <w:tc>
          <w:tcPr>
            <w:tcW w:w="861"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909" w:type="dxa"/>
            <w:vMerge w:val="continue"/>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p>
        </w:tc>
        <w:tc>
          <w:tcPr>
            <w:tcW w:w="1701" w:type="dxa"/>
            <w:shd w:val="clear" w:color="auto" w:fill="FFFFFF"/>
            <w:noWrap w:val="0"/>
            <w:vAlign w:val="center"/>
          </w:tcPr>
          <w:p>
            <w:pPr>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满意度</w:t>
            </w:r>
          </w:p>
        </w:tc>
        <w:tc>
          <w:tcPr>
            <w:tcW w:w="2789"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社会公众或服务对象对项目实施效果的满意程度。</w:t>
            </w:r>
          </w:p>
        </w:tc>
        <w:tc>
          <w:tcPr>
            <w:tcW w:w="7341" w:type="dxa"/>
            <w:shd w:val="clear" w:color="000000" w:fill="FFFFFF"/>
            <w:noWrap w:val="0"/>
            <w:vAlign w:val="center"/>
          </w:tcPr>
          <w:p>
            <w:pPr>
              <w:pageBreakBefore w:val="0"/>
              <w:widowControl/>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社会公众或服务对象是指因该项目实施而受到影响的部门（单位）、群体或个人。一般采取社会调查的方式。</w:t>
            </w:r>
          </w:p>
        </w:tc>
      </w:tr>
    </w:tbl>
    <w:p>
      <w:pPr>
        <w:pageBreakBefore w:val="0"/>
        <w:kinsoku/>
        <w:wordWrap/>
        <w:overflowPunct/>
        <w:topLinePunct w:val="0"/>
        <w:autoSpaceDE/>
        <w:autoSpaceDN/>
        <w:bidi w:val="0"/>
        <w:adjustRightInd/>
        <w:snapToGrid/>
        <w:spacing w:line="560" w:lineRule="exact"/>
        <w:textAlignment w:val="auto"/>
        <w:rPr>
          <w:rFonts w:hint="eastAsia" w:ascii="仿宋_GB2312" w:eastAsia="仿宋_GB2312"/>
          <w:bCs/>
          <w:color w:val="auto"/>
          <w:sz w:val="32"/>
          <w:szCs w:val="32"/>
        </w:rPr>
        <w:sectPr>
          <w:pgSz w:w="16838" w:h="11906" w:orient="landscape"/>
          <w:pgMar w:top="1871" w:right="1474" w:bottom="1417" w:left="1531" w:header="737" w:footer="851" w:gutter="0"/>
          <w:pgNumType w:fmt="numberInDash"/>
          <w:cols w:space="720" w:num="1"/>
          <w:docGrid w:type="lines" w:linePitch="408" w:charSpace="0"/>
        </w:sect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评价方法说明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一、单位自评的方法</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单位自评指标是指预算批复时确定的绩效指标，包括项目的产出数量、质量、时效、成本，以及经济效益、社会效益、生态效益、可持续影响、服务对象满意度等。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评表》采取评分的形式，满分为100分。单位自评指标的权重由各单位根据项目实际情况确定。原则上预算执行率和一级指标权重统一设置为：预算执行率10%、产出指标50%、效益指标30%、服务对象满意度指标10%。如有特殊情况，一级指标权重可做适当调整。二、三级指标应当根据指标重要程度、项目实施阶段等因素综合确定，准确反映项目的产出和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自评采用定量和定性评价相结合的比较法,总分由各项指标得分汇总形成。定量指标得分按照以下方法评定：与年初指标值相比，完成指标值的，记该指标所赋全部分值；如果是由于年初指标值设定明显偏低造成的，要按照偏离度适度调减分值；未完成指标值的，按照完成值在指标值中所占比例记分。定性指标得分按照以下方法评定：根据指标完成情况分为达成年度指标、部分达成年度指标且有一定效果、未达成年度指标且效果较差3档，分别按照该指标对应分值区间100%-80%（含80%）、80-60%（含60%）、60%-0%合理确定分值。</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二、部门评价的方法</w:t>
      </w:r>
    </w:p>
    <w:p>
      <w:pPr>
        <w:pStyle w:val="33"/>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按照《北京市密云区项目支出绩效评价管理办法》（密财发〔2021〕30号）的要求，结合本部门、本单位的实际情况撰写部门评价报告。</w:t>
      </w:r>
    </w:p>
    <w:p>
      <w:pPr>
        <w:pStyle w:val="33"/>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评价指标的确定应当符合以下要求（见附件4）：与评价对象密切相关，全面反映项目决策、项目和资金管理、产出和效益；优先选取最具代表性、最能直接反映产出和效益的核心指标；指标内涵应当明确、具体、可衡量，数据及佐证资料应当可采集、可获得；同类项目绩效评价指标和标准应具有一致性，便于评价结果的比较。</w:t>
      </w:r>
    </w:p>
    <w:p>
      <w:pPr>
        <w:pStyle w:val="33"/>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评价指标的权重应根据各项指标在评价体系中的重要程度确定，应当突出结果导向，原则上项目决策权重占10%，项目管理权重占20%，项目产出权重占40%，项目效益权重占30%。根据项目实际特点，一级指标权重可做适当调整，产出、效益指标权重不低于60%。二、三级指标应当根据指标重要程度、项目实施阶段等因素综合确定，准确反映项目的产出和效益，加强对成本指标的考核。同一评价对象处于不同实施阶段时，指标权重应体现差异性，其中，实施期间的评价更注重决策、过程和产出，实施期结束后的评价更注重产出和效益。</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单位和部门应切实加强自评结果的整理、分析，将自评结果作为本部门、本单位完善政策和改进管理的重要依据。对预算执行率偏低、偏离绩效目标较大、自评结果较差的项目，要单独说明原因，提出整改措施。</w:t>
      </w:r>
    </w:p>
    <w:p>
      <w:pPr>
        <w:spacing w:line="560" w:lineRule="exact"/>
        <w:ind w:firstLine="640" w:firstLineChars="200"/>
        <w:rPr>
          <w:rFonts w:hint="eastAsia" w:ascii="仿宋_GB2312" w:eastAsia="仿宋_GB2312"/>
          <w:b w:val="0"/>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绩效评价工作过程。</w:t>
      </w:r>
      <w:r>
        <w:rPr>
          <w:rFonts w:hint="eastAsia" w:ascii="仿宋_GB2312" w:eastAsia="仿宋_GB2312"/>
          <w:b w:val="0"/>
          <w:color w:val="auto"/>
          <w:sz w:val="32"/>
          <w:szCs w:val="32"/>
        </w:rPr>
        <w:t>根据《北京市</w:t>
      </w:r>
      <w:r>
        <w:rPr>
          <w:rFonts w:hint="eastAsia" w:ascii="仿宋_GB2312" w:eastAsia="仿宋_GB2312"/>
          <w:b w:val="0"/>
          <w:color w:val="auto"/>
          <w:sz w:val="32"/>
          <w:szCs w:val="32"/>
          <w:lang w:eastAsia="zh-CN"/>
        </w:rPr>
        <w:t>密云</w:t>
      </w:r>
      <w:r>
        <w:rPr>
          <w:rFonts w:hint="eastAsia" w:ascii="仿宋_GB2312" w:eastAsia="仿宋_GB2312"/>
          <w:b w:val="0"/>
          <w:color w:val="auto"/>
          <w:sz w:val="32"/>
          <w:szCs w:val="32"/>
        </w:rPr>
        <w:t>区</w:t>
      </w:r>
      <w:r>
        <w:rPr>
          <w:rFonts w:hint="eastAsia" w:ascii="仿宋_GB2312" w:eastAsia="仿宋_GB2312"/>
          <w:b w:val="0"/>
          <w:color w:val="auto"/>
          <w:sz w:val="32"/>
          <w:szCs w:val="32"/>
          <w:lang w:eastAsia="zh-CN"/>
        </w:rPr>
        <w:t>财政局关于开展部门</w:t>
      </w:r>
      <w:r>
        <w:rPr>
          <w:rFonts w:hint="eastAsia" w:ascii="仿宋_GB2312" w:eastAsia="仿宋_GB2312"/>
          <w:b w:val="0"/>
          <w:color w:val="auto"/>
          <w:sz w:val="32"/>
          <w:szCs w:val="32"/>
        </w:rPr>
        <w:t>预算绩效</w:t>
      </w:r>
      <w:r>
        <w:rPr>
          <w:rFonts w:hint="eastAsia" w:ascii="仿宋_GB2312" w:eastAsia="仿宋_GB2312"/>
          <w:b w:val="0"/>
          <w:color w:val="auto"/>
          <w:sz w:val="32"/>
          <w:szCs w:val="32"/>
          <w:lang w:eastAsia="zh-CN"/>
        </w:rPr>
        <w:t>运行监控工作的通知</w:t>
      </w:r>
      <w:r>
        <w:rPr>
          <w:rFonts w:hint="eastAsia" w:ascii="仿宋_GB2312" w:eastAsia="仿宋_GB2312"/>
          <w:b w:val="0"/>
          <w:color w:val="auto"/>
          <w:sz w:val="32"/>
          <w:szCs w:val="32"/>
        </w:rPr>
        <w:t>》要求，成立</w:t>
      </w:r>
      <w:r>
        <w:rPr>
          <w:rFonts w:hint="eastAsia" w:ascii="仿宋_GB2312" w:eastAsia="仿宋_GB2312"/>
          <w:b w:val="0"/>
          <w:color w:val="auto"/>
          <w:sz w:val="32"/>
          <w:szCs w:val="32"/>
          <w:lang w:eastAsia="zh-CN"/>
        </w:rPr>
        <w:t>部门</w:t>
      </w:r>
      <w:r>
        <w:rPr>
          <w:rFonts w:hint="eastAsia" w:ascii="仿宋_GB2312" w:eastAsia="仿宋_GB2312"/>
          <w:b w:val="0"/>
          <w:color w:val="auto"/>
          <w:sz w:val="32"/>
          <w:szCs w:val="32"/>
        </w:rPr>
        <w:t>预算绩效管理领导小组（各成员科室简称各科室），全面负责</w:t>
      </w:r>
      <w:r>
        <w:rPr>
          <w:rFonts w:hint="eastAsia" w:ascii="仿宋_GB2312" w:eastAsia="仿宋_GB2312"/>
          <w:b w:val="0"/>
          <w:color w:val="auto"/>
          <w:sz w:val="32"/>
          <w:szCs w:val="32"/>
          <w:lang w:eastAsia="zh-CN"/>
        </w:rPr>
        <w:t>部门</w:t>
      </w:r>
      <w:r>
        <w:rPr>
          <w:rFonts w:hint="eastAsia" w:ascii="仿宋_GB2312" w:eastAsia="仿宋_GB2312"/>
          <w:b w:val="0"/>
          <w:color w:val="auto"/>
          <w:sz w:val="32"/>
          <w:szCs w:val="32"/>
        </w:rPr>
        <w:t>预算绩效管理工作的组织领导；下设预算绩效管理领导小组办公室（设在</w:t>
      </w:r>
      <w:r>
        <w:rPr>
          <w:rFonts w:hint="eastAsia" w:ascii="仿宋_GB2312" w:eastAsia="仿宋_GB2312"/>
          <w:b w:val="0"/>
          <w:color w:val="auto"/>
          <w:sz w:val="32"/>
          <w:szCs w:val="32"/>
          <w:lang w:eastAsia="zh-CN"/>
        </w:rPr>
        <w:t>计财科</w:t>
      </w:r>
      <w:r>
        <w:rPr>
          <w:rFonts w:hint="eastAsia" w:ascii="仿宋_GB2312" w:eastAsia="仿宋_GB2312"/>
          <w:b w:val="0"/>
          <w:color w:val="auto"/>
          <w:sz w:val="32"/>
          <w:szCs w:val="32"/>
        </w:rPr>
        <w:t>），负责牵头组织</w:t>
      </w:r>
      <w:r>
        <w:rPr>
          <w:rFonts w:hint="eastAsia" w:ascii="仿宋_GB2312" w:eastAsia="仿宋_GB2312"/>
          <w:b w:val="0"/>
          <w:color w:val="auto"/>
          <w:sz w:val="32"/>
          <w:szCs w:val="32"/>
          <w:lang w:eastAsia="zh-CN"/>
        </w:rPr>
        <w:t>部门</w:t>
      </w:r>
      <w:r>
        <w:rPr>
          <w:rFonts w:hint="eastAsia" w:ascii="仿宋_GB2312" w:eastAsia="仿宋_GB2312"/>
          <w:b w:val="0"/>
          <w:color w:val="auto"/>
          <w:sz w:val="32"/>
          <w:szCs w:val="32"/>
        </w:rPr>
        <w:t>预算绩效管理涉及的相关工作。</w:t>
      </w:r>
    </w:p>
    <w:p>
      <w:pPr>
        <w:spacing w:line="600" w:lineRule="exact"/>
        <w:ind w:firstLine="640" w:firstLineChars="200"/>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（一）项目决策情况</w:t>
      </w:r>
    </w:p>
    <w:p>
      <w:pPr>
        <w:pageBreakBefore w:val="0"/>
        <w:kinsoku/>
        <w:wordWrap/>
        <w:overflowPunct/>
        <w:topLinePunct w:val="0"/>
        <w:bidi w:val="0"/>
        <w:adjustRightInd w:val="0"/>
        <w:snapToGrid w:val="0"/>
        <w:spacing w:beforeAutospacing="0" w:afterAutospacing="0" w:line="560" w:lineRule="exact"/>
        <w:ind w:firstLine="640" w:firstLineChars="200"/>
        <w:textAlignment w:val="auto"/>
        <w:outlineLvl w:val="1"/>
        <w:rPr>
          <w:rFonts w:hint="eastAsia" w:ascii="仿宋_GB2312" w:eastAsia="仿宋_GB2312"/>
          <w:b/>
          <w:color w:val="auto"/>
          <w:sz w:val="32"/>
          <w:szCs w:val="32"/>
        </w:rPr>
      </w:pPr>
      <w:r>
        <w:rPr>
          <w:rFonts w:hint="eastAsia" w:ascii="仿宋_GB2312" w:eastAsia="仿宋_GB2312"/>
          <w:b/>
          <w:color w:val="auto"/>
          <w:sz w:val="32"/>
          <w:szCs w:val="32"/>
        </w:rPr>
        <w:t>决策依据</w:t>
      </w:r>
    </w:p>
    <w:p>
      <w:pPr>
        <w:pageBreakBefore w:val="0"/>
        <w:kinsoku/>
        <w:wordWrap/>
        <w:overflowPunct/>
        <w:topLinePunct w:val="0"/>
        <w:bidi w:val="0"/>
        <w:spacing w:beforeAutospacing="0" w:afterAutospacing="0" w:line="560" w:lineRule="exact"/>
        <w:ind w:firstLine="640" w:firstLineChars="200"/>
        <w:textAlignment w:val="auto"/>
        <w:rPr>
          <w:rFonts w:hint="eastAsia" w:ascii="仿宋_GB2312" w:eastAsia="仿宋_GB2312"/>
          <w:color w:val="auto"/>
          <w:sz w:val="32"/>
          <w:szCs w:val="32"/>
        </w:rPr>
      </w:pPr>
      <w:r>
        <w:rPr>
          <w:rFonts w:hint="eastAsia" w:ascii="仿宋_GB2312" w:hAnsi="ˎ̥" w:eastAsia="仿宋_GB2312"/>
          <w:color w:val="auto"/>
          <w:sz w:val="32"/>
          <w:szCs w:val="32"/>
        </w:rPr>
        <w:t>以密云区农业农村局的主要职能、落实区委全会</w:t>
      </w:r>
      <w:r>
        <w:rPr>
          <w:rFonts w:hint="eastAsia" w:ascii="仿宋_GB2312" w:hAnsi="ˎ̥" w:eastAsia="仿宋_GB2312"/>
          <w:color w:val="auto"/>
          <w:sz w:val="32"/>
          <w:szCs w:val="32"/>
          <w:lang w:val="en-US" w:eastAsia="zh-CN"/>
        </w:rPr>
        <w:t>相关</w:t>
      </w:r>
      <w:r>
        <w:rPr>
          <w:rFonts w:hint="eastAsia" w:ascii="仿宋_GB2312" w:hAnsi="ˎ̥" w:eastAsia="仿宋_GB2312"/>
          <w:color w:val="auto"/>
          <w:sz w:val="32"/>
          <w:szCs w:val="32"/>
        </w:rPr>
        <w:t>精神，牢牢把握加快“三农”发展的主题</w:t>
      </w:r>
      <w:r>
        <w:rPr>
          <w:rFonts w:hint="eastAsia" w:ascii="仿宋_GB2312" w:hAnsi="ˎ̥" w:eastAsia="仿宋_GB2312"/>
          <w:color w:val="auto"/>
          <w:sz w:val="32"/>
          <w:szCs w:val="32"/>
          <w:lang w:val="en-US" w:eastAsia="zh-CN"/>
        </w:rPr>
        <w:t>以及</w:t>
      </w:r>
      <w:r>
        <w:rPr>
          <w:rFonts w:hint="eastAsia" w:ascii="仿宋_GB2312" w:hAnsi="ˎ̥" w:eastAsia="仿宋_GB2312"/>
          <w:color w:val="auto"/>
          <w:sz w:val="32"/>
          <w:szCs w:val="32"/>
        </w:rPr>
        <w:t>北京市农业农村局的若干通知文件精神为决策依据，开展全年工作。</w:t>
      </w:r>
    </w:p>
    <w:p>
      <w:pPr>
        <w:pageBreakBefore w:val="0"/>
        <w:kinsoku/>
        <w:wordWrap/>
        <w:overflowPunct/>
        <w:topLinePunct w:val="0"/>
        <w:bidi w:val="0"/>
        <w:adjustRightInd w:val="0"/>
        <w:snapToGrid w:val="0"/>
        <w:spacing w:beforeAutospacing="0" w:afterAutospacing="0" w:line="560" w:lineRule="exact"/>
        <w:ind w:firstLine="640" w:firstLineChars="200"/>
        <w:textAlignment w:val="auto"/>
        <w:outlineLvl w:val="1"/>
        <w:rPr>
          <w:rFonts w:hint="eastAsia" w:ascii="仿宋_GB2312" w:eastAsia="仿宋_GB2312"/>
          <w:b/>
          <w:color w:val="auto"/>
          <w:sz w:val="32"/>
          <w:szCs w:val="32"/>
        </w:rPr>
      </w:pPr>
      <w:r>
        <w:rPr>
          <w:rFonts w:hint="eastAsia" w:ascii="仿宋_GB2312" w:eastAsia="仿宋_GB2312"/>
          <w:b/>
          <w:color w:val="auto"/>
          <w:sz w:val="32"/>
          <w:szCs w:val="32"/>
        </w:rPr>
        <w:t>决策流程</w:t>
      </w:r>
    </w:p>
    <w:p>
      <w:pPr>
        <w:pageBreakBefore w:val="0"/>
        <w:kinsoku/>
        <w:wordWrap/>
        <w:overflowPunct/>
        <w:topLinePunct w:val="0"/>
        <w:bidi w:val="0"/>
        <w:spacing w:beforeAutospacing="0" w:afterAutospacing="0" w:line="560" w:lineRule="exact"/>
        <w:ind w:firstLine="592" w:firstLineChars="185"/>
        <w:textAlignment w:val="auto"/>
        <w:rPr>
          <w:rFonts w:hint="eastAsia" w:ascii="仿宋_GB2312" w:eastAsia="仿宋_GB2312"/>
          <w:color w:val="auto"/>
          <w:sz w:val="32"/>
          <w:szCs w:val="32"/>
        </w:rPr>
      </w:pPr>
      <w:r>
        <w:rPr>
          <w:rFonts w:hint="eastAsia" w:ascii="仿宋_GB2312" w:eastAsia="仿宋_GB2312"/>
          <w:color w:val="auto"/>
          <w:sz w:val="32"/>
          <w:szCs w:val="32"/>
        </w:rPr>
        <w:t>年初，由各主管科室上报年度工作计划及资金使用计划，经领导班子会研究确定年度重点项目及资金使用计划，并下发各科室。通过相关部门评审批复后的项目，可根据批复意见及核定的支出内容适时召开项目论证会，确定项目实施方案并经局长办公会、区委农工委会议认可通过后，项目可开始进行招标等具体实施工作。资金决策流程明确、责任清晰、风险可控。</w:t>
      </w:r>
    </w:p>
    <w:p>
      <w:pPr>
        <w:spacing w:line="600" w:lineRule="exact"/>
        <w:ind w:firstLine="640" w:firstLineChars="200"/>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（二）项目过程情况</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Autospacing="0" w:after="0" w:afterAutospacing="0" w:line="560" w:lineRule="exact"/>
        <w:ind w:left="0" w:leftChars="0" w:firstLine="640" w:firstLineChars="200"/>
        <w:textAlignment w:val="auto"/>
        <w:outlineLvl w:val="9"/>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z w:val="32"/>
          <w:szCs w:val="32"/>
          <w:lang w:val="en-US" w:eastAsia="zh-CN"/>
        </w:rPr>
        <w:t>1.高质量完成农业稳产保供任务。</w:t>
      </w:r>
      <w:r>
        <w:rPr>
          <w:rFonts w:hint="eastAsia" w:ascii="仿宋_GB2312" w:hAnsi="仿宋_GB2312" w:eastAsia="仿宋_GB2312" w:cs="仿宋_GB2312"/>
          <w:color w:val="auto"/>
          <w:spacing w:val="0"/>
          <w:position w:val="0"/>
          <w:sz w:val="32"/>
          <w:szCs w:val="32"/>
          <w:highlight w:val="none"/>
          <w:shd w:val="clear" w:color="auto" w:fill="auto"/>
          <w:lang w:val="en-US" w:eastAsia="zh-CN"/>
        </w:rPr>
        <w:t>2023年市级下达我区粮食播种面积13万亩（其中大豆4800亩），产量4.41万吨；油料作物播种面积8500亩</w:t>
      </w:r>
      <w:r>
        <w:rPr>
          <w:rFonts w:hint="eastAsia" w:ascii="仿宋_GB2312" w:hAnsi="仿宋_GB2312" w:eastAsia="仿宋_GB2312" w:cs="仿宋_GB2312"/>
          <w:color w:val="auto"/>
          <w:sz w:val="32"/>
          <w:highlight w:val="none"/>
          <w:lang w:val="en-US" w:eastAsia="zh-CN"/>
        </w:rPr>
        <w:t>；蔬菜产量任务18万吨。全年完成粮食播种面积16.4万亩（其中大豆5068亩），完成全年粮食播种任务的126.2%；粮食产量5.18万吨，完成全年任务的117%。完成油料作物播种面积9958亩，完成全年任务的117%。完成蔬菜播种面积7.06万亩，完成全年任务的112.8%，同比增加12.8%；蔬菜产量18.9万吨，完成全年任务的105%，同比增加12.6%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2.乡村特色产业发展更加强劲。</w:t>
      </w:r>
      <w:r>
        <w:rPr>
          <w:rFonts w:hint="eastAsia" w:ascii="仿宋_GB2312" w:hAnsi="仿宋_GB2312" w:eastAsia="仿宋_GB2312" w:cs="仿宋_GB2312"/>
          <w:b w:val="0"/>
          <w:bCs w:val="0"/>
          <w:color w:val="auto"/>
          <w:sz w:val="32"/>
          <w:szCs w:val="32"/>
          <w:lang w:val="en-US" w:eastAsia="zh-CN"/>
        </w:rPr>
        <w:t>牵头</w:t>
      </w:r>
      <w:r>
        <w:rPr>
          <w:rFonts w:hint="eastAsia" w:ascii="仿宋_GB2312" w:hAnsi="仿宋_GB2312" w:eastAsia="仿宋_GB2312" w:cs="仿宋_GB2312"/>
          <w:b w:val="0"/>
          <w:bCs w:val="0"/>
          <w:color w:val="auto"/>
          <w:sz w:val="32"/>
          <w:szCs w:val="32"/>
          <w:highlight w:val="none"/>
          <w:lang w:eastAsia="zh-CN"/>
        </w:rPr>
        <w:t>组建密云特色农业发展领导小组和特色农业发展领导小组，加快构建现代化乡村特色产业发展体系</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聚焦“水库鱼、特色蜜、环湖粮、山区果、平原菜”产业布局，做大做强密云水库鱼、黄土坎鸭梨等“密云八珍”特色产业。推进西红柿特色产业三年行动，产业规模达2000亩，品种丰富至30余个，被列为全市唯一的西红柿特色产业集群核心区，成功举办密云乡村振兴发展大会暨首届密云西红柿推介活动。注册“密云特色农业”“密云水库鱼”图形商标，“极星农业”“奥斯云”入选“北京优农”品牌。持续做强电商产业，年销售额千万以上涉农电商达到12家。</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3.乡村建设行动有序推进。</w:t>
      </w:r>
      <w:r>
        <w:rPr>
          <w:rFonts w:hint="eastAsia" w:ascii="仿宋_GB2312" w:hAnsi="仿宋_GB2312" w:eastAsia="仿宋_GB2312" w:cs="仿宋_GB2312"/>
          <w:color w:val="auto"/>
          <w:sz w:val="32"/>
          <w:szCs w:val="32"/>
          <w:lang w:val="en-US" w:eastAsia="zh-CN"/>
        </w:rPr>
        <w:t>统筹推进“厕所革命”、生活垃圾分类、污水治理等重点任务，各村保持干净整洁有序。加快推进美丽乡村基础设施建设，年内建成99.76万平方米街坊路，累计285个村通过市级美丽乡村建设验收。在生态涵养区率先实现全域清洁取暖，12.1万户群众受益。全市首创“煤改电”供热设备运行维护服务体系，建立“1个区级中心、11个镇级站、80个村级点”，搭建“半小时运维服务圈”，保障群众温暖过冬。推进首批“百千工程”示范村建设，全面引领乡村振兴发展。</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4.农民收入持续稳定增长。</w:t>
      </w:r>
      <w:r>
        <w:rPr>
          <w:rFonts w:hint="eastAsia" w:ascii="仿宋_GB2312" w:hAnsi="仿宋_GB2312" w:eastAsia="仿宋_GB2312" w:cs="仿宋_GB2312"/>
          <w:color w:val="auto"/>
          <w:sz w:val="32"/>
          <w:szCs w:val="32"/>
          <w:lang w:val="en-US" w:eastAsia="zh-CN"/>
        </w:rPr>
        <w:t>巩固扩大集体经济薄弱村“消薄”成果，引导镇村发展特色农业、特色文旅、绿色能源等产业项目，增强集体经济发展内生动力。组建西红柿产业联社、蜂产业联社和电商产业联社，推广“企业+合作社+农户”等农业生产经营模式，强化联农带农机制。落实21条农民增收措施，完成城乡劳动力等就业技能、创业培训共2318人，开展高素质农民和农村实用人才培训近5000人次。1-11月，全区集体经济总收入实现15402.4万元，前三季度农村居民人均可支配收入增长7.2%。</w:t>
      </w:r>
    </w:p>
    <w:p>
      <w:pPr>
        <w:pStyle w:val="13"/>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5.农旅、文旅产业实现融合发展</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实施休闲农业“十百千万”畅游行动，累计8个村获批“中国美丽休闲乡村”称号，数量居全市之首。全面加强新时代农村精神文明建设，提升农民文明素养，培育质朴向上的文明乡风。成功举办农民丰收节、葡萄酒文化节、村BA等农文旅特色活动30余个，积极组织参与市级文体赛事活动，在全市农民羽毛球赛、农民象棋赛等文体活动中取得优异成绩，充分展现密云农业农村新风貌。</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6.乡村治理水平不断提升。</w:t>
      </w:r>
      <w:r>
        <w:rPr>
          <w:rFonts w:hint="eastAsia" w:ascii="仿宋_GB2312" w:hAnsi="仿宋_GB2312" w:eastAsia="仿宋_GB2312" w:cs="仿宋_GB2312"/>
          <w:color w:val="auto"/>
          <w:sz w:val="32"/>
          <w:szCs w:val="32"/>
          <w:lang w:val="en-US" w:eastAsia="zh-CN"/>
        </w:rPr>
        <w:t>健全以党建为核心，自治、法治、德治相结合的“一核三治”乡村治理体系，溪翁庄镇东智北村、河南寨镇套里村、冯家峪镇西白莲峪村获评全国乡村治理示范村。实施第一书记“沃土行动”，发挥201名驻村第一书记作用，建立“第一书记联盟”“映山红第一书记助农小分队”等创新工作机制。</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7.农业生产安全能力不断加强。</w:t>
      </w:r>
      <w:r>
        <w:rPr>
          <w:rFonts w:hint="eastAsia" w:ascii="仿宋_GB2312" w:hAnsi="仿宋_GB2312" w:eastAsia="仿宋_GB2312" w:cs="仿宋_GB2312"/>
          <w:color w:val="auto"/>
          <w:sz w:val="32"/>
          <w:szCs w:val="32"/>
          <w:lang w:val="en-US" w:eastAsia="zh-CN"/>
        </w:rPr>
        <w:t>加强动植物疫情防控。健全动植物疫病虫害防控体系，</w:t>
      </w:r>
      <w:r>
        <w:rPr>
          <w:rFonts w:hint="eastAsia" w:ascii="仿宋_GB2312" w:hAnsi="仿宋_GB2312" w:eastAsia="仿宋_GB2312" w:cs="仿宋_GB2312"/>
          <w:color w:val="auto"/>
          <w:spacing w:val="0"/>
          <w:sz w:val="32"/>
          <w:szCs w:val="32"/>
        </w:rPr>
        <w:t>开展流行病学调查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抓好农业领域安全生产工作。</w:t>
      </w:r>
      <w:r>
        <w:rPr>
          <w:rFonts w:hint="eastAsia" w:ascii="仿宋_GB2312" w:hAnsi="仿宋_GB2312" w:eastAsia="仿宋_GB2312" w:cs="仿宋_GB2312"/>
          <w:color w:val="auto"/>
          <w:spacing w:val="0"/>
          <w:sz w:val="32"/>
          <w:szCs w:val="32"/>
          <w:lang w:val="en-US" w:eastAsia="zh-CN"/>
        </w:rPr>
        <w:t>对监管领域内养殖场、设施农业、农机维修点、饲料厂、屠宰场、种子经营门店、水产品养殖场所和“两气”工程等开展安全生产检查工作，实现安全检查“全覆盖”。加强农业综合执法，2023年开展执法检查13096次，查处违法案件169起，其中普通程序案件146起，同比增长128%；罚没款7.73万元，增长45.43%，为农业发展保驾护航。</w:t>
      </w:r>
    </w:p>
    <w:p>
      <w:pPr>
        <w:spacing w:line="600" w:lineRule="exact"/>
        <w:ind w:firstLine="640" w:firstLineChars="200"/>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（三）项目产出情况</w:t>
      </w:r>
    </w:p>
    <w:p>
      <w:pPr>
        <w:pageBreakBefore w:val="0"/>
        <w:numPr>
          <w:ilvl w:val="0"/>
          <w:numId w:val="3"/>
        </w:numPr>
        <w:kinsoku/>
        <w:wordWrap/>
        <w:overflowPunct/>
        <w:topLinePunct w:val="0"/>
        <w:autoSpaceDE w:val="0"/>
        <w:autoSpaceDN w:val="0"/>
        <w:bidi w:val="0"/>
        <w:adjustRightInd w:val="0"/>
        <w:spacing w:beforeAutospacing="0" w:afterAutospacing="0" w:line="560" w:lineRule="exact"/>
        <w:ind w:firstLine="640" w:firstLineChars="200"/>
        <w:jc w:val="left"/>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高质量完成农业稳产保供任务。</w:t>
      </w:r>
      <w:r>
        <w:rPr>
          <w:rFonts w:hint="eastAsia" w:ascii="仿宋_GB2312" w:hAnsi="仿宋_GB2312" w:eastAsia="仿宋_GB2312" w:cs="仿宋_GB2312"/>
          <w:color w:val="auto"/>
          <w:spacing w:val="0"/>
          <w:position w:val="0"/>
          <w:sz w:val="32"/>
          <w:szCs w:val="32"/>
          <w:highlight w:val="none"/>
          <w:shd w:val="clear" w:color="auto" w:fill="auto"/>
          <w:lang w:val="en-US" w:eastAsia="zh-CN"/>
        </w:rPr>
        <w:t>2023年市级下达我区粮食播种面积13万亩（其中大豆4800亩），产量4.41万吨；油料作物播种面积8500亩</w:t>
      </w:r>
      <w:r>
        <w:rPr>
          <w:rFonts w:hint="eastAsia" w:ascii="仿宋_GB2312" w:hAnsi="仿宋_GB2312" w:eastAsia="仿宋_GB2312" w:cs="仿宋_GB2312"/>
          <w:color w:val="auto"/>
          <w:sz w:val="32"/>
          <w:highlight w:val="none"/>
          <w:lang w:val="en-US" w:eastAsia="zh-CN"/>
        </w:rPr>
        <w:t>；蔬菜产量任务18万吨</w:t>
      </w:r>
    </w:p>
    <w:p>
      <w:pPr>
        <w:pageBreakBefore w:val="0"/>
        <w:numPr>
          <w:ilvl w:val="0"/>
          <w:numId w:val="3"/>
        </w:numPr>
        <w:kinsoku/>
        <w:wordWrap/>
        <w:overflowPunct/>
        <w:topLinePunct w:val="0"/>
        <w:bidi w:val="0"/>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乡村特色产业发展更加强劲。</w:t>
      </w:r>
      <w:r>
        <w:rPr>
          <w:rFonts w:hint="eastAsia" w:ascii="仿宋_GB2312" w:hAnsi="仿宋_GB2312" w:eastAsia="仿宋_GB2312" w:cs="仿宋_GB2312"/>
          <w:b w:val="0"/>
          <w:bCs w:val="0"/>
          <w:color w:val="auto"/>
          <w:sz w:val="32"/>
          <w:szCs w:val="32"/>
          <w:lang w:val="en-US" w:eastAsia="zh-CN"/>
        </w:rPr>
        <w:t>牵头</w:t>
      </w:r>
      <w:r>
        <w:rPr>
          <w:rFonts w:hint="eastAsia" w:ascii="仿宋_GB2312" w:hAnsi="仿宋_GB2312" w:eastAsia="仿宋_GB2312" w:cs="仿宋_GB2312"/>
          <w:b w:val="0"/>
          <w:bCs w:val="0"/>
          <w:color w:val="auto"/>
          <w:sz w:val="32"/>
          <w:szCs w:val="32"/>
          <w:highlight w:val="none"/>
          <w:lang w:eastAsia="zh-CN"/>
        </w:rPr>
        <w:t>组建密云特色农业发展领导小组和特色农业发展领导小组，加快构建现代化乡村特色产业发展体系</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聚焦“水库鱼、特色蜜、环湖粮、山区果、平原菜”产业布局，做大做强密云水库鱼、黄土坎鸭梨等“密云八珍”特色产业。推进西红柿特色产业三年行动，产业规模达2000亩，品种丰富至30个，年销售额千万以上涉农电商达到12家。</w:t>
      </w:r>
    </w:p>
    <w:p>
      <w:pPr>
        <w:pStyle w:val="7"/>
        <w:pageBreakBefore w:val="0"/>
        <w:numPr>
          <w:ilvl w:val="0"/>
          <w:numId w:val="3"/>
        </w:numPr>
        <w:kinsoku/>
        <w:wordWrap/>
        <w:overflowPunct/>
        <w:topLinePunct w:val="0"/>
        <w:bidi w:val="0"/>
        <w:spacing w:beforeAutospacing="0" w:afterAutospacing="0" w:line="560" w:lineRule="exact"/>
        <w:ind w:left="0" w:leftChars="0" w:right="-312" w:rightChars="-149" w:firstLine="640" w:firstLineChars="200"/>
        <w:jc w:val="left"/>
        <w:textAlignment w:val="auto"/>
        <w:rPr>
          <w:color w:val="auto"/>
        </w:rPr>
      </w:pPr>
      <w:r>
        <w:rPr>
          <w:rFonts w:hint="eastAsia" w:ascii="仿宋_GB2312" w:hAnsi="仿宋_GB2312" w:eastAsia="仿宋_GB2312" w:cs="仿宋_GB2312"/>
          <w:b/>
          <w:bCs/>
          <w:color w:val="auto"/>
          <w:sz w:val="32"/>
          <w:szCs w:val="32"/>
          <w:lang w:val="en-US" w:eastAsia="zh-CN"/>
        </w:rPr>
        <w:t>乡村建设行动有序推进。</w:t>
      </w:r>
      <w:r>
        <w:rPr>
          <w:rFonts w:hint="eastAsia" w:ascii="仿宋_GB2312" w:hAnsi="仿宋_GB2312" w:eastAsia="仿宋_GB2312" w:cs="仿宋_GB2312"/>
          <w:color w:val="auto"/>
          <w:sz w:val="32"/>
          <w:szCs w:val="32"/>
          <w:lang w:val="en-US" w:eastAsia="zh-CN"/>
        </w:rPr>
        <w:t>统筹推进“厕所革命”、生活垃圾分类、污水治理等重点任务，各村保持干净整洁有序。加快推进美丽乡村基础设施建设，年内建成99.76万平方米街坊路，累计285个村通过市级美丽乡村建设验收。在生态涵养区率先实现全域清洁取暖，12.1万户群众受益。</w:t>
      </w:r>
    </w:p>
    <w:p>
      <w:pPr>
        <w:pageBreakBefore w:val="0"/>
        <w:numPr>
          <w:ilvl w:val="0"/>
          <w:numId w:val="3"/>
        </w:numPr>
        <w:kinsoku/>
        <w:wordWrap/>
        <w:overflowPunct/>
        <w:topLinePunct w:val="0"/>
        <w:bidi w:val="0"/>
        <w:spacing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农民收入持续稳定增长。</w:t>
      </w:r>
      <w:r>
        <w:rPr>
          <w:rFonts w:hint="eastAsia" w:ascii="仿宋_GB2312" w:hAnsi="仿宋_GB2312" w:eastAsia="仿宋_GB2312" w:cs="仿宋_GB2312"/>
          <w:color w:val="auto"/>
          <w:sz w:val="32"/>
          <w:szCs w:val="32"/>
          <w:lang w:val="en-US" w:eastAsia="zh-CN"/>
        </w:rPr>
        <w:t>落实21条农民增收措施，完成城乡劳动力等就业技能、创业培训共2318人，开展高素质农民和农村实用人才培训近5000人次。1-11月，全区集体经济总收入实现15402.4万元，前三季度农村居民人均可支配收入增长7.2%。</w:t>
      </w:r>
    </w:p>
    <w:p>
      <w:pPr>
        <w:pStyle w:val="7"/>
        <w:pageBreakBefore w:val="0"/>
        <w:numPr>
          <w:ilvl w:val="0"/>
          <w:numId w:val="3"/>
        </w:numPr>
        <w:kinsoku/>
        <w:wordWrap/>
        <w:overflowPunct/>
        <w:topLinePunct w:val="0"/>
        <w:bidi w:val="0"/>
        <w:spacing w:beforeAutospacing="0" w:afterAutospacing="0" w:line="560" w:lineRule="exact"/>
        <w:ind w:left="0" w:leftChars="0" w:right="-92" w:rightChars="-44"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农旅、文旅产业实现融合发展。</w:t>
      </w:r>
      <w:r>
        <w:rPr>
          <w:rFonts w:hint="eastAsia" w:ascii="仿宋_GB2312" w:hAnsi="仿宋_GB2312" w:eastAsia="仿宋_GB2312" w:cs="仿宋_GB2312"/>
          <w:color w:val="auto"/>
          <w:kern w:val="2"/>
          <w:sz w:val="32"/>
          <w:szCs w:val="32"/>
          <w:lang w:val="en-US" w:eastAsia="zh-CN" w:bidi="ar-SA"/>
        </w:rPr>
        <w:t>实施休闲农业“十百千万”畅游行动，累计8个村获批“中国美丽休闲乡村”称号，数量居全市之首。</w:t>
      </w:r>
    </w:p>
    <w:p>
      <w:pPr>
        <w:pageBreakBefore w:val="0"/>
        <w:kinsoku/>
        <w:wordWrap/>
        <w:overflowPunct/>
        <w:topLinePunct w:val="0"/>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6.乡村治理水平不断提升。</w:t>
      </w:r>
      <w:r>
        <w:rPr>
          <w:rFonts w:hint="eastAsia" w:ascii="仿宋_GB2312" w:hAnsi="仿宋_GB2312" w:eastAsia="仿宋_GB2312" w:cs="仿宋_GB2312"/>
          <w:color w:val="auto"/>
          <w:sz w:val="32"/>
          <w:szCs w:val="32"/>
          <w:lang w:val="en-US" w:eastAsia="zh-CN"/>
        </w:rPr>
        <w:t>发挥201名驻村第一书记作用，建立“第一书记联盟”“映山红第一书记助农小分队”等创新工作机制。</w:t>
      </w:r>
    </w:p>
    <w:p>
      <w:pPr>
        <w:pageBreakBefore w:val="0"/>
        <w:kinsoku/>
        <w:wordWrap/>
        <w:overflowPunct/>
        <w:topLinePunct w:val="0"/>
        <w:bidi w:val="0"/>
        <w:spacing w:beforeAutospacing="0" w:afterAutospacing="0" w:line="560" w:lineRule="exact"/>
        <w:ind w:firstLine="640" w:firstLineChars="200"/>
        <w:textAlignment w:val="auto"/>
        <w:rPr>
          <w:rFonts w:hint="eastAsia"/>
          <w:color w:val="auto"/>
        </w:rPr>
      </w:pPr>
      <w:r>
        <w:rPr>
          <w:rFonts w:hint="eastAsia" w:ascii="仿宋_GB2312" w:hAnsi="仿宋_GB2312" w:eastAsia="仿宋_GB2312" w:cs="仿宋_GB2312"/>
          <w:b/>
          <w:bCs/>
          <w:color w:val="auto"/>
          <w:sz w:val="32"/>
          <w:szCs w:val="32"/>
          <w:lang w:val="en-US" w:eastAsia="zh-CN"/>
        </w:rPr>
        <w:t>7.农业生产安全能力不断加强。</w:t>
      </w:r>
      <w:r>
        <w:rPr>
          <w:rFonts w:hint="eastAsia" w:ascii="仿宋_GB2312" w:hAnsi="仿宋_GB2312" w:eastAsia="仿宋_GB2312" w:cs="仿宋_GB2312"/>
          <w:color w:val="auto"/>
          <w:spacing w:val="0"/>
          <w:sz w:val="32"/>
          <w:szCs w:val="32"/>
          <w:lang w:val="en-US" w:eastAsia="zh-CN"/>
        </w:rPr>
        <w:t>2023年开展执法检查13096次，查处违法案件169起，其中普通程序案件146起，同比增长128%；罚没款7.73万元，增长45.43%，为农业发展保驾护航。</w:t>
      </w:r>
    </w:p>
    <w:p>
      <w:pPr>
        <w:spacing w:line="600" w:lineRule="exact"/>
        <w:ind w:firstLine="640" w:firstLineChars="200"/>
        <w:outlineLvl w:val="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（四）项目效益情况</w:t>
      </w:r>
    </w:p>
    <w:p>
      <w:pPr>
        <w:pStyle w:val="14"/>
        <w:pageBreakBefore w:val="0"/>
        <w:kinsoku/>
        <w:wordWrap/>
        <w:overflowPunct/>
        <w:topLinePunct w:val="0"/>
        <w:bidi w:val="0"/>
        <w:adjustRightInd w:val="0"/>
        <w:snapToGrid w:val="0"/>
        <w:spacing w:before="0" w:beforeAutospacing="0" w:after="0" w:afterAutospacing="0" w:line="560" w:lineRule="exact"/>
        <w:ind w:firstLine="800" w:firstLineChars="250"/>
        <w:jc w:val="both"/>
        <w:textAlignment w:val="auto"/>
        <w:outlineLvl w:val="0"/>
        <w:rPr>
          <w:rFonts w:hint="eastAsia" w:ascii="仿宋_GB2312" w:eastAsia="仿宋_GB2312"/>
          <w:b/>
          <w:color w:val="auto"/>
          <w:sz w:val="32"/>
          <w:szCs w:val="32"/>
        </w:rPr>
      </w:pPr>
      <w:r>
        <w:rPr>
          <w:rFonts w:hint="eastAsia" w:ascii="仿宋_GB2312" w:eastAsia="仿宋_GB2312"/>
          <w:b/>
          <w:color w:val="auto"/>
          <w:sz w:val="32"/>
          <w:szCs w:val="32"/>
        </w:rPr>
        <w:t>1.经济效益</w:t>
      </w:r>
    </w:p>
    <w:p>
      <w:pPr>
        <w:pageBreakBefore w:val="0"/>
        <w:kinsoku/>
        <w:wordWrap/>
        <w:overflowPunct/>
        <w:topLinePunct w:val="0"/>
        <w:bidi w:val="0"/>
        <w:spacing w:beforeAutospacing="0" w:afterAutospacing="0"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农宅保险及政策性保险使农民在生产生活中得到了保障，减低了农民的经济损失的同时，对收入提高提供了保障。2）粪污资源化利用达到农民增收、企业增益的目标。3）密云水库一级保护区内群众生活困难补助资金的发放，直接增加了群众的收入。</w:t>
      </w:r>
    </w:p>
    <w:p>
      <w:pPr>
        <w:pageBreakBefore w:val="0"/>
        <w:kinsoku/>
        <w:wordWrap/>
        <w:overflowPunct/>
        <w:topLinePunct w:val="0"/>
        <w:bidi w:val="0"/>
        <w:spacing w:beforeAutospacing="0" w:afterAutospacing="0" w:line="560" w:lineRule="exact"/>
        <w:ind w:firstLine="560" w:firstLineChars="200"/>
        <w:textAlignment w:val="auto"/>
        <w:rPr>
          <w:rFonts w:hint="eastAsia" w:ascii="仿宋_GB2312" w:eastAsia="仿宋_GB2312"/>
          <w:b/>
          <w:color w:val="auto"/>
          <w:sz w:val="32"/>
          <w:szCs w:val="32"/>
        </w:rPr>
      </w:pPr>
      <w:r>
        <w:rPr>
          <w:rFonts w:hint="eastAsia" w:ascii="宋体" w:hAnsi="宋体"/>
          <w:color w:val="auto"/>
          <w:sz w:val="28"/>
          <w:szCs w:val="28"/>
        </w:rPr>
        <w:t xml:space="preserve"> </w:t>
      </w:r>
      <w:r>
        <w:rPr>
          <w:rFonts w:hint="eastAsia" w:ascii="仿宋_GB2312" w:eastAsia="仿宋_GB2312"/>
          <w:b/>
          <w:color w:val="auto"/>
          <w:sz w:val="32"/>
          <w:szCs w:val="32"/>
        </w:rPr>
        <w:t>2. 社会效益</w:t>
      </w:r>
    </w:p>
    <w:p>
      <w:pPr>
        <w:pageBreakBefore w:val="0"/>
        <w:kinsoku/>
        <w:wordWrap/>
        <w:overflowPunct/>
        <w:topLinePunct w:val="0"/>
        <w:bidi w:val="0"/>
        <w:spacing w:beforeAutospacing="0" w:afterAutospacing="0" w:line="560" w:lineRule="exact"/>
        <w:ind w:firstLine="1472" w:firstLineChars="46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 农宅保险及政策性保险使农民在生产生活中得到了保障，为促进和谐社会发挥了积极的作用。</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 w:hAnsi="仿宋" w:eastAsia="仿宋" w:cs="仿宋"/>
          <w:color w:val="auto"/>
          <w:kern w:val="0"/>
          <w:sz w:val="32"/>
          <w:szCs w:val="32"/>
        </w:rPr>
        <w:t xml:space="preserve"> </w:t>
      </w:r>
      <w:r>
        <w:rPr>
          <w:rFonts w:hint="eastAsia" w:ascii="仿宋_GB2312" w:eastAsia="仿宋_GB2312"/>
          <w:color w:val="auto"/>
          <w:sz w:val="32"/>
          <w:szCs w:val="32"/>
        </w:rPr>
        <w:t>全面推进畜禽养殖废弃物资源化利用，加快构建种养结合、农牧循环的可持续发展新格局，为全面建成小康社会提供有力支撑。</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）密云水库一级保护区内群众生活困难补助资金的发放，改善了群众生活条件。</w:t>
      </w:r>
    </w:p>
    <w:p>
      <w:pPr>
        <w:pageBreakBefore w:val="0"/>
        <w:kinsoku/>
        <w:wordWrap/>
        <w:overflowPunct/>
        <w:topLinePunct w:val="0"/>
        <w:bidi w:val="0"/>
        <w:spacing w:beforeAutospacing="0" w:afterAutospacing="0" w:line="560" w:lineRule="exact"/>
        <w:ind w:firstLine="640" w:firstLineChars="200"/>
        <w:textAlignment w:val="auto"/>
        <w:rPr>
          <w:rFonts w:hint="eastAsia" w:ascii="仿宋_GB2312" w:eastAsia="仿宋_GB2312"/>
          <w:b/>
          <w:color w:val="auto"/>
          <w:sz w:val="32"/>
          <w:szCs w:val="32"/>
        </w:rPr>
      </w:pPr>
      <w:r>
        <w:rPr>
          <w:rFonts w:hint="eastAsia" w:ascii="仿宋_GB2312" w:eastAsia="仿宋_GB2312"/>
          <w:b/>
          <w:color w:val="auto"/>
          <w:sz w:val="32"/>
          <w:szCs w:val="32"/>
        </w:rPr>
        <w:t>3.可持续影响</w:t>
      </w:r>
    </w:p>
    <w:p>
      <w:pPr>
        <w:pageBreakBefore w:val="0"/>
        <w:kinsoku/>
        <w:wordWrap/>
        <w:overflowPunct/>
        <w:topLinePunct w:val="0"/>
        <w:bidi w:val="0"/>
        <w:spacing w:beforeAutospacing="0" w:afterAutospacing="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）减少因禽畜粪污随处排放而对土壤和水源造成的污染，保护生态环境。</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）确保首都饮用水源安全，有效降低了因畜禽养殖造成水源污染的风险。有效疏解畜禽养殖总量，减少畜禽养殖废弃物对生态环境的影响。</w:t>
      </w:r>
    </w:p>
    <w:p>
      <w:pPr>
        <w:pStyle w:val="7"/>
        <w:rPr>
          <w:rFonts w:hint="eastAsia"/>
          <w:color w:val="auto"/>
        </w:rPr>
      </w:pP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、主要经验及做法、存在的问题及原因分析</w:t>
      </w:r>
    </w:p>
    <w:p>
      <w:pPr>
        <w:pStyle w:val="14"/>
        <w:pageBreakBefore w:val="0"/>
        <w:kinsoku/>
        <w:wordWrap/>
        <w:overflowPunct/>
        <w:topLinePunct w:val="0"/>
        <w:bidi w:val="0"/>
        <w:adjustRightInd w:val="0"/>
        <w:snapToGrid w:val="0"/>
        <w:spacing w:before="0" w:beforeAutospacing="0" w:after="0" w:afterAutospacing="0" w:line="560" w:lineRule="exact"/>
        <w:ind w:firstLine="640" w:firstLineChars="200"/>
        <w:jc w:val="both"/>
        <w:textAlignment w:val="auto"/>
        <w:outlineLvl w:val="0"/>
        <w:rPr>
          <w:rFonts w:hint="eastAsia" w:ascii="仿宋_GB2312" w:eastAsia="仿宋_GB2312"/>
          <w:b/>
          <w:bCs/>
          <w:color w:val="auto"/>
          <w:sz w:val="32"/>
          <w:szCs w:val="32"/>
        </w:rPr>
      </w:pPr>
      <w:r>
        <w:rPr>
          <w:rFonts w:hint="eastAsia" w:ascii="仿宋_GB2312" w:eastAsia="仿宋_GB2312"/>
          <w:b/>
          <w:bCs/>
          <w:color w:val="auto"/>
          <w:sz w:val="32"/>
          <w:szCs w:val="32"/>
        </w:rPr>
        <w:t>（一）主要经验</w:t>
      </w:r>
    </w:p>
    <w:p>
      <w:pPr>
        <w:pStyle w:val="14"/>
        <w:pageBreakBefore w:val="0"/>
        <w:kinsoku/>
        <w:wordWrap/>
        <w:overflowPunct/>
        <w:topLinePunct w:val="0"/>
        <w:bidi w:val="0"/>
        <w:adjustRightInd w:val="0"/>
        <w:snapToGrid w:val="0"/>
        <w:spacing w:before="0" w:beforeAutospacing="0" w:after="0" w:afterAutospacing="0" w:line="560" w:lineRule="exact"/>
        <w:ind w:firstLine="640" w:firstLineChars="200"/>
        <w:jc w:val="both"/>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项目实施是一项复杂的系统工程，认识和把握其各部分、各环节之间的作用关系与过程,使整个项目系统有序而高效地运行,是项目管理中的重要工作,我们在项目实施过程中结合项目管理的理论与实践,构建了项目组织运行机制模式,从组织架构、业务流程、沟通渠道三个方面建立了高效的项目组织运行机制。一是明确责任，在立项、招投标、项目评审和资金拨付方面各科室责任明确。二是在项目审批前进行相关论证、大额资金使用及重要项目、重大项目采取集体决策方式确定。</w:t>
      </w:r>
    </w:p>
    <w:p>
      <w:pPr>
        <w:pStyle w:val="14"/>
        <w:pageBreakBefore w:val="0"/>
        <w:kinsoku/>
        <w:wordWrap/>
        <w:overflowPunct/>
        <w:topLinePunct w:val="0"/>
        <w:bidi w:val="0"/>
        <w:adjustRightInd w:val="0"/>
        <w:snapToGrid w:val="0"/>
        <w:spacing w:before="0" w:beforeAutospacing="0" w:after="0" w:afterAutospacing="0" w:line="560" w:lineRule="exact"/>
        <w:ind w:firstLine="640" w:firstLineChars="200"/>
        <w:jc w:val="both"/>
        <w:textAlignment w:val="auto"/>
        <w:outlineLvl w:val="0"/>
        <w:rPr>
          <w:rFonts w:hint="eastAsia" w:ascii="仿宋_GB2312" w:eastAsia="仿宋_GB2312"/>
          <w:b/>
          <w:bCs/>
          <w:color w:val="auto"/>
          <w:sz w:val="32"/>
          <w:szCs w:val="32"/>
        </w:rPr>
      </w:pPr>
      <w:r>
        <w:rPr>
          <w:rFonts w:hint="eastAsia" w:ascii="仿宋_GB2312" w:eastAsia="仿宋_GB2312"/>
          <w:b/>
          <w:bCs/>
          <w:color w:val="auto"/>
          <w:sz w:val="32"/>
          <w:szCs w:val="32"/>
        </w:rPr>
        <w:t>（二）存在的问题</w:t>
      </w:r>
    </w:p>
    <w:p>
      <w:pPr>
        <w:pStyle w:val="14"/>
        <w:pageBreakBefore w:val="0"/>
        <w:kinsoku/>
        <w:wordWrap/>
        <w:overflowPunct/>
        <w:topLinePunct w:val="0"/>
        <w:bidi w:val="0"/>
        <w:adjustRightInd w:val="0"/>
        <w:snapToGrid w:val="0"/>
        <w:spacing w:before="0" w:beforeAutospacing="0" w:after="0" w:afterAutospacing="0" w:line="560" w:lineRule="exact"/>
        <w:ind w:firstLine="640" w:firstLineChars="200"/>
        <w:jc w:val="both"/>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 xml:space="preserve"> 无</w:t>
      </w:r>
    </w:p>
    <w:p>
      <w:pPr>
        <w:pStyle w:val="14"/>
        <w:pageBreakBefore w:val="0"/>
        <w:kinsoku/>
        <w:wordWrap/>
        <w:overflowPunct/>
        <w:topLinePunct w:val="0"/>
        <w:bidi w:val="0"/>
        <w:adjustRightInd w:val="0"/>
        <w:snapToGrid w:val="0"/>
        <w:spacing w:before="0" w:beforeAutospacing="0" w:after="0" w:afterAutospacing="0" w:line="560" w:lineRule="exact"/>
        <w:ind w:firstLine="640" w:firstLineChars="200"/>
        <w:jc w:val="both"/>
        <w:textAlignment w:val="auto"/>
        <w:outlineLvl w:val="0"/>
        <w:rPr>
          <w:rFonts w:hint="eastAsia" w:ascii="仿宋_GB2312" w:eastAsia="仿宋_GB2312"/>
          <w:b/>
          <w:bCs/>
          <w:color w:val="auto"/>
          <w:sz w:val="32"/>
          <w:szCs w:val="32"/>
        </w:rPr>
      </w:pPr>
      <w:r>
        <w:rPr>
          <w:rFonts w:hint="eastAsia" w:ascii="仿宋_GB2312" w:eastAsia="仿宋_GB2312"/>
          <w:b/>
          <w:bCs/>
          <w:color w:val="auto"/>
          <w:sz w:val="32"/>
          <w:szCs w:val="32"/>
        </w:rPr>
        <w:t>（三）后续工作计划</w:t>
      </w:r>
    </w:p>
    <w:p>
      <w:pPr>
        <w:pStyle w:val="14"/>
        <w:pageBreakBefore w:val="0"/>
        <w:kinsoku/>
        <w:wordWrap/>
        <w:overflowPunct/>
        <w:topLinePunct w:val="0"/>
        <w:bidi w:val="0"/>
        <w:snapToGrid w:val="0"/>
        <w:spacing w:beforeAutospacing="0" w:afterAutospacing="0" w:line="560" w:lineRule="exact"/>
        <w:ind w:firstLine="640" w:firstLineChars="200"/>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依据区委、区政府的重点工作，根据密云农业的特点，区农业农村局将继续加强对“三农”工作的统筹协调和服务指导，继续围绕美丽乡村建设、精准脱低、产业发展、底线工程、党的建设五项重点任务，进一步加大工作力度，</w:t>
      </w:r>
      <w:r>
        <w:rPr>
          <w:rFonts w:ascii="仿宋_GB2312" w:eastAsia="仿宋_GB2312"/>
          <w:color w:val="auto"/>
          <w:sz w:val="32"/>
          <w:szCs w:val="32"/>
        </w:rPr>
        <w:t xml:space="preserve"> </w:t>
      </w:r>
      <w:r>
        <w:rPr>
          <w:rFonts w:hint="eastAsia" w:ascii="仿宋_GB2312" w:eastAsia="仿宋_GB2312"/>
          <w:color w:val="auto"/>
          <w:sz w:val="32"/>
          <w:szCs w:val="32"/>
        </w:rPr>
        <w:t>将专项资金投放到与农业发展有关的方面，集中优势产业，加大资金扶植力度，并根据项目建设周期建立持续性扶植机制，确保支持的项目最终达到满意的效果，发挥社会效益。对重点项目增加过程监督，确保项目实施的效果；在集中验收时组织专业人员现场验收并出具验收意见；增加项目监理环节，增强验收的科学性和严谨性。</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spacing w:line="480" w:lineRule="exact"/>
        <w:jc w:val="center"/>
        <w:rPr>
          <w:rFonts w:hint="eastAsia" w:ascii="方正小标宋简体" w:hAnsi="黑体" w:eastAsia="方正小标宋简体"/>
          <w:color w:val="auto"/>
          <w:sz w:val="36"/>
          <w:szCs w:val="36"/>
        </w:rPr>
      </w:pPr>
      <w:r>
        <w:rPr>
          <w:rFonts w:hint="eastAsia" w:ascii="方正小标宋简体" w:hAnsi="黑体" w:eastAsia="方正小标宋简体"/>
          <w:color w:val="auto"/>
          <w:sz w:val="36"/>
          <w:szCs w:val="36"/>
        </w:rPr>
        <w:t>项目支出绩效自评表</w:t>
      </w:r>
    </w:p>
    <w:p>
      <w:pPr>
        <w:spacing w:line="480" w:lineRule="exact"/>
        <w:jc w:val="center"/>
        <w:rPr>
          <w:rFonts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ascii="仿宋_GB2312" w:hAnsi="宋体" w:eastAsia="仿宋_GB2312"/>
          <w:color w:val="auto"/>
          <w:sz w:val="28"/>
          <w:szCs w:val="28"/>
        </w:rPr>
        <w:t xml:space="preserve">  </w:t>
      </w:r>
      <w:r>
        <w:rPr>
          <w:rFonts w:hint="eastAsia" w:ascii="仿宋_GB2312" w:hAnsi="宋体" w:eastAsia="仿宋_GB2312"/>
          <w:color w:val="auto"/>
          <w:sz w:val="28"/>
          <w:szCs w:val="28"/>
        </w:rPr>
        <w:t xml:space="preserve"> 年度）</w:t>
      </w:r>
    </w:p>
    <w:p>
      <w:pPr>
        <w:spacing w:line="240" w:lineRule="exact"/>
        <w:rPr>
          <w:rFonts w:hint="eastAsia" w:ascii="仿宋_GB2312" w:hAnsi="宋体" w:eastAsia="仿宋_GB2312"/>
          <w:color w:val="auto"/>
          <w:sz w:val="30"/>
          <w:szCs w:val="30"/>
        </w:rPr>
      </w:pPr>
    </w:p>
    <w:tbl>
      <w:tblPr>
        <w:tblStyle w:val="1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实施单位</w:t>
            </w:r>
          </w:p>
        </w:tc>
        <w:tc>
          <w:tcPr>
            <w:tcW w:w="225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联系电话</w:t>
            </w:r>
          </w:p>
        </w:tc>
        <w:tc>
          <w:tcPr>
            <w:tcW w:w="225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项目资金</w:t>
            </w:r>
            <w:r>
              <w:rPr>
                <w:rFonts w:hint="eastAsia" w:ascii="仿宋_GB2312" w:hAnsi="宋体" w:eastAsia="仿宋_GB2312" w:cs="宋体"/>
                <w:color w:val="auto"/>
                <w:kern w:val="0"/>
                <w:szCs w:val="21"/>
              </w:rPr>
              <w:br w:type="textWrapping"/>
            </w:r>
            <w:r>
              <w:rPr>
                <w:rFonts w:hint="eastAsia" w:ascii="仿宋_GB2312" w:hAnsi="宋体" w:eastAsia="仿宋_GB2312" w:cs="宋体"/>
                <w:color w:val="auto"/>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年初预</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算数</w:t>
            </w:r>
          </w:p>
        </w:tc>
        <w:tc>
          <w:tcPr>
            <w:tcW w:w="113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全年预</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全年</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执行率</w:t>
            </w:r>
          </w:p>
        </w:tc>
        <w:tc>
          <w:tcPr>
            <w:tcW w:w="7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3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其中：当年财政</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3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3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3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70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预期目标</w:t>
            </w:r>
          </w:p>
        </w:tc>
        <w:tc>
          <w:tcPr>
            <w:tcW w:w="33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33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绩</w:t>
            </w:r>
            <w:r>
              <w:rPr>
                <w:rFonts w:hint="eastAsia" w:ascii="仿宋_GB2312" w:hAnsi="宋体" w:eastAsia="仿宋_GB2312" w:cs="宋体"/>
                <w:color w:val="auto"/>
                <w:kern w:val="0"/>
                <w:szCs w:val="21"/>
              </w:rPr>
              <w:br w:type="textWrapping"/>
            </w:r>
            <w:r>
              <w:rPr>
                <w:rFonts w:hint="eastAsia" w:ascii="仿宋_GB2312" w:hAnsi="宋体" w:eastAsia="仿宋_GB2312" w:cs="宋体"/>
                <w:color w:val="auto"/>
                <w:kern w:val="0"/>
                <w:szCs w:val="21"/>
              </w:rPr>
              <w:t>效</w:t>
            </w:r>
            <w:r>
              <w:rPr>
                <w:rFonts w:hint="eastAsia" w:ascii="仿宋_GB2312" w:hAnsi="宋体" w:eastAsia="仿宋_GB2312" w:cs="宋体"/>
                <w:color w:val="auto"/>
                <w:kern w:val="0"/>
                <w:szCs w:val="21"/>
              </w:rPr>
              <w:br w:type="textWrapping"/>
            </w:r>
            <w:r>
              <w:rPr>
                <w:rFonts w:hint="eastAsia" w:ascii="仿宋_GB2312" w:hAnsi="宋体" w:eastAsia="仿宋_GB2312" w:cs="宋体"/>
                <w:color w:val="auto"/>
                <w:kern w:val="0"/>
                <w:szCs w:val="21"/>
              </w:rPr>
              <w:t>指</w:t>
            </w:r>
            <w:r>
              <w:rPr>
                <w:rFonts w:hint="eastAsia" w:ascii="仿宋_GB2312" w:hAnsi="宋体" w:eastAsia="仿宋_GB2312" w:cs="宋体"/>
                <w:color w:val="auto"/>
                <w:kern w:val="0"/>
                <w:szCs w:val="21"/>
              </w:rPr>
              <w:br w:type="textWrapping"/>
            </w:r>
            <w:r>
              <w:rPr>
                <w:rFonts w:hint="eastAsia" w:ascii="仿宋_GB2312" w:hAnsi="宋体" w:eastAsia="仿宋_GB2312" w:cs="宋体"/>
                <w:color w:val="auto"/>
                <w:kern w:val="0"/>
                <w:szCs w:val="21"/>
              </w:rPr>
              <w:t>标</w:t>
            </w:r>
          </w:p>
        </w:tc>
        <w:tc>
          <w:tcPr>
            <w:tcW w:w="97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年度</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指标值</w:t>
            </w: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实际</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得分</w:t>
            </w: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偏差原因分析及改进</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经济效益</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社会效益</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生态效益</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满意度</w:t>
            </w:r>
          </w:p>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9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8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c>
          <w:tcPr>
            <w:tcW w:w="14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rPr>
            </w:pPr>
          </w:p>
        </w:tc>
      </w:tr>
    </w:tbl>
    <w:p>
      <w:pPr>
        <w:rPr>
          <w:rFonts w:hint="eastAsia" w:ascii="仿宋_GB2312" w:eastAsia="仿宋_GB2312"/>
          <w:vanish/>
          <w:color w:val="auto"/>
          <w:sz w:val="32"/>
          <w:szCs w:val="32"/>
        </w:rPr>
      </w:pPr>
    </w:p>
    <w:p>
      <w:pPr>
        <w:widowControl/>
        <w:jc w:val="left"/>
        <w:rPr>
          <w:rFonts w:ascii="仿宋_GB2312" w:hAnsi="宋体" w:eastAsia="仿宋_GB2312" w:cs="宋体"/>
          <w:color w:val="auto"/>
          <w:kern w:val="0"/>
          <w:sz w:val="32"/>
          <w:szCs w:val="32"/>
        </w:rPr>
      </w:pPr>
    </w:p>
    <w:p>
      <w:pPr>
        <w:widowControl/>
        <w:spacing w:line="520" w:lineRule="exact"/>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填报注意事项：</w:t>
      </w:r>
    </w:p>
    <w:p>
      <w:pPr>
        <w:widowControl/>
        <w:spacing w:line="52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1.得分一档最高不能超过该指标分值上限。</w:t>
      </w:r>
    </w:p>
    <w:p>
      <w:pPr>
        <w:widowControl/>
        <w:spacing w:line="520" w:lineRule="exact"/>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pPr>
        <w:spacing w:line="52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3.请在“偏差原因分析及改进措施”中说明偏离目标、不能完成目标的原因及拟采取的措施。</w:t>
      </w:r>
    </w:p>
    <w:p>
      <w:pPr>
        <w:spacing w:line="52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4.90（含）-100分为优、80（含）-90分为良、60（含）-80分为中、60分以下为差。</w:t>
      </w:r>
    </w:p>
    <w:p>
      <w:pPr>
        <w:spacing w:line="480" w:lineRule="exact"/>
        <w:rPr>
          <w:rFonts w:hint="eastAsia" w:ascii="仿宋_GB2312" w:eastAsia="仿宋_GB2312"/>
          <w:color w:val="auto"/>
          <w:sz w:val="32"/>
          <w:szCs w:val="32"/>
        </w:rPr>
      </w:pPr>
    </w:p>
    <w:p>
      <w:pPr>
        <w:pStyle w:val="2"/>
        <w:ind w:firstLine="640"/>
        <w:rPr>
          <w:rFonts w:hint="eastAsia" w:ascii="仿宋_GB2312" w:eastAsia="仿宋_GB2312"/>
          <w:color w:val="auto"/>
          <w:sz w:val="32"/>
          <w:szCs w:val="32"/>
        </w:rPr>
      </w:pPr>
    </w:p>
    <w:p>
      <w:pPr>
        <w:pStyle w:val="2"/>
        <w:ind w:firstLine="640"/>
        <w:rPr>
          <w:rFonts w:hint="eastAsia" w:ascii="仿宋_GB2312" w:eastAsia="仿宋_GB2312"/>
          <w:color w:val="auto"/>
          <w:sz w:val="32"/>
          <w:szCs w:val="32"/>
        </w:rPr>
      </w:pPr>
    </w:p>
    <w:p>
      <w:pPr>
        <w:pStyle w:val="2"/>
        <w:rPr>
          <w:rFonts w:hint="eastAsia"/>
          <w:color w:val="auto"/>
        </w:rPr>
      </w:pP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3</w:t>
      </w:r>
      <w:r>
        <w:rPr>
          <w:rFonts w:hint="eastAsia" w:ascii="方正小标宋简体" w:hAnsi="方正小标宋简体" w:eastAsia="方正小标宋简体" w:cs="方正小标宋简体"/>
          <w:color w:val="auto"/>
          <w:sz w:val="36"/>
          <w:szCs w:val="36"/>
        </w:rPr>
        <w:t>年度中央对北京XX转移支付</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预算执行情况绩效自评报告</w:t>
      </w:r>
    </w:p>
    <w:p>
      <w:pPr>
        <w:spacing w:line="600" w:lineRule="exact"/>
        <w:ind w:firstLine="640" w:firstLineChars="200"/>
        <w:rPr>
          <w:rFonts w:hint="eastAsia" w:ascii="黑体" w:hAnsi="黑体" w:eastAsia="黑体" w:cs="黑体"/>
          <w:color w:val="auto"/>
          <w:sz w:val="32"/>
          <w:szCs w:val="32"/>
        </w:rPr>
      </w:pPr>
    </w:p>
    <w:p>
      <w:pPr>
        <w:pStyle w:val="28"/>
        <w:keepNext/>
        <w:keepLines/>
        <w:adjustRightInd w:val="0"/>
        <w:snapToGrid w:val="0"/>
        <w:spacing w:after="0" w:line="540" w:lineRule="exact"/>
        <w:rPr>
          <w:rFonts w:ascii="方正小标宋简体" w:eastAsia="方正小标宋简体"/>
          <w:color w:val="auto"/>
          <w:sz w:val="32"/>
          <w:szCs w:val="32"/>
        </w:rPr>
      </w:pPr>
      <w:bookmarkStart w:id="0" w:name="bookmark14"/>
      <w:bookmarkStart w:id="1" w:name="bookmark15"/>
      <w:bookmarkStart w:id="2" w:name="bookmark13"/>
      <w:r>
        <w:rPr>
          <w:rFonts w:hint="eastAsia" w:ascii="方正小标宋简体" w:hAnsi="Times New Roman" w:eastAsia="方正小标宋简体" w:cs="Times New Roman"/>
          <w:color w:val="auto"/>
          <w:sz w:val="32"/>
          <w:szCs w:val="32"/>
        </w:rPr>
        <w:t>区农业农村局202</w:t>
      </w:r>
      <w:r>
        <w:rPr>
          <w:rFonts w:hint="eastAsia" w:ascii="方正小标宋简体" w:hAnsi="Times New Roman" w:eastAsia="方正小标宋简体" w:cs="Times New Roman"/>
          <w:color w:val="auto"/>
          <w:sz w:val="32"/>
          <w:szCs w:val="32"/>
          <w:lang w:val="en-US" w:eastAsia="zh-CN"/>
        </w:rPr>
        <w:t>3</w:t>
      </w:r>
      <w:r>
        <w:rPr>
          <w:rFonts w:hint="eastAsia" w:ascii="方正小标宋简体" w:hAnsi="Times New Roman" w:eastAsia="方正小标宋简体" w:cs="Times New Roman"/>
          <w:color w:val="auto"/>
          <w:sz w:val="32"/>
          <w:szCs w:val="32"/>
        </w:rPr>
        <w:t>年生猪产业优化提升项目建设资金</w:t>
      </w:r>
      <w:r>
        <w:rPr>
          <w:rFonts w:hint="eastAsia" w:ascii="方正小标宋简体" w:eastAsia="方正小标宋简体"/>
          <w:color w:val="auto"/>
          <w:sz w:val="32"/>
          <w:szCs w:val="32"/>
        </w:rPr>
        <w:t>专项转移支付</w:t>
      </w:r>
      <w:bookmarkEnd w:id="0"/>
      <w:bookmarkEnd w:id="1"/>
      <w:bookmarkEnd w:id="2"/>
    </w:p>
    <w:p>
      <w:pPr>
        <w:pStyle w:val="29"/>
        <w:adjustRightInd w:val="0"/>
        <w:snapToGrid w:val="0"/>
        <w:spacing w:line="540" w:lineRule="exact"/>
        <w:ind w:left="0" w:firstLineChars="200"/>
        <w:jc w:val="both"/>
        <w:rPr>
          <w:rFonts w:ascii="仿宋_GB2312" w:eastAsia="仿宋_GB2312"/>
          <w:color w:val="auto"/>
          <w:sz w:val="32"/>
          <w:szCs w:val="32"/>
          <w:lang w:eastAsia="zh-CN"/>
        </w:rPr>
      </w:pPr>
    </w:p>
    <w:p>
      <w:pPr>
        <w:pStyle w:val="30"/>
        <w:tabs>
          <w:tab w:val="left" w:pos="2187"/>
        </w:tabs>
        <w:adjustRightInd w:val="0"/>
        <w:snapToGrid w:val="0"/>
        <w:spacing w:line="540" w:lineRule="exact"/>
        <w:ind w:left="0" w:firstLine="640" w:firstLineChars="200"/>
        <w:jc w:val="both"/>
        <w:rPr>
          <w:rFonts w:ascii="仿宋_GB2312" w:eastAsia="仿宋_GB2312"/>
          <w:b/>
          <w:color w:val="auto"/>
        </w:rPr>
      </w:pPr>
      <w:r>
        <w:rPr>
          <w:rFonts w:hint="eastAsia" w:ascii="仿宋_GB2312" w:eastAsia="仿宋_GB2312"/>
          <w:b/>
          <w:color w:val="auto"/>
          <w:lang w:eastAsia="zh-CN"/>
        </w:rPr>
        <w:t>一、</w:t>
      </w:r>
      <w:r>
        <w:rPr>
          <w:rFonts w:hint="eastAsia" w:ascii="仿宋_GB2312" w:eastAsia="仿宋_GB2312"/>
          <w:b/>
          <w:color w:val="auto"/>
        </w:rPr>
        <w:t>绩效目标分解下达情况</w:t>
      </w:r>
    </w:p>
    <w:p>
      <w:pPr>
        <w:pStyle w:val="29"/>
        <w:adjustRightInd w:val="0"/>
        <w:snapToGrid w:val="0"/>
        <w:spacing w:line="540" w:lineRule="exact"/>
        <w:ind w:left="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en-US"/>
        </w:rPr>
        <w:t>为缓解新建生猪规模养殖场资金压力，推动生猪生产健康稳定运行，北京市农业农村局下达了生猪产业优化提升项目建设资金专项转移支付786万元，用于穆家峪镇北京穆家峪精育种猪有限公司、大城子镇北京隆盛养殖场、北京华利鑫龙益达养殖场落新改扩建生猪养殖场生产验收资金拨付。</w:t>
      </w:r>
    </w:p>
    <w:p>
      <w:pPr>
        <w:pStyle w:val="30"/>
        <w:tabs>
          <w:tab w:val="left" w:pos="2187"/>
        </w:tabs>
        <w:adjustRightInd w:val="0"/>
        <w:snapToGrid w:val="0"/>
        <w:spacing w:line="540" w:lineRule="exact"/>
        <w:ind w:left="0" w:firstLine="640" w:firstLineChars="200"/>
        <w:jc w:val="both"/>
        <w:rPr>
          <w:rFonts w:ascii="仿宋_GB2312" w:eastAsia="仿宋_GB2312"/>
          <w:b/>
          <w:color w:val="auto"/>
        </w:rPr>
      </w:pPr>
      <w:r>
        <w:rPr>
          <w:rFonts w:hint="eastAsia" w:ascii="仿宋_GB2312" w:eastAsia="仿宋_GB2312"/>
          <w:b/>
          <w:color w:val="auto"/>
          <w:lang w:eastAsia="zh-CN"/>
        </w:rPr>
        <w:t>二、</w:t>
      </w:r>
      <w:r>
        <w:rPr>
          <w:rFonts w:hint="eastAsia" w:ascii="仿宋_GB2312" w:eastAsia="仿宋_GB2312"/>
          <w:b/>
          <w:color w:val="auto"/>
        </w:rPr>
        <w:t>绩效目标过程管理情况</w:t>
      </w:r>
    </w:p>
    <w:p>
      <w:pPr>
        <w:snapToGrid w:val="0"/>
        <w:spacing w:line="54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根据北京市农业农村局 北京市财政局《关于印发北京市生猪产业优化提升发展项目实施意见的通知》（京政农发〔2020〕36号）和中共北京市密云区委农村工作领导小组办公室《关于印发北京市密云区优化生猪产业工作实施方案的通知》（</w:t>
      </w:r>
      <w:r>
        <w:rPr>
          <w:rFonts w:hint="eastAsia" w:ascii="仿宋_GB2312" w:hAnsi="仿宋_GB2312" w:eastAsia="仿宋_GB2312" w:cs="仿宋_GB2312"/>
          <w:bCs/>
          <w:color w:val="auto"/>
          <w:sz w:val="32"/>
          <w:szCs w:val="32"/>
          <w:lang w:eastAsia="zh-CN"/>
        </w:rPr>
        <w:t>密农组办发〔2019〕5号</w:t>
      </w:r>
      <w:r>
        <w:rPr>
          <w:rFonts w:hint="eastAsia" w:ascii="仿宋_GB2312" w:hAnsi="仿宋_GB2312" w:eastAsia="仿宋_GB2312" w:cs="仿宋_GB2312"/>
          <w:color w:val="auto"/>
          <w:sz w:val="32"/>
          <w:szCs w:val="32"/>
          <w:lang w:eastAsia="zh-CN"/>
        </w:rPr>
        <w:t>）文件精神，密云区成立了由主管区长任组长，各相关单位主管领导为成员的优化生猪产业布局工作组，全力推进项目建设实施。</w:t>
      </w:r>
    </w:p>
    <w:tbl>
      <w:tblPr>
        <w:tblStyle w:val="16"/>
        <w:tblW w:w="7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827"/>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exact"/>
          <w:jc w:val="center"/>
        </w:trPr>
        <w:tc>
          <w:tcPr>
            <w:tcW w:w="1697" w:type="dxa"/>
            <w:noWrap w:val="0"/>
            <w:vAlign w:val="center"/>
          </w:tcPr>
          <w:p>
            <w:pPr>
              <w:spacing w:line="240" w:lineRule="exact"/>
              <w:jc w:val="center"/>
              <w:rPr>
                <w:rFonts w:ascii="仿宋_GB2312" w:eastAsia="仿宋_GB2312"/>
                <w:color w:val="auto"/>
              </w:rPr>
            </w:pPr>
            <w:r>
              <w:rPr>
                <w:rFonts w:hint="eastAsia" w:ascii="仿宋_GB2312" w:eastAsia="仿宋_GB2312"/>
                <w:color w:val="auto"/>
              </w:rPr>
              <w:t>第一阶段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成立专班，组织项目申报，审批，落实项目建设地点，准备施工建设。</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2020年1月-3月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exact"/>
          <w:jc w:val="center"/>
        </w:trPr>
        <w:tc>
          <w:tcPr>
            <w:tcW w:w="1697" w:type="dxa"/>
            <w:noWrap w:val="0"/>
            <w:vAlign w:val="center"/>
          </w:tcPr>
          <w:p>
            <w:pPr>
              <w:spacing w:line="240" w:lineRule="exact"/>
              <w:jc w:val="center"/>
              <w:rPr>
                <w:rFonts w:ascii="仿宋_GB2312" w:eastAsia="仿宋_GB2312"/>
                <w:color w:val="auto"/>
              </w:rPr>
            </w:pPr>
            <w:r>
              <w:rPr>
                <w:rFonts w:hint="eastAsia" w:ascii="仿宋_GB2312" w:eastAsia="仿宋_GB2312"/>
                <w:color w:val="auto"/>
              </w:rPr>
              <w:t>第二阶段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组织3个实施新改扩建设项目单位，进行施工建设，开展督导检查，做好协调服务，及时协助解决施工过程中遇到的问题，确保按时建成投产。</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2020年3月至2021年6月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ascii="仿宋_GB2312" w:eastAsia="仿宋_GB2312"/>
                <w:color w:val="auto"/>
              </w:rPr>
            </w:pPr>
            <w:r>
              <w:rPr>
                <w:rFonts w:hint="eastAsia" w:ascii="仿宋_GB2312" w:eastAsia="仿宋_GB2312"/>
                <w:color w:val="auto"/>
              </w:rPr>
              <w:t>第三阶段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对完成新改扩建的项目单位开展生物安全验收和养殖生产技术验收；组织生态环境局、水务局、园林绿化局、属地政府等部门进行建设竣工验收，做好财政结算评审准备工作。</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2021年6月至2021年9月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ascii="仿宋_GB2312" w:eastAsia="仿宋_GB2312"/>
                <w:color w:val="auto"/>
                <w:lang w:eastAsia="zh-CN"/>
              </w:rPr>
            </w:pPr>
            <w:r>
              <w:rPr>
                <w:rFonts w:hint="eastAsia" w:ascii="仿宋_GB2312" w:eastAsia="仿宋_GB2312"/>
                <w:color w:val="auto"/>
                <w:lang w:eastAsia="zh-CN"/>
              </w:rPr>
              <w:t>第四阶段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完成穆家峪镇北京穆家峪精育种猪有限公司、大城子镇北京隆盛养殖场财政评审，准备生产验收北京华利鑫龙益达养殖场竣工验收，报财政局结算评审</w:t>
            </w:r>
          </w:p>
        </w:tc>
        <w:tc>
          <w:tcPr>
            <w:tcW w:w="236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2021年10月至2022年7月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ascii="仿宋_GB2312" w:eastAsia="仿宋_GB2312"/>
                <w:color w:val="auto"/>
                <w:lang w:eastAsia="zh-CN"/>
              </w:rPr>
            </w:pPr>
            <w:r>
              <w:rPr>
                <w:rFonts w:hint="eastAsia" w:ascii="仿宋_GB2312" w:eastAsia="仿宋_GB2312"/>
                <w:color w:val="auto"/>
                <w:lang w:eastAsia="zh-CN"/>
              </w:rPr>
              <w:t>第五阶段</w:t>
            </w:r>
          </w:p>
        </w:tc>
        <w:tc>
          <w:tcPr>
            <w:tcW w:w="3827" w:type="dxa"/>
            <w:noWrap w:val="0"/>
            <w:vAlign w:val="center"/>
          </w:tcPr>
          <w:p>
            <w:pPr>
              <w:spacing w:line="240" w:lineRule="exact"/>
              <w:jc w:val="both"/>
              <w:rPr>
                <w:rFonts w:ascii="仿宋_GB2312" w:eastAsia="仿宋_GB2312"/>
                <w:color w:val="auto"/>
                <w:lang w:eastAsia="zh-CN"/>
              </w:rPr>
            </w:pPr>
            <w:r>
              <w:rPr>
                <w:rFonts w:hint="eastAsia" w:ascii="仿宋_GB2312" w:eastAsia="仿宋_GB2312"/>
                <w:color w:val="auto"/>
                <w:lang w:eastAsia="zh-CN"/>
              </w:rPr>
              <w:t>完成北京华利鑫龙益达养殖场结算评审，准备生产验收</w:t>
            </w:r>
          </w:p>
        </w:tc>
        <w:tc>
          <w:tcPr>
            <w:tcW w:w="2367" w:type="dxa"/>
            <w:noWrap w:val="0"/>
            <w:vAlign w:val="center"/>
          </w:tcPr>
          <w:p>
            <w:pPr>
              <w:spacing w:line="240" w:lineRule="exact"/>
              <w:jc w:val="both"/>
              <w:rPr>
                <w:rFonts w:ascii="仿宋_GB2312" w:eastAsia="仿宋_GB2312"/>
                <w:color w:val="auto"/>
                <w:highlight w:val="yellow"/>
                <w:lang w:eastAsia="zh-CN"/>
              </w:rPr>
            </w:pPr>
            <w:r>
              <w:rPr>
                <w:rFonts w:hint="eastAsia" w:ascii="仿宋_GB2312" w:eastAsia="仿宋_GB2312"/>
                <w:color w:val="auto"/>
                <w:highlight w:val="yellow"/>
                <w:lang w:eastAsia="zh-CN"/>
              </w:rPr>
              <w:t>2022年8月至2022年12月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1697" w:type="dxa"/>
            <w:noWrap w:val="0"/>
            <w:vAlign w:val="center"/>
          </w:tcPr>
          <w:p>
            <w:pPr>
              <w:spacing w:line="240" w:lineRule="exact"/>
              <w:ind w:firstLine="210" w:firstLineChars="100"/>
              <w:jc w:val="center"/>
              <w:rPr>
                <w:rFonts w:hint="eastAsia" w:ascii="仿宋_GB2312" w:eastAsia="仿宋_GB2312"/>
                <w:color w:val="auto"/>
                <w:lang w:eastAsia="zh-CN"/>
              </w:rPr>
            </w:pPr>
            <w:r>
              <w:rPr>
                <w:rFonts w:hint="eastAsia" w:ascii="仿宋_GB2312" w:eastAsia="仿宋_GB2312"/>
                <w:color w:val="auto"/>
                <w:lang w:eastAsia="zh-CN"/>
              </w:rPr>
              <w:t>第六阶段</w:t>
            </w:r>
          </w:p>
        </w:tc>
        <w:tc>
          <w:tcPr>
            <w:tcW w:w="3827" w:type="dxa"/>
            <w:noWrap w:val="0"/>
            <w:vAlign w:val="center"/>
          </w:tcPr>
          <w:p>
            <w:pPr>
              <w:spacing w:line="240" w:lineRule="exact"/>
              <w:jc w:val="both"/>
              <w:rPr>
                <w:rFonts w:hint="eastAsia" w:ascii="仿宋_GB2312" w:eastAsia="仿宋_GB2312"/>
                <w:color w:val="auto"/>
                <w:lang w:eastAsia="zh-CN"/>
              </w:rPr>
            </w:pPr>
            <w:r>
              <w:rPr>
                <w:rFonts w:hint="eastAsia" w:ascii="仿宋_GB2312" w:eastAsia="仿宋_GB2312"/>
                <w:color w:val="auto"/>
                <w:lang w:eastAsia="zh-CN"/>
              </w:rPr>
              <w:t>完成北京华丽鑫龙益达养殖场，北京隆盛养殖场，北京穆家峪精育种猪有限公司生产验收任务</w:t>
            </w:r>
          </w:p>
        </w:tc>
        <w:tc>
          <w:tcPr>
            <w:tcW w:w="2367" w:type="dxa"/>
            <w:noWrap w:val="0"/>
            <w:vAlign w:val="center"/>
          </w:tcPr>
          <w:p>
            <w:pPr>
              <w:spacing w:line="240" w:lineRule="exact"/>
              <w:jc w:val="both"/>
              <w:rPr>
                <w:rFonts w:hint="eastAsia" w:ascii="仿宋_GB2312" w:eastAsia="仿宋_GB2312"/>
                <w:color w:val="auto"/>
                <w:highlight w:val="yellow"/>
                <w:lang w:val="en-US" w:eastAsia="zh-CN"/>
              </w:rPr>
            </w:pPr>
            <w:r>
              <w:rPr>
                <w:rFonts w:hint="eastAsia" w:ascii="仿宋_GB2312" w:eastAsia="仿宋_GB2312"/>
                <w:color w:val="auto"/>
                <w:highlight w:val="yellow"/>
                <w:lang w:val="en-US" w:eastAsia="zh-CN"/>
              </w:rPr>
              <w:t>2022年9月1日至2024年2月29日</w:t>
            </w:r>
          </w:p>
        </w:tc>
      </w:tr>
    </w:tbl>
    <w:p>
      <w:pPr>
        <w:pStyle w:val="30"/>
        <w:tabs>
          <w:tab w:val="left" w:pos="2187"/>
        </w:tabs>
        <w:adjustRightInd w:val="0"/>
        <w:snapToGrid w:val="0"/>
        <w:spacing w:line="540" w:lineRule="exact"/>
        <w:ind w:left="0" w:firstLine="640" w:firstLineChars="200"/>
        <w:jc w:val="both"/>
        <w:rPr>
          <w:rFonts w:ascii="仿宋_GB2312" w:eastAsia="仿宋_GB2312"/>
          <w:b/>
          <w:color w:val="auto"/>
          <w:lang w:eastAsia="zh-CN"/>
        </w:rPr>
      </w:pPr>
    </w:p>
    <w:p>
      <w:pPr>
        <w:pStyle w:val="30"/>
        <w:tabs>
          <w:tab w:val="left" w:pos="2187"/>
        </w:tabs>
        <w:adjustRightInd w:val="0"/>
        <w:snapToGrid w:val="0"/>
        <w:spacing w:line="540" w:lineRule="exact"/>
        <w:ind w:left="0" w:firstLine="640" w:firstLineChars="200"/>
        <w:jc w:val="both"/>
        <w:rPr>
          <w:rFonts w:ascii="仿宋_GB2312" w:eastAsia="仿宋_GB2312"/>
          <w:b/>
          <w:color w:val="auto"/>
        </w:rPr>
      </w:pPr>
      <w:r>
        <w:rPr>
          <w:rFonts w:hint="eastAsia" w:ascii="仿宋_GB2312" w:eastAsia="仿宋_GB2312"/>
          <w:b/>
          <w:color w:val="auto"/>
          <w:lang w:eastAsia="zh-CN"/>
        </w:rPr>
        <w:t>三、</w:t>
      </w:r>
      <w:r>
        <w:rPr>
          <w:rFonts w:hint="eastAsia" w:ascii="仿宋_GB2312" w:eastAsia="仿宋_GB2312"/>
          <w:b/>
          <w:color w:val="auto"/>
        </w:rPr>
        <w:t>绩效目标完成情况分析</w:t>
      </w:r>
    </w:p>
    <w:p>
      <w:pPr>
        <w:pStyle w:val="29"/>
        <w:adjustRightInd w:val="0"/>
        <w:snapToGrid w:val="0"/>
        <w:spacing w:line="540" w:lineRule="exact"/>
        <w:ind w:left="0" w:firstLine="640" w:firstLineChars="200"/>
        <w:jc w:val="both"/>
        <w:rPr>
          <w:rFonts w:ascii="仿宋_GB2312" w:eastAsia="仿宋_GB2312"/>
          <w:b/>
          <w:color w:val="auto"/>
          <w:sz w:val="32"/>
          <w:szCs w:val="32"/>
        </w:rPr>
      </w:pPr>
      <w:r>
        <w:rPr>
          <w:rFonts w:hint="eastAsia" w:ascii="仿宋_GB2312" w:eastAsia="仿宋_GB2312"/>
          <w:b/>
          <w:color w:val="auto"/>
          <w:sz w:val="32"/>
          <w:szCs w:val="32"/>
          <w:lang w:eastAsia="zh-CN"/>
        </w:rPr>
        <w:t>（一）</w:t>
      </w:r>
      <w:r>
        <w:rPr>
          <w:rFonts w:hint="eastAsia" w:ascii="仿宋_GB2312" w:eastAsia="仿宋_GB2312"/>
          <w:b/>
          <w:color w:val="auto"/>
          <w:sz w:val="32"/>
          <w:szCs w:val="32"/>
        </w:rPr>
        <w:t>资金投入情况分析</w:t>
      </w:r>
    </w:p>
    <w:p>
      <w:pPr>
        <w:pStyle w:val="29"/>
        <w:adjustRightInd w:val="0"/>
        <w:snapToGrid w:val="0"/>
        <w:spacing w:line="540" w:lineRule="exact"/>
        <w:ind w:left="0" w:firstLineChars="200"/>
        <w:jc w:val="both"/>
        <w:rPr>
          <w:rFonts w:hint="eastAsia" w:ascii="仿宋_GB2312" w:hAnsi="仿宋_GB2312" w:eastAsia="仿宋_GB2312" w:cs="仿宋_GB2312"/>
          <w:color w:val="auto"/>
          <w:kern w:val="0"/>
          <w:sz w:val="32"/>
          <w:szCs w:val="32"/>
          <w:lang w:val="en-US" w:eastAsia="zh-CN" w:bidi="en-US"/>
        </w:rPr>
      </w:pPr>
      <w:r>
        <w:rPr>
          <w:rFonts w:hint="eastAsia" w:ascii="仿宋_GB2312" w:hAnsi="仿宋_GB2312" w:eastAsia="仿宋_GB2312" w:cs="仿宋_GB2312"/>
          <w:color w:val="auto"/>
          <w:kern w:val="0"/>
          <w:sz w:val="32"/>
          <w:szCs w:val="32"/>
          <w:lang w:val="en-US" w:eastAsia="zh-CN" w:bidi="en-US"/>
        </w:rPr>
        <w:t>依据北京市农业农村局 北京市财政局《关于印发北京市生猪产业优化提升发展项目实施意见的通知》（京政农发〔2020〕36号），北京华利鑫龙益达养殖场</w:t>
      </w:r>
      <w:r>
        <w:rPr>
          <w:rFonts w:hint="eastAsia" w:ascii="仿宋" w:hAnsi="仿宋" w:eastAsia="仿宋" w:cs="仿宋"/>
          <w:color w:val="auto"/>
          <w:sz w:val="32"/>
          <w:szCs w:val="32"/>
          <w:lang w:val="en-US" w:eastAsia="zh-CN"/>
        </w:rPr>
        <w:t>设计存栏为2个补贴单元（存栏基础母猪1000头），补贴资金为2000万元。北京隆盛养殖场和北京穆家峪精育种猪有限公司设计存栏均为1个补贴单元，补贴资金为1000万元。三个场补贴资金4000万元。市局分三批拨付资金1308万元，1906万元，786万元，共计4000万元。目前</w:t>
      </w:r>
      <w:r>
        <w:rPr>
          <w:rFonts w:hint="eastAsia" w:ascii="仿宋_GB2312" w:hAnsi="仿宋_GB2312" w:eastAsia="仿宋_GB2312" w:cs="仿宋_GB2312"/>
          <w:color w:val="auto"/>
          <w:kern w:val="0"/>
          <w:sz w:val="32"/>
          <w:szCs w:val="32"/>
          <w:lang w:val="en-US" w:eastAsia="zh-CN" w:bidi="en-US"/>
        </w:rPr>
        <w:t>北京华利鑫龙益达养殖场已完成竣工和生产验收，已拨付资金2000万元，北京隆盛养殖场也全部完成竣工和生产验收，拨付补贴资金1000万元。北京穆家峪精育种猪有限公司完成竣工验收和17%的生产验收资金，完成拨付770万元资金拨付。</w:t>
      </w:r>
    </w:p>
    <w:p>
      <w:pPr>
        <w:pStyle w:val="29"/>
        <w:adjustRightInd w:val="0"/>
        <w:snapToGrid w:val="0"/>
        <w:spacing w:line="540" w:lineRule="exact"/>
        <w:ind w:left="0" w:firstLineChars="200"/>
        <w:jc w:val="both"/>
        <w:rPr>
          <w:rFonts w:ascii="仿宋_GB2312" w:hAnsi="仿宋_GB2312" w:eastAsia="仿宋_GB2312" w:cs="仿宋_GB2312"/>
          <w:color w:val="auto"/>
          <w:kern w:val="0"/>
          <w:sz w:val="32"/>
          <w:szCs w:val="32"/>
          <w:lang w:val="en-US" w:eastAsia="zh-CN" w:bidi="en-US"/>
        </w:rPr>
      </w:pPr>
      <w:r>
        <w:rPr>
          <w:rFonts w:hint="eastAsia" w:ascii="仿宋_GB2312" w:hAnsi="仿宋_GB2312" w:eastAsia="仿宋_GB2312" w:cs="仿宋_GB2312"/>
          <w:color w:val="auto"/>
          <w:kern w:val="0"/>
          <w:sz w:val="32"/>
          <w:szCs w:val="32"/>
          <w:lang w:val="en-US" w:eastAsia="zh-CN" w:bidi="en-US"/>
        </w:rPr>
        <w:t>2023年市农业农村局拨付786万资金中已拨付北京华利鑫龙益达养殖场生产验收资金462万，北京隆盛养殖场生产验收资金185万，</w:t>
      </w:r>
      <w:r>
        <w:rPr>
          <w:rFonts w:hint="eastAsia" w:ascii="仿宋" w:hAnsi="仿宋" w:eastAsia="仿宋" w:cs="仿宋"/>
          <w:color w:val="auto"/>
          <w:sz w:val="32"/>
          <w:szCs w:val="32"/>
          <w:highlight w:val="yellow"/>
          <w:lang w:val="en-US" w:eastAsia="zh-CN"/>
        </w:rPr>
        <w:t>剩余资金生产验收资金139万元为北京穆家峪精育种猪有限公司生产验收资金，根据生猪出栏数据，拨付2024年拨付该资金。</w:t>
      </w:r>
    </w:p>
    <w:p>
      <w:pPr>
        <w:pStyle w:val="29"/>
        <w:tabs>
          <w:tab w:val="left" w:pos="2520"/>
        </w:tabs>
        <w:adjustRightInd w:val="0"/>
        <w:snapToGrid w:val="0"/>
        <w:spacing w:line="540" w:lineRule="exact"/>
        <w:ind w:left="0" w:firstLine="640" w:firstLineChars="200"/>
        <w:jc w:val="both"/>
        <w:rPr>
          <w:rFonts w:ascii="仿宋_GB2312" w:eastAsia="仿宋_GB2312"/>
          <w:b/>
          <w:color w:val="auto"/>
          <w:sz w:val="32"/>
          <w:szCs w:val="32"/>
        </w:rPr>
      </w:pPr>
      <w:r>
        <w:rPr>
          <w:rFonts w:hint="eastAsia" w:ascii="仿宋_GB2312" w:eastAsia="仿宋_GB2312"/>
          <w:b/>
          <w:color w:val="auto"/>
          <w:sz w:val="32"/>
          <w:szCs w:val="32"/>
          <w:lang w:eastAsia="zh-CN"/>
        </w:rPr>
        <w:t>（二）</w:t>
      </w:r>
      <w:r>
        <w:rPr>
          <w:rFonts w:hint="eastAsia" w:ascii="仿宋_GB2312" w:eastAsia="仿宋_GB2312"/>
          <w:b/>
          <w:color w:val="auto"/>
          <w:sz w:val="32"/>
          <w:szCs w:val="32"/>
        </w:rPr>
        <w:t>总体绩效目标完成情况分析</w:t>
      </w:r>
    </w:p>
    <w:p>
      <w:pPr>
        <w:snapToGrid w:val="0"/>
        <w:spacing w:line="560" w:lineRule="exact"/>
        <w:ind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总目标：通过对生猪规模养殖场实施新、改、扩建项目建设，有效的促进了生猪产业设施设备提档升级，实现养殖粪污减量化、无害化、资源化、生态化，构建种养生态循环链，形成生态养殖与有机种植业一体化发展的生猪产业模式。提高了从业人员素质，构建生物安全屏障体系，消除隐患、减少风险，对防控非洲猪瘟等重大动物疫病，稳定生猪产业健康发展，保障猪肉市场基本供应，发挥重要作用。</w:t>
      </w:r>
    </w:p>
    <w:p>
      <w:pPr>
        <w:pStyle w:val="6"/>
        <w:spacing w:line="560" w:lineRule="exact"/>
        <w:ind w:left="0" w:firstLine="640" w:firstLineChars="200"/>
        <w:rPr>
          <w:color w:val="auto"/>
          <w:lang w:val="en-US" w:eastAsia="zh-CN"/>
        </w:rPr>
      </w:pPr>
      <w:r>
        <w:rPr>
          <w:rFonts w:hint="eastAsia"/>
          <w:color w:val="auto"/>
          <w:lang w:val="en-US" w:eastAsia="zh-CN"/>
        </w:rPr>
        <w:t>年度目标：加快落实北京穆家峪精育种猪有限公司生产验收。完成市级下达给密云区生猪存栏3.5万头生产任务。</w:t>
      </w:r>
    </w:p>
    <w:p>
      <w:pPr>
        <w:pStyle w:val="29"/>
        <w:tabs>
          <w:tab w:val="left" w:pos="2520"/>
        </w:tabs>
        <w:adjustRightInd w:val="0"/>
        <w:snapToGrid w:val="0"/>
        <w:spacing w:line="540" w:lineRule="exact"/>
        <w:ind w:left="0" w:firstLine="640" w:firstLineChars="200"/>
        <w:jc w:val="both"/>
        <w:rPr>
          <w:rFonts w:ascii="仿宋_GB2312" w:eastAsia="仿宋_GB2312"/>
          <w:b/>
          <w:color w:val="auto"/>
          <w:sz w:val="32"/>
          <w:szCs w:val="32"/>
          <w:lang w:eastAsia="zh-CN"/>
        </w:rPr>
      </w:pPr>
      <w:r>
        <w:rPr>
          <w:rFonts w:hint="eastAsia" w:ascii="仿宋_GB2312" w:eastAsia="仿宋_GB2312"/>
          <w:b/>
          <w:color w:val="auto"/>
          <w:sz w:val="32"/>
          <w:szCs w:val="32"/>
          <w:lang w:eastAsia="zh-CN"/>
        </w:rPr>
        <w:t>（三）</w:t>
      </w:r>
      <w:r>
        <w:rPr>
          <w:rFonts w:hint="eastAsia" w:ascii="仿宋_GB2312" w:eastAsia="仿宋_GB2312"/>
          <w:b/>
          <w:color w:val="auto"/>
          <w:sz w:val="32"/>
          <w:szCs w:val="32"/>
        </w:rPr>
        <w:t>绩效指标完成情况分析</w:t>
      </w:r>
    </w:p>
    <w:p>
      <w:pPr>
        <w:pStyle w:val="29"/>
        <w:tabs>
          <w:tab w:val="left" w:pos="2520"/>
        </w:tabs>
        <w:adjustRightInd w:val="0"/>
        <w:snapToGrid w:val="0"/>
        <w:spacing w:line="540" w:lineRule="exact"/>
        <w:ind w:left="0" w:firstLine="600" w:firstLineChars="200"/>
        <w:jc w:val="both"/>
        <w:rPr>
          <w:rFonts w:ascii="仿宋_GB2312" w:eastAsia="仿宋_GB2312"/>
          <w:color w:val="auto"/>
          <w:sz w:val="30"/>
          <w:szCs w:val="30"/>
          <w:lang w:val="en-US" w:eastAsia="zh-CN"/>
        </w:rPr>
      </w:pPr>
      <w:r>
        <w:rPr>
          <w:rFonts w:hint="eastAsia" w:ascii="仿宋_GB2312" w:eastAsia="仿宋_GB2312"/>
          <w:color w:val="auto"/>
          <w:sz w:val="30"/>
          <w:szCs w:val="30"/>
        </w:rPr>
        <w:t>对3个生猪规模生猪养殖场实施新改扩建项目建设</w:t>
      </w:r>
      <w:r>
        <w:rPr>
          <w:rFonts w:hint="eastAsia" w:ascii="仿宋_GB2312" w:eastAsia="仿宋_GB2312"/>
          <w:color w:val="auto"/>
          <w:sz w:val="30"/>
          <w:szCs w:val="30"/>
          <w:lang w:eastAsia="zh-CN"/>
        </w:rPr>
        <w:t>，全部建成投产将实现生猪存栏30000头，出栏40000头的目标。稳定生猪生产，保障猪肉市场供应，防止出现猪肉价格出现大的波动。促进生猪产业提档升级，实现养殖粪污减量化、无害化、资源化、生态化，构建种养生态循环链，形成生态养殖与有机种植业一体化发展的生猪产业模式构建生物安全屏障体系，消除隐患、减少风险，严防重大动物疫病发生。通过新改扩建项目的实施，有效提高生猪产能，改善养殖环境，提升生猪生物安全防控水平，保障安全健康的生猪供应，</w:t>
      </w:r>
      <w:r>
        <w:rPr>
          <w:rFonts w:hint="eastAsia" w:ascii="仿宋_GB2312" w:eastAsia="仿宋_GB2312"/>
          <w:color w:val="auto"/>
          <w:sz w:val="30"/>
          <w:szCs w:val="30"/>
          <w:lang w:val="en-US" w:eastAsia="zh-CN"/>
        </w:rPr>
        <w:t>构建生物安全保障，达到种养结合循环发展生态养殖模式，促进全区规模化、标准化健康养殖。可持续影响力显著增强。通过良好的协调服务，3个新改扩建项目实施单位对区农业农村局的服务满意度为100%。</w:t>
      </w:r>
    </w:p>
    <w:tbl>
      <w:tblPr>
        <w:tblStyle w:val="16"/>
        <w:tblW w:w="0" w:type="auto"/>
        <w:jc w:val="center"/>
        <w:tblLayout w:type="fixed"/>
        <w:tblCellMar>
          <w:top w:w="0" w:type="dxa"/>
          <w:left w:w="108" w:type="dxa"/>
          <w:bottom w:w="0" w:type="dxa"/>
          <w:right w:w="108" w:type="dxa"/>
        </w:tblCellMar>
      </w:tblPr>
      <w:tblGrid>
        <w:gridCol w:w="686"/>
        <w:gridCol w:w="341"/>
        <w:gridCol w:w="411"/>
        <w:gridCol w:w="1050"/>
        <w:gridCol w:w="489"/>
        <w:gridCol w:w="810"/>
        <w:gridCol w:w="585"/>
        <w:gridCol w:w="135"/>
        <w:gridCol w:w="396"/>
        <w:gridCol w:w="309"/>
        <w:gridCol w:w="105"/>
        <w:gridCol w:w="615"/>
        <w:gridCol w:w="900"/>
        <w:gridCol w:w="330"/>
        <w:gridCol w:w="360"/>
        <w:gridCol w:w="330"/>
        <w:gridCol w:w="555"/>
        <w:gridCol w:w="255"/>
        <w:gridCol w:w="390"/>
        <w:gridCol w:w="1228"/>
      </w:tblGrid>
      <w:tr>
        <w:tblPrEx>
          <w:tblCellMar>
            <w:top w:w="0" w:type="dxa"/>
            <w:left w:w="108" w:type="dxa"/>
            <w:bottom w:w="0" w:type="dxa"/>
            <w:right w:w="108" w:type="dxa"/>
          </w:tblCellMar>
        </w:tblPrEx>
        <w:trPr>
          <w:trHeight w:val="327" w:hRule="atLeast"/>
          <w:jc w:val="center"/>
        </w:trPr>
        <w:tc>
          <w:tcPr>
            <w:tcW w:w="297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转移支付（项目）名称</w:t>
            </w:r>
          </w:p>
        </w:tc>
        <w:tc>
          <w:tcPr>
            <w:tcW w:w="7303"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2023年生猪产业优化提升项目</w:t>
            </w:r>
          </w:p>
        </w:tc>
      </w:tr>
      <w:tr>
        <w:tblPrEx>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市级主管部门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北京市农业农村局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转移支付类别</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引导类</w:t>
            </w:r>
          </w:p>
        </w:tc>
      </w:tr>
      <w:tr>
        <w:tblPrEx>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r>
              <w:rPr>
                <w:rFonts w:hint="eastAsia" w:ascii="宋体" w:hAnsi="宋体" w:cs="宋体"/>
                <w:color w:val="auto"/>
                <w:sz w:val="20"/>
                <w:szCs w:val="20"/>
              </w:rPr>
              <w:t>密云区农业农村局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资金使用单位</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密云区农业农村局畜牧渔业科</w:t>
            </w:r>
          </w:p>
        </w:tc>
      </w:tr>
      <w:tr>
        <w:tblPrEx>
          <w:tblCellMar>
            <w:top w:w="0" w:type="dxa"/>
            <w:left w:w="108" w:type="dxa"/>
            <w:bottom w:w="0" w:type="dxa"/>
            <w:right w:w="108" w:type="dxa"/>
          </w:tblCellMar>
        </w:tblPrEx>
        <w:trPr>
          <w:trHeight w:val="1017" w:hRule="atLeast"/>
          <w:jc w:val="center"/>
        </w:trPr>
        <w:tc>
          <w:tcPr>
            <w:tcW w:w="1027"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资金投入情况</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（万元，小数点保留2位）</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年初预算数（A）</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预算调整数（B）</w:t>
            </w: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调整后预算数（C）</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全年执行数（D）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预算调整</w:t>
            </w:r>
            <w:r>
              <w:rPr>
                <w:rStyle w:val="31"/>
                <w:color w:val="auto"/>
                <w:lang w:bidi="ar"/>
              </w:rPr>
              <w:t>率（</w:t>
            </w:r>
            <w:r>
              <w:rPr>
                <w:rStyle w:val="31"/>
                <w:color w:val="auto"/>
                <w:spacing w:val="-11"/>
                <w:lang w:bidi="ar"/>
              </w:rPr>
              <w:t>B/A</w:t>
            </w:r>
            <w:r>
              <w:rPr>
                <w:rStyle w:val="31"/>
                <w:rFonts w:hint="eastAsia"/>
                <w:color w:val="auto"/>
                <w:spacing w:val="-11"/>
                <w:lang w:bidi="ar"/>
              </w:rPr>
              <w:t>×100%）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color w:val="auto"/>
                <w:sz w:val="20"/>
                <w:szCs w:val="20"/>
              </w:rPr>
            </w:pPr>
            <w:r>
              <w:rPr>
                <w:rFonts w:hint="eastAsia"/>
                <w:color w:val="auto"/>
                <w:sz w:val="20"/>
                <w:szCs w:val="20"/>
              </w:rPr>
              <w:t>分值</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预算执行率</w:t>
            </w:r>
            <w:r>
              <w:rPr>
                <w:rFonts w:hint="eastAsia" w:ascii="宋体" w:hAnsi="宋体" w:cs="宋体"/>
                <w:color w:val="auto"/>
                <w:spacing w:val="-11"/>
                <w:kern w:val="0"/>
                <w:sz w:val="20"/>
                <w:szCs w:val="20"/>
                <w:lang w:bidi="ar"/>
              </w:rPr>
              <w:t>（D</w:t>
            </w:r>
            <w:r>
              <w:rPr>
                <w:rStyle w:val="31"/>
                <w:color w:val="auto"/>
                <w:spacing w:val="-11"/>
                <w:lang w:bidi="ar"/>
              </w:rPr>
              <w:t>/C</w:t>
            </w:r>
            <w:r>
              <w:rPr>
                <w:rStyle w:val="31"/>
                <w:rFonts w:hint="eastAsia"/>
                <w:color w:val="auto"/>
                <w:spacing w:val="-11"/>
                <w:lang w:bidi="ar"/>
              </w:rPr>
              <w:t>×100%）</w:t>
            </w:r>
          </w:p>
        </w:tc>
        <w:tc>
          <w:tcPr>
            <w:tcW w:w="645"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得分</w:t>
            </w:r>
          </w:p>
        </w:tc>
        <w:tc>
          <w:tcPr>
            <w:tcW w:w="1228"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预算调整</w:t>
            </w:r>
            <w:r>
              <w:rPr>
                <w:rStyle w:val="31"/>
                <w:color w:val="auto"/>
                <w:lang w:bidi="ar"/>
              </w:rPr>
              <w:t>、结余等原因分析及改进措施</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年度资金总额：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647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10</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100%</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10</w:t>
            </w:r>
          </w:p>
        </w:tc>
        <w:tc>
          <w:tcPr>
            <w:tcW w:w="122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20"/>
                <w:szCs w:val="20"/>
              </w:rPr>
              <w:t>剩余</w:t>
            </w:r>
            <w:r>
              <w:rPr>
                <w:rFonts w:hint="eastAsia" w:ascii="宋体" w:hAnsi="宋体" w:cs="宋体"/>
                <w:color w:val="auto"/>
                <w:sz w:val="20"/>
                <w:szCs w:val="20"/>
                <w:lang w:val="en-US" w:eastAsia="zh-CN"/>
              </w:rPr>
              <w:t xml:space="preserve">139   </w:t>
            </w:r>
            <w:r>
              <w:rPr>
                <w:rFonts w:hint="eastAsia" w:ascii="宋体" w:hAnsi="宋体" w:cs="宋体"/>
                <w:color w:val="auto"/>
                <w:sz w:val="20"/>
                <w:szCs w:val="20"/>
              </w:rPr>
              <w:t>万用于2024年度北京穆家峪精育种猪有限公司生产验收</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其中：市级财政资金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786</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647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区级资金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中央资金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228"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1027" w:type="dxa"/>
            <w:gridSpan w:val="2"/>
            <w:vMerge w:val="restart"/>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资金管理情况</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情况说明</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560" w:lineRule="exact"/>
              <w:jc w:val="center"/>
              <w:textAlignment w:val="center"/>
              <w:rPr>
                <w:rFonts w:hint="eastAsia"/>
                <w:color w:val="auto"/>
                <w:sz w:val="20"/>
                <w:szCs w:val="20"/>
              </w:rPr>
            </w:pPr>
            <w:r>
              <w:rPr>
                <w:rFonts w:hint="eastAsia"/>
                <w:color w:val="auto"/>
                <w:sz w:val="20"/>
                <w:szCs w:val="20"/>
              </w:rPr>
              <w:t>分值</w:t>
            </w:r>
          </w:p>
          <w:p>
            <w:pPr>
              <w:spacing w:line="560" w:lineRule="exact"/>
              <w:jc w:val="center"/>
              <w:rPr>
                <w:rFonts w:hint="eastAsia" w:ascii="宋体" w:hAnsi="宋体" w:cs="宋体"/>
                <w:color w:val="auto"/>
                <w:sz w:val="20"/>
                <w:szCs w:val="20"/>
              </w:rPr>
            </w:pPr>
            <w:r>
              <w:rPr>
                <w:rFonts w:hint="eastAsia" w:ascii="宋体" w:hAnsi="宋体" w:cs="宋体"/>
                <w:color w:val="auto"/>
                <w:spacing w:val="-11"/>
                <w:kern w:val="0"/>
                <w:sz w:val="20"/>
                <w:szCs w:val="20"/>
                <w:lang w:bidi="ar"/>
              </w:rPr>
              <w:t>（40）</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ascii="宋体" w:hAnsi="宋体" w:cs="宋体"/>
                <w:color w:val="auto"/>
                <w:sz w:val="20"/>
                <w:szCs w:val="20"/>
              </w:rPr>
            </w:pPr>
            <w:r>
              <w:rPr>
                <w:rFonts w:hint="eastAsia" w:ascii="宋体" w:hAnsi="宋体" w:cs="宋体"/>
                <w:color w:val="auto"/>
                <w:sz w:val="20"/>
                <w:szCs w:val="20"/>
              </w:rPr>
              <w:t>得分</w:t>
            </w:r>
          </w:p>
        </w:tc>
        <w:tc>
          <w:tcPr>
            <w:tcW w:w="1873" w:type="dxa"/>
            <w:gridSpan w:val="3"/>
            <w:tcBorders>
              <w:top w:val="single" w:color="auto"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存在的问题和改进措施</w:t>
            </w: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sz w:val="20"/>
                <w:szCs w:val="20"/>
              </w:rPr>
            </w:pPr>
            <w:r>
              <w:rPr>
                <w:rFonts w:hint="eastAsia" w:ascii="宋体" w:hAnsi="宋体" w:cs="宋体"/>
                <w:color w:val="auto"/>
                <w:kern w:val="0"/>
                <w:sz w:val="20"/>
                <w:szCs w:val="20"/>
                <w:lang w:bidi="ar"/>
              </w:rPr>
              <w:t>分配科学性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严格按照北京市《北京市生猪产业优化提升发展项目实施意见》要求,按照生猪出栏数量，进行生产验收</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ascii="宋体" w:hAnsi="宋体" w:cs="宋体"/>
                <w:color w:val="auto"/>
                <w:kern w:val="0"/>
                <w:sz w:val="20"/>
                <w:szCs w:val="20"/>
                <w:lang w:bidi="ar"/>
              </w:rPr>
            </w:pPr>
            <w:r>
              <w:rPr>
                <w:rFonts w:hint="eastAsia" w:ascii="宋体" w:hAnsi="宋体" w:cs="宋体"/>
                <w:color w:val="auto"/>
                <w:kern w:val="0"/>
                <w:sz w:val="20"/>
                <w:szCs w:val="20"/>
                <w:lang w:bidi="ar"/>
              </w:rPr>
              <w:t>下达及时性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养殖场生产指标完成后，及时拨付生产验收资金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拨付合规性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根据国库集中制度有关规定支付资金，未出现将资金从国库转入财政专户或支付到预算单位是有资金账户等问题。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使用规范性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按照《北京市生猪产业优化提升发展项目实施意见》，统计出栏数据，按要求将生产验收资金拨付养殖场。未出现截留、挤占、挪用或擅自调整等问题。</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执行准确性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根据《北京市生猪产业优化提升发展项目实施意见》，根据严格出栏数据，拨付生产验收资金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预算绩效管理情况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宋体"/>
                <w:color w:val="auto"/>
                <w:sz w:val="18"/>
                <w:szCs w:val="18"/>
              </w:rPr>
            </w:pPr>
            <w:r>
              <w:rPr>
                <w:rFonts w:hint="eastAsia" w:ascii="宋体" w:hAnsi="宋体" w:cs="宋体"/>
                <w:color w:val="auto"/>
                <w:sz w:val="18"/>
                <w:szCs w:val="18"/>
              </w:rPr>
              <w:t>严格按照预算管理要求，执行生产验收资金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支出责任履行情况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0"/>
                <w:szCs w:val="20"/>
              </w:rPr>
            </w:pPr>
            <w:r>
              <w:rPr>
                <w:rFonts w:hint="eastAsia" w:ascii="宋体" w:hAnsi="宋体" w:cs="宋体"/>
                <w:color w:val="auto"/>
                <w:sz w:val="18"/>
                <w:szCs w:val="18"/>
              </w:rPr>
              <w:t>按照《北京市生猪产业优化提升发展项目实施意见》，按要求完成生产验收支出。</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3" w:hRule="atLeast"/>
          <w:jc w:val="center"/>
        </w:trPr>
        <w:tc>
          <w:tcPr>
            <w:tcW w:w="1027" w:type="dxa"/>
            <w:gridSpan w:val="2"/>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政策目标实现情况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sz w:val="20"/>
                <w:szCs w:val="20"/>
              </w:rPr>
            </w:pPr>
            <w:r>
              <w:rPr>
                <w:rFonts w:hint="eastAsia" w:ascii="宋体" w:hAnsi="宋体" w:cs="宋体"/>
                <w:color w:val="auto"/>
                <w:sz w:val="20"/>
                <w:szCs w:val="20"/>
              </w:rPr>
              <w:t>根据</w:t>
            </w:r>
            <w:r>
              <w:rPr>
                <w:rFonts w:hint="eastAsia" w:ascii="宋体" w:hAnsi="宋体" w:cs="宋体"/>
                <w:color w:val="auto"/>
                <w:sz w:val="18"/>
                <w:szCs w:val="18"/>
              </w:rPr>
              <w:t>《北京市生猪产业优化提升发展项目实施意见》</w:t>
            </w:r>
            <w:r>
              <w:rPr>
                <w:rFonts w:hint="eastAsia" w:ascii="宋体" w:hAnsi="宋体" w:cs="宋体"/>
                <w:color w:val="auto"/>
                <w:sz w:val="20"/>
                <w:szCs w:val="20"/>
              </w:rPr>
              <w:t>，完成生产验收指标</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873" w:type="dxa"/>
            <w:gridSpan w:val="3"/>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总体目标完成情况</w:t>
            </w: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总体目标</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全年实际完成情况</w:t>
            </w:r>
          </w:p>
        </w:tc>
      </w:tr>
      <w:tr>
        <w:tblPrEx>
          <w:tblCellMar>
            <w:top w:w="0" w:type="dxa"/>
            <w:left w:w="108" w:type="dxa"/>
            <w:bottom w:w="0" w:type="dxa"/>
            <w:right w:w="108" w:type="dxa"/>
          </w:tblCellMar>
        </w:tblPrEx>
        <w:trPr>
          <w:trHeight w:val="856"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对生猪规模养殖场实施新、改、扩建项目建设，有效的促进了生猪产业设施设备提档升级，实现养殖粪污减量化、无害化、资源化、生态化，构建种养生态循环链，形成生态养殖与有机种植业一体化发展的生猪产业模式。</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已完成</w:t>
            </w:r>
          </w:p>
        </w:tc>
      </w:tr>
      <w:tr>
        <w:tblPrEx>
          <w:tblCellMar>
            <w:top w:w="0" w:type="dxa"/>
            <w:left w:w="108" w:type="dxa"/>
            <w:bottom w:w="0" w:type="dxa"/>
            <w:right w:w="108" w:type="dxa"/>
          </w:tblCellMar>
        </w:tblPrEx>
        <w:trPr>
          <w:trHeight w:val="3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绩效指标</w:t>
            </w: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二级指标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三级指标</w:t>
            </w:r>
          </w:p>
        </w:tc>
        <w:tc>
          <w:tcPr>
            <w:tcW w:w="94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指标值</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全年实际完成值</w:t>
            </w:r>
          </w:p>
        </w:tc>
        <w:tc>
          <w:tcPr>
            <w:tcW w:w="690"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sz w:val="20"/>
                <w:szCs w:val="20"/>
              </w:rPr>
              <w:t>分值（50分）</w:t>
            </w:r>
          </w:p>
        </w:tc>
        <w:tc>
          <w:tcPr>
            <w:tcW w:w="810"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得分</w:t>
            </w:r>
          </w:p>
        </w:tc>
        <w:tc>
          <w:tcPr>
            <w:tcW w:w="1618" w:type="dxa"/>
            <w:gridSpan w:val="2"/>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未完成原因和改进措施</w:t>
            </w:r>
          </w:p>
        </w:tc>
      </w:tr>
      <w:tr>
        <w:tblPrEx>
          <w:tblCellMar>
            <w:top w:w="0" w:type="dxa"/>
            <w:left w:w="108" w:type="dxa"/>
            <w:bottom w:w="0" w:type="dxa"/>
            <w:right w:w="108" w:type="dxa"/>
          </w:tblCellMar>
        </w:tblPrEx>
        <w:trPr>
          <w:trHeight w:val="96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94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690" w:type="dxa"/>
            <w:gridSpan w:val="2"/>
            <w:vMerge w:val="continue"/>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vMerge w:val="continue"/>
            <w:tcBorders>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产</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cs="宋体"/>
                <w:color w:val="auto"/>
                <w:sz w:val="18"/>
                <w:szCs w:val="18"/>
              </w:rPr>
            </w:pPr>
            <w:r>
              <w:rPr>
                <w:rFonts w:hint="eastAsia" w:ascii="宋体" w:hAnsi="宋体" w:cs="宋体"/>
                <w:color w:val="auto"/>
                <w:sz w:val="18"/>
                <w:szCs w:val="18"/>
              </w:rPr>
              <w:t>北京隆盛养殖场出栏生猪9000头，北京华利鑫龙益达养殖场18000头</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27000头</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北京隆盛养殖场出栏生猪9124头，北京华利鑫龙益达养殖场18000头</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64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按照《北京市生猪产业优化提升发展项目实施意见》要求，北京隆盛养殖完成生猪出栏9000头，北京华利鑫龙益达养殖场18000头，全额拨付生产验收资金。</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按照《北京市生猪产业优化提升发展项目实施意见》要求，北京隆盛养殖完成生猪出栏9124头，北京华利鑫龙益达养殖场18000头，全额拨付生产验收资金。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75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时效指标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r>
              <w:rPr>
                <w:rFonts w:hint="eastAsia" w:ascii="宋体" w:hAnsi="宋体" w:cs="宋体"/>
                <w:color w:val="auto"/>
                <w:sz w:val="18"/>
                <w:szCs w:val="18"/>
                <w:highlight w:val="yellow"/>
              </w:rPr>
              <w:t>2022年9月1日至2023年12月1日</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highlight w:val="yellow"/>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highlight w:val="yellow"/>
              </w:rPr>
            </w:pPr>
            <w:r>
              <w:rPr>
                <w:rFonts w:hint="eastAsia" w:ascii="仿宋_GB2312" w:hAnsi="仿宋_GB2312" w:eastAsia="仿宋_GB2312" w:cs="仿宋_GB2312"/>
                <w:color w:val="auto"/>
                <w:szCs w:val="21"/>
                <w:highlight w:val="yellow"/>
              </w:rPr>
              <w:t>2022年9月1日至2023年12月1日</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成本指标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786万</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786万</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556万</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1113"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效</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益</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指</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经济效益指标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cs="宋体"/>
                <w:color w:val="auto"/>
                <w:sz w:val="18"/>
                <w:szCs w:val="18"/>
              </w:rPr>
            </w:pPr>
            <w:r>
              <w:rPr>
                <w:rFonts w:hint="eastAsia" w:ascii="宋体" w:hAnsi="宋体" w:cs="宋体"/>
                <w:color w:val="auto"/>
                <w:sz w:val="18"/>
                <w:szCs w:val="18"/>
              </w:rPr>
              <w:t>通过生猪产业优化提升，养殖场增加生猪出栏，增收810万元</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增收800万元</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通过生猪产业优化提升，养殖场增加生猪出栏，增收810万元</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社会效益指标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通过生猪产业优化提升，增加生猪出栏，稳定提高社会供给量，满足人民食肉需求。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通过生猪产业优化提升，增加生猪出栏，稳定提高社会供给量，满足人民食肉需求。</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改善养殖设备，更加环保。</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改善养殖设备，更加环保。</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改善养殖设备，更加环保。</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可持续影响指标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改善生猪规模场环境，促进增加生猪出栏数量，提高动物产品产量。</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改善生猪规模场环境，促进增加生猪出栏数量，提高动物产品产量。</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满意度指标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服务对象满意度指标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通过生猪产业优化提升，提高养殖场设施设备，增加生猪出栏，满意度100%</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cs="宋体"/>
                <w:color w:val="auto"/>
                <w:sz w:val="18"/>
                <w:szCs w:val="18"/>
              </w:rPr>
            </w:pPr>
            <w:r>
              <w:rPr>
                <w:rFonts w:hint="eastAsia" w:ascii="宋体" w:hAnsi="宋体" w:cs="宋体"/>
                <w:color w:val="auto"/>
                <w:sz w:val="18"/>
                <w:szCs w:val="18"/>
              </w:rPr>
              <w:t>满意度100%</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宋体" w:hAnsi="宋体" w:cs="宋体"/>
                <w:color w:val="auto"/>
                <w:sz w:val="18"/>
                <w:szCs w:val="18"/>
              </w:rPr>
            </w:pPr>
            <w:r>
              <w:rPr>
                <w:rFonts w:hint="eastAsia" w:ascii="宋体" w:hAnsi="宋体" w:cs="宋体"/>
                <w:color w:val="auto"/>
                <w:sz w:val="18"/>
                <w:szCs w:val="18"/>
              </w:rPr>
              <w:t>通过生猪产业优化提升，提高养殖场设施设备，增加生猪出栏，满意度100%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r>
              <w:rPr>
                <w:rFonts w:hint="eastAsia" w:ascii="宋体" w:hAnsi="宋体" w:cs="宋体"/>
                <w:color w:val="auto"/>
                <w:sz w:val="20"/>
                <w:szCs w:val="20"/>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40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cs="宋体"/>
                <w:color w:val="auto"/>
                <w:sz w:val="20"/>
                <w:szCs w:val="20"/>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362" w:hRule="atLeast"/>
          <w:jc w:val="center"/>
        </w:trPr>
        <w:tc>
          <w:tcPr>
            <w:tcW w:w="7162"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总分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highlight w:val="yellow"/>
                <w:lang w:bidi="ar"/>
              </w:rPr>
              <w:t>100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highlight w:val="yellow"/>
                <w:lang w:bidi="ar"/>
              </w:rPr>
              <w:t>100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567" w:hRule="atLeast"/>
          <w:jc w:val="center"/>
        </w:trPr>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说明</w:t>
            </w:r>
          </w:p>
        </w:tc>
        <w:tc>
          <w:tcPr>
            <w:tcW w:w="77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请在此处简要说明巡视、审计和财会监督中发现的问题及其所涉及的金额，如没有请填无</w:t>
            </w:r>
            <w:r>
              <w:rPr>
                <w:rStyle w:val="31"/>
                <w:color w:val="auto"/>
                <w:lang w:bidi="ar"/>
              </w:rPr>
              <w:t>。</w:t>
            </w:r>
          </w:p>
        </w:tc>
      </w:tr>
    </w:tbl>
    <w:p>
      <w:pPr>
        <w:pStyle w:val="6"/>
        <w:rPr>
          <w:rFonts w:hint="eastAsia"/>
          <w:color w:val="auto"/>
          <w:lang w:val="en-US" w:eastAsia="zh-CN"/>
        </w:rPr>
      </w:pPr>
    </w:p>
    <w:p>
      <w:pPr>
        <w:pageBreakBefore w:val="0"/>
        <w:widowControl w:val="0"/>
        <w:kinsoku/>
        <w:overflowPunct/>
        <w:topLinePunct w:val="0"/>
        <w:autoSpaceDE/>
        <w:autoSpaceDN/>
        <w:bidi w:val="0"/>
        <w:spacing w:line="560" w:lineRule="exact"/>
        <w:ind w:firstLine="640" w:firstLineChars="200"/>
        <w:jc w:val="both"/>
        <w:textAlignment w:val="auto"/>
        <w:rPr>
          <w:rFonts w:hint="eastAsia" w:ascii="CESI黑体-GB2312" w:hAnsi="CESI黑体-GB2312" w:eastAsia="CESI黑体-GB2312" w:cs="CESI黑体-GB2312"/>
          <w:bCs/>
          <w:color w:val="auto"/>
          <w:kern w:val="0"/>
          <w:sz w:val="32"/>
          <w:szCs w:val="32"/>
        </w:rPr>
      </w:pPr>
      <w:r>
        <w:rPr>
          <w:rFonts w:hint="eastAsia" w:ascii="CESI黑体-GB2312" w:hAnsi="CESI黑体-GB2312" w:eastAsia="CESI黑体-GB2312" w:cs="CESI黑体-GB2312"/>
          <w:bCs/>
          <w:color w:val="auto"/>
          <w:kern w:val="0"/>
          <w:sz w:val="32"/>
          <w:szCs w:val="32"/>
          <w:u w:val="none"/>
          <w:lang w:val="en-US" w:eastAsia="zh-CN"/>
        </w:rPr>
        <w:t>密云区农业农村局2022</w:t>
      </w:r>
      <w:r>
        <w:rPr>
          <w:rFonts w:hint="eastAsia" w:ascii="CESI黑体-GB2312" w:hAnsi="CESI黑体-GB2312" w:eastAsia="CESI黑体-GB2312" w:cs="CESI黑体-GB2312"/>
          <w:bCs/>
          <w:color w:val="auto"/>
          <w:kern w:val="0"/>
          <w:sz w:val="32"/>
          <w:szCs w:val="32"/>
          <w:u w:val="none"/>
        </w:rPr>
        <w:t>年</w:t>
      </w:r>
      <w:r>
        <w:rPr>
          <w:rFonts w:hint="eastAsia" w:ascii="CESI黑体-GB2312" w:hAnsi="CESI黑体-GB2312" w:eastAsia="CESI黑体-GB2312" w:cs="CESI黑体-GB2312"/>
          <w:bCs/>
          <w:color w:val="auto"/>
          <w:kern w:val="0"/>
          <w:sz w:val="32"/>
          <w:szCs w:val="32"/>
          <w:lang w:val="en-US" w:eastAsia="zh-CN"/>
        </w:rPr>
        <w:t>扶持壮大村级集体经济</w:t>
      </w:r>
      <w:r>
        <w:rPr>
          <w:rFonts w:hint="eastAsia" w:ascii="CESI黑体-GB2312" w:hAnsi="CESI黑体-GB2312" w:eastAsia="CESI黑体-GB2312" w:cs="CESI黑体-GB2312"/>
          <w:bCs/>
          <w:color w:val="auto"/>
          <w:kern w:val="0"/>
          <w:sz w:val="32"/>
          <w:szCs w:val="32"/>
        </w:rPr>
        <w:t>项目</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rPr>
        <w:t>一、绩效目标分解下达情况</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仿宋_GB2312" w:hAnsi="宋体" w:eastAsia="仿宋_GB2312"/>
          <w:color w:val="auto"/>
          <w:sz w:val="32"/>
          <w:szCs w:val="32"/>
          <w:lang w:val="en-US" w:eastAsia="zh-CN"/>
        </w:rPr>
        <w:t>2023年，市级下达本区扶持壮大村级集体经济项目资金2000万</w:t>
      </w:r>
      <w:r>
        <w:rPr>
          <w:rFonts w:hint="eastAsia" w:ascii="仿宋_GB2312" w:hAnsi="宋体" w:eastAsia="仿宋_GB2312"/>
          <w:color w:val="auto"/>
          <w:sz w:val="32"/>
          <w:szCs w:val="32"/>
          <w:lang w:val="en" w:eastAsia="zh-CN"/>
        </w:rPr>
        <w:t>元，</w:t>
      </w:r>
      <w:r>
        <w:rPr>
          <w:rFonts w:hint="eastAsia" w:ascii="仿宋_GB2312" w:hAnsi="仿宋_GB2312" w:eastAsia="仿宋_GB2312" w:cs="仿宋_GB2312"/>
          <w:color w:val="auto"/>
          <w:kern w:val="2"/>
          <w:sz w:val="32"/>
          <w:szCs w:val="32"/>
          <w:lang w:val="en-US" w:eastAsia="zh-CN" w:bidi="ar-SA"/>
        </w:rPr>
        <w:t>主要用于扶持村集体发展壮大可持续增收的乡村产业。</w:t>
      </w:r>
      <w:r>
        <w:rPr>
          <w:rFonts w:hint="eastAsia" w:ascii="仿宋_GB2312" w:hAnsi="仿宋_GB2312" w:eastAsia="仿宋_GB2312" w:cs="仿宋_GB2312"/>
          <w:color w:val="auto"/>
          <w:sz w:val="32"/>
          <w:szCs w:val="32"/>
          <w:lang w:eastAsia="zh-CN"/>
        </w:rPr>
        <w:t>通过扶持，形成可持续发展的农村集体产业，确保扶持村年集体经营性收入持续达到</w:t>
      </w:r>
      <w:r>
        <w:rPr>
          <w:rFonts w:hint="eastAsia" w:ascii="仿宋_GB2312" w:hAnsi="仿宋_GB2312" w:eastAsia="仿宋_GB2312" w:cs="仿宋_GB2312"/>
          <w:color w:val="auto"/>
          <w:sz w:val="32"/>
          <w:szCs w:val="32"/>
          <w:lang w:val="en-US" w:eastAsia="zh-CN"/>
        </w:rPr>
        <w:t>10万元以上</w:t>
      </w:r>
      <w:r>
        <w:rPr>
          <w:rFonts w:hint="eastAsia" w:ascii="仿宋_GB2312" w:hAnsi="仿宋_GB2312" w:eastAsia="仿宋_GB2312" w:cs="仿宋_GB2312"/>
          <w:color w:val="auto"/>
          <w:sz w:val="32"/>
          <w:szCs w:val="32"/>
          <w:lang w:eastAsia="zh-CN"/>
        </w:rPr>
        <w:t>，进一步增强村级自我保障和服务群众能力，提升农村基层党组织的组织力。按照市级相关要求，区委农工委、区委组织部、区财政局、区农业农村局联合印发了《密云区2023年扶持壮大村级集体经济工作实施方案》，并要求各镇村按照方案内容执行并谋划上报产业项目，确保集体经济薄弱村年经营性收入达到</w:t>
      </w:r>
      <w:r>
        <w:rPr>
          <w:rFonts w:hint="eastAsia" w:ascii="仿宋_GB2312" w:hAnsi="仿宋_GB2312" w:eastAsia="仿宋_GB2312" w:cs="仿宋_GB2312"/>
          <w:color w:val="auto"/>
          <w:sz w:val="32"/>
          <w:szCs w:val="32"/>
          <w:lang w:val="en-US" w:eastAsia="zh-CN"/>
        </w:rPr>
        <w:t>10万元以上。</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lang w:eastAsia="zh-CN"/>
        </w:rPr>
        <w:t>二</w:t>
      </w:r>
      <w:r>
        <w:rPr>
          <w:rFonts w:hint="eastAsia" w:ascii="黑体" w:hAnsi="黑体" w:eastAsia="黑体" w:cs="仿宋_GB2312"/>
          <w:color w:val="auto"/>
          <w:sz w:val="32"/>
          <w:szCs w:val="32"/>
        </w:rPr>
        <w:t>、绩效目标完成情况分析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楷体_GB2312" w:hAnsi="楷体" w:eastAsia="楷体_GB2312" w:cs="仿宋_GB2312"/>
          <w:color w:val="auto"/>
          <w:sz w:val="32"/>
          <w:szCs w:val="32"/>
        </w:rPr>
        <w:t>（一）资金投入情况分析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仿宋_GB2312" w:hAnsi="宋体" w:eastAsia="仿宋_GB2312" w:cs="Times New Roman"/>
          <w:b w:val="0"/>
          <w:bCs w:val="0"/>
          <w:color w:val="auto"/>
          <w:sz w:val="32"/>
          <w:szCs w:val="32"/>
          <w:u w:val="none"/>
          <w:lang w:eastAsia="zh-CN"/>
        </w:rPr>
      </w:pPr>
      <w:r>
        <w:rPr>
          <w:rFonts w:hint="eastAsia" w:ascii="仿宋_GB2312" w:hAnsi="宋体" w:eastAsia="仿宋_GB2312" w:cs="Times New Roman"/>
          <w:b w:val="0"/>
          <w:bCs w:val="0"/>
          <w:color w:val="auto"/>
          <w:sz w:val="32"/>
          <w:szCs w:val="32"/>
          <w:u w:val="none"/>
          <w:lang w:val="en-US" w:eastAsia="zh-CN"/>
        </w:rPr>
        <w:t>2023年市级转移支付扶持壮大村级集体经济项目资金2000万元共安排11个薄弱村的8个项目</w:t>
      </w:r>
      <w:r>
        <w:rPr>
          <w:rFonts w:hint="eastAsia" w:ascii="仿宋_GB2312" w:hAnsi="宋体" w:eastAsia="仿宋_GB2312" w:cs="Times New Roman"/>
          <w:b w:val="0"/>
          <w:bCs w:val="0"/>
          <w:color w:val="auto"/>
          <w:sz w:val="32"/>
          <w:szCs w:val="32"/>
          <w:u w:val="none"/>
          <w:lang w:eastAsia="zh-CN"/>
        </w:rPr>
        <w:t>。</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楷体_GB2312" w:hAnsi="楷体" w:eastAsia="楷体_GB2312" w:cs="仿宋_GB2312"/>
          <w:color w:val="auto"/>
          <w:sz w:val="32"/>
          <w:szCs w:val="32"/>
          <w:lang w:eastAsia="zh-CN"/>
        </w:rPr>
      </w:pPr>
      <w:r>
        <w:rPr>
          <w:rFonts w:hint="eastAsia" w:ascii="楷体_GB2312" w:hAnsi="楷体" w:eastAsia="楷体_GB2312" w:cs="仿宋_GB2312"/>
          <w:color w:val="auto"/>
          <w:sz w:val="32"/>
          <w:szCs w:val="32"/>
          <w:lang w:eastAsia="zh-CN"/>
        </w:rPr>
        <w:t>（二）资金管理情况分析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2023年，市级转移支付2000万元安排的8个项目中，已拨付实施的3个项目，涉及资金861.45万元；已完成评审待实施的2个项目，涉及资金368.39万元；正在进行资金评审待拨付实施的3个项目，涉及资金770.16万元。</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楷体_GB2312" w:hAnsi="楷体" w:eastAsia="楷体_GB2312" w:cs="仿宋_GB2312"/>
          <w:color w:val="auto"/>
          <w:sz w:val="32"/>
          <w:szCs w:val="32"/>
        </w:rPr>
        <w:t>（</w:t>
      </w:r>
      <w:r>
        <w:rPr>
          <w:rFonts w:hint="eastAsia" w:ascii="楷体_GB2312" w:hAnsi="楷体" w:eastAsia="楷体_GB2312" w:cs="仿宋_GB2312"/>
          <w:color w:val="auto"/>
          <w:sz w:val="32"/>
          <w:szCs w:val="32"/>
          <w:lang w:eastAsia="zh-CN"/>
        </w:rPr>
        <w:t>三</w:t>
      </w:r>
      <w:r>
        <w:rPr>
          <w:rFonts w:hint="eastAsia" w:ascii="楷体_GB2312" w:hAnsi="楷体" w:eastAsia="楷体_GB2312" w:cs="仿宋_GB2312"/>
          <w:color w:val="auto"/>
          <w:sz w:val="32"/>
          <w:szCs w:val="32"/>
        </w:rPr>
        <w:t>）总体绩效目标完成情况分析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1.2023年，全区331个村集体经济组织（包括列入市级台账管理的197个集体经济薄弱村）经营性收入全部超过10万元</w:t>
      </w:r>
      <w:r>
        <w:rPr>
          <w:rFonts w:hint="eastAsia" w:ascii="仿宋_GB2312" w:hAnsi="宋体"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w:t>
      </w:r>
      <w:r>
        <w:rPr>
          <w:rFonts w:hint="eastAsia" w:ascii="仿宋_GB2312" w:hAnsi="宋体" w:eastAsia="仿宋_GB2312"/>
          <w:color w:val="auto"/>
          <w:sz w:val="32"/>
          <w:szCs w:val="32"/>
          <w:lang w:eastAsia="zh-CN"/>
        </w:rPr>
        <w:t>按照市级、区级相关要求，市级扶持壮大村级集体经济资金的使用按照项目制执行，由各薄弱村经村级民主决策程序及公示后报镇政府会议审议，审议同意后上报项目请示及方案，区农业农村局对项目进行初审并组织区级部门联审（涉及固定资产投资的项目由区发改委组织项目入库），联审通过的项目进行项目可行性设计并形成项目可行性报告，由区财政局组织项目可行性专家论证，论证通过的项目报区政府审批，审批同意后由区财政局组织资金评审，并按审定金额报区政府同意后进行资金拨付，由各相关镇政府组织项目实施，并由区财政局监理公司全程监理，项目实施完成后镇政府进行项目预验收，并组织区级部门进行项目验收。</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楷体_GB2312" w:hAnsi="楷体" w:eastAsia="楷体_GB2312" w:cs="仿宋_GB2312"/>
          <w:color w:val="auto"/>
          <w:sz w:val="32"/>
          <w:szCs w:val="32"/>
        </w:rPr>
        <w:t>（</w:t>
      </w:r>
      <w:r>
        <w:rPr>
          <w:rFonts w:hint="eastAsia" w:ascii="楷体_GB2312" w:hAnsi="楷体" w:eastAsia="楷体_GB2312" w:cs="仿宋_GB2312"/>
          <w:color w:val="auto"/>
          <w:sz w:val="32"/>
          <w:szCs w:val="32"/>
          <w:lang w:eastAsia="zh-CN"/>
        </w:rPr>
        <w:t>四</w:t>
      </w:r>
      <w:r>
        <w:rPr>
          <w:rFonts w:hint="eastAsia" w:ascii="楷体_GB2312" w:hAnsi="楷体" w:eastAsia="楷体_GB2312" w:cs="仿宋_GB2312"/>
          <w:color w:val="auto"/>
          <w:sz w:val="32"/>
          <w:szCs w:val="32"/>
        </w:rPr>
        <w:t>）绩效指标完成情况分析</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2023年，全区331个村集体经济组织（包括列入市级台账管理的197个集体经济薄弱村）经营性收入全部超过10万元</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市级资金全部安排了具体项目并推进实施。</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lang w:eastAsia="zh-CN"/>
        </w:rPr>
        <w:t>四</w:t>
      </w:r>
      <w:r>
        <w:rPr>
          <w:rFonts w:hint="eastAsia" w:ascii="黑体" w:hAnsi="黑体" w:eastAsia="黑体" w:cs="仿宋_GB2312"/>
          <w:color w:val="auto"/>
          <w:sz w:val="32"/>
          <w:szCs w:val="32"/>
        </w:rPr>
        <w:t>、偏离绩效目标的原因和下一步改进措施</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（一）存在问题及原因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1.各村谋划项目不积极</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部分村两委班子增收思路不宽、点子不多、步子不大，存在畏难、求稳、怕乱思想，虽然能够完成经营性收入超过10万元的“消薄”任务，但在发展村级产业项目上主动谋划、积极推进存在不足，</w:t>
      </w:r>
      <w:r>
        <w:rPr>
          <w:rFonts w:hint="default" w:ascii="仿宋_GB2312" w:hAnsi="仿宋_GB2312" w:eastAsia="仿宋_GB2312" w:cs="仿宋_GB2312"/>
          <w:color w:val="auto"/>
          <w:sz w:val="32"/>
          <w:szCs w:val="32"/>
          <w:lang w:val="en-US" w:eastAsia="zh-CN"/>
        </w:rPr>
        <w:t>村级集体经济还比较薄弱，发展</w:t>
      </w:r>
      <w:r>
        <w:rPr>
          <w:rFonts w:hint="eastAsia" w:ascii="仿宋_GB2312" w:hAnsi="仿宋_GB2312" w:eastAsia="仿宋_GB2312" w:cs="仿宋_GB2312"/>
          <w:color w:val="auto"/>
          <w:sz w:val="32"/>
          <w:szCs w:val="32"/>
          <w:lang w:val="en-US" w:eastAsia="zh-CN"/>
        </w:rPr>
        <w:t>的内生动力不足。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2.资金使用要求限制及政策制约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资金使用要求高。</w:t>
      </w:r>
      <w:r>
        <w:rPr>
          <w:rFonts w:hint="eastAsia" w:ascii="仿宋_GB2312" w:hAnsi="仿宋_GB2312" w:eastAsia="仿宋_GB2312" w:cs="仿宋_GB2312"/>
          <w:color w:val="auto"/>
          <w:sz w:val="32"/>
          <w:szCs w:val="32"/>
          <w:lang w:val="en-US" w:eastAsia="zh-CN"/>
        </w:rPr>
        <w:t>使用市级扶持资金，需形成可持续发展的村集体产业，确保扶持村年集体经营性收入持续达到10万元以上。目前，多家市属和区属国有企业有项目合作意愿和资金需求，但按每个村200万元扶持资金计，年收益率需大于5%，高于同期银行贷款利率，项目形成的固定资产归属村集体，企业对资金使用存在顾虑，吸引力不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3.各薄弱村产业发展受限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部分镇村资产资源匮乏，对于发展产业项目难度较大，大部分薄弱村仅停留在简单的计划或意向，无实际谋划和具体项目安排。部分镇村即使谋划了村级产业项目，但大多无法实际推进实施。</w:t>
      </w:r>
      <w:r>
        <w:rPr>
          <w:rFonts w:hint="eastAsia" w:ascii="仿宋_GB2312" w:hAnsi="仿宋_GB2312" w:eastAsia="仿宋_GB2312" w:cs="仿宋_GB2312"/>
          <w:color w:val="auto"/>
          <w:sz w:val="32"/>
          <w:szCs w:val="32"/>
        </w:rPr>
        <w:t>目前全区位于</w:t>
      </w:r>
      <w:r>
        <w:rPr>
          <w:rFonts w:hint="eastAsia" w:ascii="仿宋_GB2312" w:hAnsi="仿宋_GB2312" w:eastAsia="仿宋_GB2312" w:cs="仿宋_GB2312"/>
          <w:color w:val="auto"/>
          <w:sz w:val="32"/>
          <w:szCs w:val="32"/>
          <w:lang w:eastAsia="zh-CN"/>
        </w:rPr>
        <w:t>密云</w:t>
      </w:r>
      <w:r>
        <w:rPr>
          <w:rFonts w:hint="eastAsia" w:ascii="仿宋_GB2312" w:hAnsi="仿宋_GB2312" w:eastAsia="仿宋_GB2312" w:cs="仿宋_GB2312"/>
          <w:color w:val="auto"/>
          <w:sz w:val="32"/>
          <w:szCs w:val="32"/>
        </w:rPr>
        <w:t>水库保护区内的集体经济薄弱村共计6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个，其中一级区内32个，二级区内</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受密云水库保水政策影响，</w:t>
      </w:r>
      <w:r>
        <w:rPr>
          <w:rFonts w:hint="eastAsia" w:ascii="仿宋_GB2312" w:hAnsi="仿宋_GB2312" w:eastAsia="仿宋_GB2312" w:cs="仿宋_GB2312"/>
          <w:color w:val="auto"/>
          <w:sz w:val="32"/>
          <w:szCs w:val="32"/>
          <w:lang w:eastAsia="zh-CN"/>
        </w:rPr>
        <w:t>密云水库一、二级</w:t>
      </w:r>
      <w:r>
        <w:rPr>
          <w:rFonts w:hint="eastAsia" w:ascii="仿宋_GB2312" w:hAnsi="仿宋_GB2312" w:eastAsia="仿宋_GB2312" w:cs="仿宋_GB2312"/>
          <w:color w:val="auto"/>
          <w:sz w:val="32"/>
          <w:szCs w:val="32"/>
        </w:rPr>
        <w:t>保护区内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薄弱村</w:t>
      </w:r>
      <w:r>
        <w:rPr>
          <w:rFonts w:hint="eastAsia" w:ascii="仿宋_GB2312" w:hAnsi="仿宋_GB2312" w:eastAsia="仿宋_GB2312" w:cs="仿宋_GB2312"/>
          <w:color w:val="auto"/>
          <w:sz w:val="32"/>
          <w:szCs w:val="32"/>
          <w:lang w:eastAsia="zh-CN"/>
        </w:rPr>
        <w:t>和水库整体搬迁村</w:t>
      </w:r>
      <w:r>
        <w:rPr>
          <w:rFonts w:hint="eastAsia" w:ascii="仿宋_GB2312" w:hAnsi="仿宋_GB2312" w:eastAsia="仿宋_GB2312" w:cs="仿宋_GB2312"/>
          <w:color w:val="auto"/>
          <w:sz w:val="32"/>
          <w:szCs w:val="32"/>
          <w:lang w:val="en-US" w:eastAsia="zh-CN"/>
        </w:rPr>
        <w:t>产业发展严重受限，各类产业项目落地困难。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color w:val="auto"/>
          <w:lang w:val="en-US" w:eastAsia="zh-CN"/>
        </w:rPr>
      </w:pPr>
      <w:r>
        <w:rPr>
          <w:rFonts w:hint="eastAsia" w:ascii="楷体_GB2312" w:hAnsi="楷体_GB2312" w:eastAsia="楷体_GB2312" w:cs="楷体_GB2312"/>
          <w:color w:val="auto"/>
          <w:sz w:val="32"/>
          <w:szCs w:val="32"/>
          <w:lang w:val="en-US" w:eastAsia="zh-CN"/>
        </w:rPr>
        <w:t>（二）改进措施</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1.强化责任落实</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针对我区镇村谋划申报项目不足，资金执行率低的情况，压紧、压实各镇项目主体责任加大考核力度，确保各镇村级产业项目村级谋划实、镇级申报早、区级审批快</w:t>
      </w:r>
      <w:r>
        <w:rPr>
          <w:rFonts w:hint="eastAsia" w:ascii="仿宋_GB2312" w:hAnsi="仿宋_GB2312" w:eastAsia="仿宋_GB2312" w:cs="仿宋_GB2312"/>
          <w:b/>
          <w:bCs/>
          <w:color w:val="auto"/>
          <w:sz w:val="32"/>
          <w:szCs w:val="32"/>
          <w:lang w:val="en-US" w:eastAsia="zh-CN"/>
        </w:rPr>
        <w:t>。</w:t>
      </w:r>
      <w:r>
        <w:rPr>
          <w:rFonts w:hint="eastAsia" w:ascii="仿宋_GB2312" w:hAnsi="黑体" w:eastAsia="仿宋_GB2312" w:cs="方正小标宋_GBK"/>
          <w:b/>
          <w:bCs/>
          <w:color w:val="auto"/>
          <w:kern w:val="0"/>
          <w:sz w:val="32"/>
          <w:szCs w:val="32"/>
          <w:lang w:eastAsia="zh-CN"/>
        </w:rPr>
        <w:t>各镇党委、政府</w:t>
      </w:r>
      <w:r>
        <w:rPr>
          <w:rFonts w:hint="eastAsia" w:ascii="仿宋_GB2312" w:hAnsi="黑体" w:eastAsia="仿宋_GB2312" w:cs="方正小标宋_GBK"/>
          <w:color w:val="auto"/>
          <w:kern w:val="0"/>
          <w:sz w:val="32"/>
          <w:szCs w:val="32"/>
          <w:lang w:eastAsia="zh-CN"/>
        </w:rPr>
        <w:t>是责</w:t>
      </w:r>
      <w:r>
        <w:rPr>
          <w:rFonts w:hint="eastAsia" w:ascii="仿宋_GB2312" w:hAnsi="仿宋_GB2312" w:eastAsia="仿宋_GB2312" w:cs="仿宋_GB2312"/>
          <w:color w:val="auto"/>
          <w:sz w:val="32"/>
          <w:szCs w:val="32"/>
        </w:rPr>
        <w:t>任主体，党委、政府主要负责同志要抓在手上、主</w:t>
      </w:r>
      <w:r>
        <w:rPr>
          <w:rFonts w:hint="eastAsia" w:ascii="仿宋_GB2312" w:hAnsi="仿宋_GB2312" w:eastAsia="仿宋_GB2312" w:cs="仿宋_GB2312"/>
          <w:color w:val="auto"/>
          <w:sz w:val="32"/>
          <w:szCs w:val="32"/>
          <w:lang w:eastAsia="zh-CN"/>
        </w:rPr>
        <w:t>动</w:t>
      </w:r>
      <w:r>
        <w:rPr>
          <w:rFonts w:hint="eastAsia" w:ascii="仿宋_GB2312" w:hAnsi="仿宋_GB2312" w:eastAsia="仿宋_GB2312" w:cs="仿宋_GB2312"/>
          <w:color w:val="auto"/>
          <w:sz w:val="32"/>
          <w:szCs w:val="32"/>
        </w:rPr>
        <w:t>研究、部署推动、调研指导，协调各有关部门加强对集体经济薄弱村组织建设、资金</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、产业发展、土地流转、招商引资、人才培训、政策宣传等方面的指导，</w:t>
      </w:r>
      <w:r>
        <w:rPr>
          <w:rFonts w:hint="eastAsia" w:ascii="仿宋_GB2312" w:hAnsi="仿宋_GB2312" w:eastAsia="仿宋_GB2312" w:cs="仿宋_GB2312"/>
          <w:color w:val="auto"/>
          <w:sz w:val="32"/>
          <w:szCs w:val="32"/>
          <w:lang w:eastAsia="zh-CN"/>
        </w:rPr>
        <w:t>指导落实好村集体产业发展项目，</w:t>
      </w:r>
      <w:r>
        <w:rPr>
          <w:rFonts w:hint="eastAsia" w:ascii="仿宋_GB2312" w:hAnsi="仿宋_GB2312" w:eastAsia="仿宋_GB2312" w:cs="仿宋_GB2312"/>
          <w:color w:val="auto"/>
          <w:sz w:val="32"/>
          <w:szCs w:val="32"/>
        </w:rPr>
        <w:t>坚持严格把关、全程跟踪，确保落地见效。</w:t>
      </w:r>
      <w:r>
        <w:rPr>
          <w:rFonts w:hint="eastAsia" w:ascii="仿宋_GB2312" w:hAnsi="仿宋_GB2312" w:eastAsia="仿宋_GB2312" w:cs="仿宋_GB2312"/>
          <w:b/>
          <w:bCs/>
          <w:color w:val="auto"/>
          <w:sz w:val="32"/>
          <w:szCs w:val="32"/>
        </w:rPr>
        <w:t>集体经济薄弱村</w:t>
      </w:r>
      <w:r>
        <w:rPr>
          <w:rFonts w:hint="eastAsia" w:ascii="仿宋_GB2312" w:hAnsi="仿宋_GB2312" w:eastAsia="仿宋_GB2312" w:cs="仿宋_GB2312"/>
          <w:color w:val="auto"/>
          <w:sz w:val="32"/>
          <w:szCs w:val="32"/>
        </w:rPr>
        <w:t>党组织、集体经济组织是执行主体，要认真组织实施，做好土地流转协调、村民组织动员、引资合作服务等工作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各行业部门</w:t>
      </w:r>
      <w:r>
        <w:rPr>
          <w:rFonts w:hint="eastAsia" w:ascii="仿宋_GB2312" w:hAnsi="仿宋_GB2312" w:eastAsia="仿宋_GB2312" w:cs="仿宋_GB2312"/>
          <w:color w:val="auto"/>
          <w:sz w:val="32"/>
          <w:szCs w:val="32"/>
          <w:lang w:eastAsia="zh-CN"/>
        </w:rPr>
        <w:t>在政策上、技术上指导各镇村加强产业项目谋划，因地制宜发展“一村一策”优势产业，对资产资源匮乏的薄弱村由区、镇统筹谋划异地置业项目，确保村集体增收。</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2.加强项目管理</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是</w:t>
      </w:r>
      <w:r>
        <w:rPr>
          <w:rFonts w:hint="eastAsia" w:ascii="仿宋_GB2312" w:hAnsi="仿宋_GB2312" w:eastAsia="仿宋_GB2312" w:cs="仿宋_GB2312"/>
          <w:b w:val="0"/>
          <w:bCs w:val="0"/>
          <w:color w:val="auto"/>
          <w:sz w:val="32"/>
          <w:szCs w:val="32"/>
          <w:lang w:eastAsia="zh-CN"/>
        </w:rPr>
        <w:t>推进项目实施。</w:t>
      </w:r>
      <w:r>
        <w:rPr>
          <w:rFonts w:hint="eastAsia" w:ascii="仿宋_GB2312" w:hAnsi="仿宋_GB2312" w:eastAsia="仿宋_GB2312" w:cs="仿宋_GB2312"/>
          <w:color w:val="auto"/>
          <w:sz w:val="32"/>
          <w:szCs w:val="32"/>
          <w:lang w:val="en-US" w:eastAsia="zh-CN"/>
        </w:rPr>
        <w:t>加快推进已拨付的市级转移支付资金项目建设实施进度，紧盯已谋划项目的设计、审批等环节，确保项目早落地早见效，切实形成可持续的村集体收益，壮大村集体经济；</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完善项目追踪问效机制。</w:t>
      </w:r>
      <w:r>
        <w:rPr>
          <w:rFonts w:hint="eastAsia" w:ascii="仿宋_GB2312" w:hAnsi="仿宋_GB2312" w:eastAsia="仿宋_GB2312" w:cs="仿宋_GB2312"/>
          <w:color w:val="auto"/>
          <w:sz w:val="32"/>
          <w:szCs w:val="32"/>
          <w:lang w:val="en-US" w:eastAsia="zh-CN"/>
        </w:rPr>
        <w:t>建立健全薄弱村资金项目台账，认真梳理所有项目绩效目标执行情况，严格把关、全程跟踪，做好项目总结，确保项目真落地、见实效；</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建立项目储备库。</w:t>
      </w:r>
      <w:r>
        <w:rPr>
          <w:rFonts w:hint="eastAsia" w:ascii="仿宋_GB2312" w:hAnsi="仿宋_GB2312" w:eastAsia="仿宋_GB2312" w:cs="仿宋_GB2312"/>
          <w:color w:val="auto"/>
          <w:sz w:val="32"/>
          <w:szCs w:val="32"/>
          <w:lang w:val="en-US" w:eastAsia="zh-CN"/>
        </w:rPr>
        <w:t>对各镇村谋划的项目按产业类型动态管理，根据项目可行性和成熟度分批推进，切实达到“储备一批、推进一批、实施一批、见效一批”，为村级集体经济持续健康发展奠定坚实的产业支撑。</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3.深化帮扶机制</w:t>
      </w:r>
    </w:p>
    <w:p>
      <w:pPr>
        <w:keepNext w:val="0"/>
        <w:keepLines w:val="0"/>
        <w:pageBreakBefore w:val="0"/>
        <w:widowControl w:val="0"/>
        <w:numPr>
          <w:ilvl w:val="0"/>
          <w:numId w:val="0"/>
        </w:numPr>
        <w:pBdr>
          <w:bottom w:val="single" w:color="FFFFFF" w:sz="4" w:space="9"/>
        </w:pBdr>
        <w:tabs>
          <w:tab w:val="left" w:pos="1440"/>
        </w:tabs>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eastAsia="仿宋_GB2312" w:cs="Times New Roman"/>
          <w:color w:val="auto"/>
          <w:sz w:val="32"/>
          <w:szCs w:val="32"/>
        </w:rPr>
      </w:pPr>
      <w:r>
        <w:rPr>
          <w:rFonts w:hint="eastAsia" w:ascii="仿宋_GB2312" w:hAnsi="仿宋_GB2312" w:eastAsia="仿宋_GB2312" w:cs="仿宋_GB2312"/>
          <w:color w:val="auto"/>
          <w:sz w:val="32"/>
          <w:szCs w:val="32"/>
          <w:lang w:val="en-US" w:eastAsia="zh-CN"/>
        </w:rPr>
        <w:t>充分发挥1+9+N“组团式帮扶协作”机制，利用好各类帮扶资源，加强本镇域内产业项目统筹，通过“飞地抱团”、“异地置业”等方式，真正谋划一批可落地、能增收、能带动、有效益的镇级统筹优势产业项目，推动村集体经济与区域经济融合发展。同时，利用好我区13家市属国企、7家区属国企和有合作意向的央企国企等帮扶力量，探索村企合作</w:t>
      </w:r>
      <w:r>
        <w:rPr>
          <w:rFonts w:hint="eastAsia" w:ascii="仿宋_GB2312" w:hAnsi="仿宋_GB2312" w:eastAsia="仿宋_GB2312" w:cs="仿宋_GB2312"/>
          <w:color w:val="auto"/>
          <w:sz w:val="32"/>
          <w:szCs w:val="32"/>
        </w:rPr>
        <w:t>路径，</w:t>
      </w:r>
      <w:r>
        <w:rPr>
          <w:rFonts w:hint="eastAsia" w:ascii="仿宋_GB2312" w:hAnsi="仿宋_GB2312" w:eastAsia="仿宋_GB2312" w:cs="仿宋_GB2312"/>
          <w:color w:val="auto"/>
          <w:sz w:val="32"/>
          <w:szCs w:val="32"/>
          <w:lang w:eastAsia="zh-CN"/>
        </w:rPr>
        <w:t>加快统筹谋划</w:t>
      </w:r>
      <w:r>
        <w:rPr>
          <w:rFonts w:hint="eastAsia" w:ascii="仿宋_GB2312" w:hAnsi="仿宋_GB2312" w:eastAsia="仿宋_GB2312" w:cs="仿宋_GB2312"/>
          <w:color w:val="auto"/>
          <w:sz w:val="32"/>
          <w:szCs w:val="32"/>
          <w:lang w:val="en-US" w:eastAsia="zh-CN"/>
        </w:rPr>
        <w:t>大型异地置业项目，积极推动与国电投、首农集团、密云文旅集团、建工集团等企业的合作项目落地实施，解决</w:t>
      </w:r>
      <w:r>
        <w:rPr>
          <w:rFonts w:hint="eastAsia" w:ascii="仿宋_GB2312" w:hAnsi="仿宋_GB2312" w:eastAsia="仿宋_GB2312" w:cs="仿宋_GB2312"/>
          <w:color w:val="auto"/>
          <w:sz w:val="32"/>
          <w:szCs w:val="32"/>
          <w:lang w:eastAsia="zh-CN"/>
        </w:rPr>
        <w:t>资产</w:t>
      </w:r>
      <w:r>
        <w:rPr>
          <w:rFonts w:hint="eastAsia" w:ascii="仿宋_GB2312" w:hAnsi="仿宋_GB2312" w:eastAsia="仿宋_GB2312" w:cs="仿宋_GB2312"/>
          <w:color w:val="auto"/>
          <w:sz w:val="32"/>
          <w:szCs w:val="32"/>
        </w:rPr>
        <w:t>资源匮乏的薄弱村</w:t>
      </w:r>
      <w:r>
        <w:rPr>
          <w:rFonts w:hint="eastAsia" w:ascii="仿宋_GB2312" w:hAnsi="仿宋_GB2312" w:eastAsia="仿宋_GB2312" w:cs="仿宋_GB2312"/>
          <w:color w:val="auto"/>
          <w:sz w:val="32"/>
          <w:szCs w:val="32"/>
          <w:lang w:eastAsia="zh-CN"/>
        </w:rPr>
        <w:t>产业项目无法落地问题，保障村集体收益</w:t>
      </w:r>
      <w:r>
        <w:rPr>
          <w:rFonts w:hint="eastAsia" w:ascii="仿宋_GB2312" w:hAnsi="仿宋_GB2312" w:eastAsia="仿宋_GB2312" w:cs="仿宋_GB2312"/>
          <w:color w:val="auto"/>
          <w:sz w:val="32"/>
          <w:szCs w:val="32"/>
          <w:lang w:val="en-US" w:eastAsia="zh-CN"/>
        </w:rPr>
        <w:t>。</w:t>
      </w:r>
    </w:p>
    <w:p>
      <w:pPr>
        <w:rPr>
          <w:rFonts w:hint="eastAsia" w:eastAsia="宋体"/>
          <w:color w:val="auto"/>
          <w:lang w:eastAsia="zh-CN"/>
        </w:rPr>
      </w:pPr>
      <w:r>
        <w:rPr>
          <w:rFonts w:hint="eastAsia"/>
          <w:color w:val="auto"/>
          <w:lang w:eastAsia="zh-CN"/>
        </w:rPr>
        <w:t>、</w:t>
      </w:r>
    </w:p>
    <w:tbl>
      <w:tblPr>
        <w:tblStyle w:val="16"/>
        <w:tblW w:w="10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341"/>
        <w:gridCol w:w="411"/>
        <w:gridCol w:w="1050"/>
        <w:gridCol w:w="489"/>
        <w:gridCol w:w="810"/>
        <w:gridCol w:w="585"/>
        <w:gridCol w:w="135"/>
        <w:gridCol w:w="396"/>
        <w:gridCol w:w="245"/>
        <w:gridCol w:w="169"/>
        <w:gridCol w:w="615"/>
        <w:gridCol w:w="900"/>
        <w:gridCol w:w="330"/>
        <w:gridCol w:w="360"/>
        <w:gridCol w:w="330"/>
        <w:gridCol w:w="555"/>
        <w:gridCol w:w="255"/>
        <w:gridCol w:w="39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0280" w:type="dxa"/>
            <w:gridSpan w:val="2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ascii="方正小标宋简体" w:hAnsi="方正小标宋简体" w:eastAsia="方正小标宋简体" w:cs="方正小标宋简体"/>
                <w:i w:val="0"/>
                <w:color w:val="auto"/>
                <w:sz w:val="28"/>
                <w:szCs w:val="28"/>
                <w:u w:val="none"/>
              </w:rPr>
            </w:pPr>
            <w:r>
              <w:rPr>
                <w:rFonts w:hint="eastAsia" w:ascii="方正小标宋简体" w:hAnsi="方正小标宋简体" w:eastAsia="方正小标宋简体" w:cs="方正小标宋简体"/>
                <w:i w:val="0"/>
                <w:color w:val="auto"/>
                <w:kern w:val="0"/>
                <w:sz w:val="36"/>
                <w:szCs w:val="36"/>
                <w:u w:val="none"/>
                <w:lang w:val="en-US" w:eastAsia="zh-CN" w:bidi="ar"/>
              </w:rPr>
              <w:t>市级转移支付密云区（扶持壮大村级集体经济项目）绩效自评表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0280" w:type="dxa"/>
            <w:gridSpan w:val="20"/>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2"/>
                <w:szCs w:val="22"/>
                <w:u w:val="none"/>
              </w:rPr>
            </w:pPr>
            <w:r>
              <w:rPr>
                <w:rFonts w:hint="eastAsia" w:ascii="仿宋_GB2312" w:hAnsi="仿宋_GB2312" w:eastAsia="仿宋_GB2312" w:cs="仿宋_GB2312"/>
                <w:i w:val="0"/>
                <w:color w:val="auto"/>
                <w:kern w:val="0"/>
                <w:sz w:val="32"/>
                <w:szCs w:val="3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97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转移支付（项目）名称</w:t>
            </w:r>
          </w:p>
        </w:tc>
        <w:tc>
          <w:tcPr>
            <w:tcW w:w="7303"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rPr>
              <w:t>扶持壮大村级集体经济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市级主管部门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市农业农村局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rPr>
              <w:t>转移支付类别</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区</w:t>
            </w:r>
            <w:r>
              <w:rPr>
                <w:rFonts w:hint="eastAsia" w:ascii="宋体" w:hAnsi="宋体" w:cs="宋体"/>
                <w:i w:val="0"/>
                <w:color w:val="auto"/>
                <w:kern w:val="0"/>
                <w:sz w:val="20"/>
                <w:szCs w:val="20"/>
                <w:u w:val="none"/>
                <w:lang w:val="en-US" w:eastAsia="zh-CN" w:bidi="ar"/>
              </w:rPr>
              <w:t>级</w:t>
            </w:r>
            <w:r>
              <w:rPr>
                <w:rFonts w:hint="eastAsia" w:ascii="宋体" w:hAnsi="宋体" w:eastAsia="宋体" w:cs="宋体"/>
                <w:i w:val="0"/>
                <w:color w:val="auto"/>
                <w:kern w:val="0"/>
                <w:sz w:val="20"/>
                <w:szCs w:val="20"/>
                <w:u w:val="none"/>
                <w:lang w:val="en-US" w:eastAsia="zh-CN" w:bidi="ar"/>
              </w:rPr>
              <w:t>主管部门</w:t>
            </w:r>
          </w:p>
        </w:tc>
        <w:tc>
          <w:tcPr>
            <w:tcW w:w="387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区农业农村局</w:t>
            </w:r>
          </w:p>
        </w:tc>
        <w:tc>
          <w:tcPr>
            <w:tcW w:w="102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rPr>
              <w:t>资金使用单位</w:t>
            </w:r>
          </w:p>
        </w:tc>
        <w:tc>
          <w:tcPr>
            <w:tcW w:w="434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薄弱村及薄弱村所在镇政府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1027"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资金</w:t>
            </w:r>
            <w:r>
              <w:rPr>
                <w:rFonts w:hint="eastAsia" w:ascii="宋体" w:hAnsi="宋体" w:cs="宋体"/>
                <w:i w:val="0"/>
                <w:color w:val="auto"/>
                <w:kern w:val="0"/>
                <w:sz w:val="20"/>
                <w:szCs w:val="20"/>
                <w:u w:val="none"/>
                <w:lang w:val="en-US" w:eastAsia="zh-CN" w:bidi="ar"/>
              </w:rPr>
              <w:t>投入</w:t>
            </w:r>
            <w:r>
              <w:rPr>
                <w:rFonts w:hint="eastAsia" w:ascii="宋体" w:hAnsi="宋体" w:eastAsia="宋体" w:cs="宋体"/>
                <w:i w:val="0"/>
                <w:color w:val="auto"/>
                <w:kern w:val="0"/>
                <w:sz w:val="20"/>
                <w:szCs w:val="20"/>
                <w:u w:val="none"/>
                <w:lang w:val="en-US" w:eastAsia="zh-CN" w:bidi="ar"/>
              </w:rPr>
              <w:t>情况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（万元，小数点保留2位）</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left"/>
              <w:rPr>
                <w:rFonts w:hint="eastAsia" w:ascii="宋体" w:hAnsi="宋体" w:eastAsia="宋体" w:cs="宋体"/>
                <w:i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年初预算数</w:t>
            </w:r>
            <w:r>
              <w:rPr>
                <w:rFonts w:hint="eastAsia" w:ascii="宋体" w:hAnsi="宋体" w:cs="宋体"/>
                <w:i w:val="0"/>
                <w:color w:val="auto"/>
                <w:kern w:val="0"/>
                <w:sz w:val="20"/>
                <w:szCs w:val="20"/>
                <w:u w:val="none"/>
                <w:lang w:val="en-US" w:eastAsia="zh-CN" w:bidi="ar"/>
              </w:rPr>
              <w:t>（A）</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预算调整数</w:t>
            </w:r>
            <w:r>
              <w:rPr>
                <w:rFonts w:hint="eastAsia" w:ascii="宋体" w:hAnsi="宋体" w:cs="宋体"/>
                <w:i w:val="0"/>
                <w:color w:val="auto"/>
                <w:kern w:val="0"/>
                <w:sz w:val="20"/>
                <w:szCs w:val="20"/>
                <w:u w:val="none"/>
                <w:lang w:val="en-US" w:eastAsia="zh-CN" w:bidi="ar"/>
              </w:rPr>
              <w:t>（B）</w:t>
            </w: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调整后预算数</w:t>
            </w:r>
            <w:r>
              <w:rPr>
                <w:rFonts w:hint="eastAsia" w:ascii="宋体" w:hAnsi="宋体" w:cs="宋体"/>
                <w:i w:val="0"/>
                <w:color w:val="auto"/>
                <w:kern w:val="0"/>
                <w:sz w:val="20"/>
                <w:szCs w:val="20"/>
                <w:u w:val="none"/>
                <w:lang w:val="en-US" w:eastAsia="zh-CN" w:bidi="ar"/>
              </w:rPr>
              <w:t>（C）</w:t>
            </w: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全年执行数</w:t>
            </w:r>
            <w:r>
              <w:rPr>
                <w:rFonts w:hint="eastAsia" w:ascii="宋体" w:hAnsi="宋体" w:cs="宋体"/>
                <w:i w:val="0"/>
                <w:color w:val="auto"/>
                <w:kern w:val="0"/>
                <w:sz w:val="20"/>
                <w:szCs w:val="20"/>
                <w:u w:val="none"/>
                <w:lang w:val="en-US" w:eastAsia="zh-CN" w:bidi="ar"/>
              </w:rPr>
              <w:t>（D）</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spacing w:val="0"/>
                <w:kern w:val="0"/>
                <w:sz w:val="20"/>
                <w:szCs w:val="20"/>
                <w:u w:val="none"/>
                <w:lang w:val="en-US" w:eastAsia="zh-CN" w:bidi="ar"/>
              </w:rPr>
              <w:t>预算调整</w:t>
            </w:r>
            <w:r>
              <w:rPr>
                <w:rStyle w:val="31"/>
                <w:color w:val="auto"/>
                <w:spacing w:val="0"/>
                <w:sz w:val="20"/>
                <w:szCs w:val="20"/>
                <w:lang w:val="en-US" w:eastAsia="zh-CN" w:bidi="ar"/>
              </w:rPr>
              <w:t>率（</w:t>
            </w:r>
            <w:r>
              <w:rPr>
                <w:rStyle w:val="31"/>
                <w:color w:val="auto"/>
                <w:spacing w:val="-11"/>
                <w:sz w:val="20"/>
                <w:szCs w:val="20"/>
                <w:lang w:val="en-US" w:eastAsia="zh-CN" w:bidi="ar"/>
              </w:rPr>
              <w:t>B/A</w:t>
            </w:r>
            <w:r>
              <w:rPr>
                <w:rStyle w:val="31"/>
                <w:rFonts w:hint="eastAsia"/>
                <w:color w:val="auto"/>
                <w:spacing w:val="-11"/>
                <w:sz w:val="20"/>
                <w:szCs w:val="20"/>
                <w:lang w:val="en-US" w:eastAsia="zh-CN" w:bidi="ar"/>
              </w:rPr>
              <w:t>×100%）</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color w:val="auto"/>
                <w:sz w:val="20"/>
                <w:szCs w:val="20"/>
                <w:lang w:val="en-US" w:eastAsia="zh-CN"/>
              </w:rPr>
            </w:pPr>
            <w:r>
              <w:rPr>
                <w:rFonts w:hint="eastAsia"/>
                <w:color w:val="auto"/>
                <w:sz w:val="20"/>
                <w:szCs w:val="20"/>
                <w:lang w:val="en-US" w:eastAsia="zh-CN"/>
              </w:rPr>
              <w:t>分值</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预算执行率</w:t>
            </w:r>
            <w:r>
              <w:rPr>
                <w:rFonts w:hint="eastAsia" w:ascii="宋体" w:hAnsi="宋体" w:cs="宋体"/>
                <w:i w:val="0"/>
                <w:color w:val="auto"/>
                <w:spacing w:val="-11"/>
                <w:kern w:val="0"/>
                <w:sz w:val="20"/>
                <w:szCs w:val="20"/>
                <w:u w:val="none"/>
                <w:lang w:val="en-US" w:eastAsia="zh-CN" w:bidi="ar"/>
              </w:rPr>
              <w:t>（</w:t>
            </w:r>
            <w:r>
              <w:rPr>
                <w:rFonts w:hint="eastAsia" w:ascii="宋体" w:hAnsi="宋体" w:eastAsia="宋体" w:cs="宋体"/>
                <w:i w:val="0"/>
                <w:color w:val="auto"/>
                <w:spacing w:val="-11"/>
                <w:kern w:val="0"/>
                <w:sz w:val="20"/>
                <w:szCs w:val="20"/>
                <w:u w:val="none"/>
                <w:lang w:val="en-US" w:eastAsia="zh-CN" w:bidi="ar"/>
              </w:rPr>
              <w:t>D</w:t>
            </w:r>
            <w:r>
              <w:rPr>
                <w:rStyle w:val="31"/>
                <w:color w:val="auto"/>
                <w:spacing w:val="-11"/>
                <w:sz w:val="20"/>
                <w:szCs w:val="20"/>
                <w:lang w:val="en-US" w:eastAsia="zh-CN" w:bidi="ar"/>
              </w:rPr>
              <w:t>/C</w:t>
            </w:r>
            <w:r>
              <w:rPr>
                <w:rStyle w:val="31"/>
                <w:rFonts w:hint="eastAsia"/>
                <w:color w:val="auto"/>
                <w:spacing w:val="-11"/>
                <w:sz w:val="20"/>
                <w:szCs w:val="20"/>
                <w:lang w:val="en-US" w:eastAsia="zh-CN" w:bidi="ar"/>
              </w:rPr>
              <w:t>×100%）</w:t>
            </w:r>
          </w:p>
        </w:tc>
        <w:tc>
          <w:tcPr>
            <w:tcW w:w="64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得分</w:t>
            </w:r>
          </w:p>
        </w:tc>
        <w:tc>
          <w:tcPr>
            <w:tcW w:w="12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预算调整</w:t>
            </w:r>
            <w:r>
              <w:rPr>
                <w:rStyle w:val="31"/>
                <w:color w:val="auto"/>
                <w:sz w:val="20"/>
                <w:szCs w:val="20"/>
                <w:lang w:val="en-US" w:eastAsia="zh-CN" w:bidi="ar"/>
              </w:rPr>
              <w:t>、结余等原因分析及改进措施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年度资金总额：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861.45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10</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43.07%</w:t>
            </w: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4.3</w:t>
            </w:r>
          </w:p>
        </w:tc>
        <w:tc>
          <w:tcPr>
            <w:tcW w:w="1228" w:type="dxa"/>
            <w:vMerge w:val="restart"/>
            <w:tcBorders>
              <w:top w:val="single" w:color="auto" w:sz="4" w:space="0"/>
              <w:left w:val="single" w:color="auto" w:sz="4" w:space="0"/>
              <w:right w:val="single" w:color="auto" w:sz="4" w:space="0"/>
            </w:tcBorders>
            <w:noWrap w:val="0"/>
            <w:vAlign w:val="center"/>
          </w:tcPr>
          <w:p>
            <w:pPr>
              <w:spacing w:line="240" w:lineRule="auto"/>
              <w:jc w:val="left"/>
              <w:rPr>
                <w:rFonts w:hint="eastAsia" w:ascii="宋体" w:hAnsi="宋体" w:cs="宋体"/>
                <w:color w:val="auto"/>
                <w:sz w:val="20"/>
                <w:szCs w:val="20"/>
                <w:lang w:eastAsia="zh-CN"/>
              </w:rPr>
            </w:pPr>
            <w:r>
              <w:rPr>
                <w:rFonts w:hint="eastAsia" w:ascii="宋体" w:hAnsi="宋体" w:cs="宋体"/>
                <w:color w:val="auto"/>
                <w:sz w:val="20"/>
                <w:szCs w:val="20"/>
                <w:lang w:eastAsia="zh-CN"/>
              </w:rPr>
              <w:t>结余原因：薄弱村产业发展受限、项目谋划不足、资金使用要求高、。</w:t>
            </w:r>
          </w:p>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r>
              <w:rPr>
                <w:rFonts w:hint="eastAsia" w:ascii="宋体" w:hAnsi="宋体" w:eastAsia="宋体" w:cs="宋体"/>
                <w:color w:val="auto"/>
                <w:sz w:val="20"/>
                <w:szCs w:val="20"/>
                <w:lang w:eastAsia="zh-CN"/>
              </w:rPr>
              <w:t>措施：加强顶层设计、强化责任落实、加强项目管理、深化帮扶机制。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其中：市级财政资金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2000</w:t>
            </w: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区级资金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中央资金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88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6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2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1027" w:type="dxa"/>
            <w:gridSpan w:val="2"/>
            <w:vMerge w:val="restart"/>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资金管理情况</w:t>
            </w: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情况说明</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jc w:val="center"/>
              <w:textAlignment w:val="center"/>
              <w:rPr>
                <w:rFonts w:hint="eastAsia"/>
                <w:color w:val="auto"/>
                <w:sz w:val="20"/>
                <w:szCs w:val="20"/>
                <w:lang w:val="en-US" w:eastAsia="zh-CN"/>
              </w:rPr>
            </w:pPr>
            <w:r>
              <w:rPr>
                <w:rFonts w:hint="eastAsia"/>
                <w:color w:val="auto"/>
                <w:sz w:val="20"/>
                <w:szCs w:val="20"/>
                <w:lang w:val="en-US" w:eastAsia="zh-CN"/>
              </w:rPr>
              <w:t>分值</w:t>
            </w:r>
          </w:p>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cs="宋体"/>
                <w:i w:val="0"/>
                <w:color w:val="auto"/>
                <w:sz w:val="20"/>
                <w:szCs w:val="20"/>
                <w:u w:val="none"/>
                <w:lang w:eastAsia="zh-CN"/>
              </w:rPr>
            </w:pPr>
            <w:r>
              <w:rPr>
                <w:rFonts w:hint="eastAsia" w:ascii="宋体" w:hAnsi="宋体" w:cs="宋体"/>
                <w:i w:val="0"/>
                <w:color w:val="auto"/>
                <w:spacing w:val="-11"/>
                <w:kern w:val="0"/>
                <w:sz w:val="20"/>
                <w:szCs w:val="20"/>
                <w:u w:val="none"/>
                <w:lang w:val="en-US" w:eastAsia="zh-CN" w:bidi="ar"/>
              </w:rPr>
              <w:t>（40）</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得分</w:t>
            </w:r>
          </w:p>
        </w:tc>
        <w:tc>
          <w:tcPr>
            <w:tcW w:w="1873" w:type="dxa"/>
            <w:gridSpan w:val="3"/>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存在的问题和改进措施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分配科学性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按照市级、区级方案，全区纳入市级台账的</w:t>
            </w:r>
            <w:r>
              <w:rPr>
                <w:rFonts w:hint="eastAsia" w:ascii="宋体" w:hAnsi="宋体" w:cs="宋体"/>
                <w:color w:val="auto"/>
                <w:sz w:val="20"/>
                <w:szCs w:val="20"/>
                <w:lang w:val="en-US" w:eastAsia="zh-CN"/>
              </w:rPr>
              <w:t>197个集体经济薄弱村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下达及时性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按照市级、区级方案，各薄弱村按照项目制形式申报资金，经村级民主程序、镇级审议、区级审批程序后下达资金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拨付合规性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cs="宋体"/>
                <w:color w:val="auto"/>
                <w:sz w:val="20"/>
                <w:szCs w:val="20"/>
                <w:lang w:eastAsia="zh-CN"/>
              </w:rPr>
              <w:t>按照市级、区级方案，各薄弱村按照项目制形式申报资金，经村级民主程序、镇级审议、项目初审、联审、可行性专家论证、资金评审后报区政府审批，审批同意后拨付资金</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使用规范性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各项目所在镇政府为项目主体，对项目规范性进行监督管理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执行准确性</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cs="宋体"/>
                <w:color w:val="auto"/>
                <w:sz w:val="20"/>
                <w:szCs w:val="20"/>
                <w:lang w:eastAsia="zh-CN"/>
              </w:rPr>
              <w:t>各项目所在镇政府为项目主体，对项目执行情况进行监督管理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预算绩效管理情况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严格按照项目实施方案执行</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027"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both"/>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支出责任履行情况</w:t>
            </w:r>
          </w:p>
        </w:tc>
        <w:tc>
          <w:tcPr>
            <w:tcW w:w="385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项目实施单位、行业主管部门、财政部门严格履职</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val="en-US" w:eastAsia="zh-CN"/>
              </w:rPr>
              <w:t>5</w:t>
            </w:r>
          </w:p>
        </w:tc>
        <w:tc>
          <w:tcPr>
            <w:tcW w:w="8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873" w:type="dxa"/>
            <w:gridSpan w:val="3"/>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总体目标完成情况</w:t>
            </w: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总体目标</w:t>
            </w: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463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eastAsia="zh-CN" w:bidi="ar"/>
              </w:rPr>
              <w:t>通过扶持，形成可持续发展的农村集体产业，确保扶持村年集体经营性收入持续达到</w:t>
            </w:r>
            <w:r>
              <w:rPr>
                <w:rFonts w:hint="eastAsia" w:ascii="宋体" w:hAnsi="宋体" w:eastAsia="宋体" w:cs="宋体"/>
                <w:color w:val="auto"/>
                <w:kern w:val="0"/>
                <w:sz w:val="20"/>
                <w:szCs w:val="20"/>
                <w:lang w:val="en-US" w:eastAsia="zh-CN" w:bidi="ar"/>
              </w:rPr>
              <w:t>10万元以上</w:t>
            </w:r>
            <w:r>
              <w:rPr>
                <w:rFonts w:hint="eastAsia" w:ascii="宋体" w:hAnsi="宋体" w:eastAsia="宋体" w:cs="宋体"/>
                <w:color w:val="auto"/>
                <w:kern w:val="0"/>
                <w:sz w:val="20"/>
                <w:szCs w:val="20"/>
                <w:lang w:eastAsia="zh-CN" w:bidi="ar"/>
              </w:rPr>
              <w:t>，进一步增强村级自我保障和服务群众能力，提升农村基层党组织的组织力。</w:t>
            </w:r>
          </w:p>
          <w:p>
            <w:pPr>
              <w:jc w:val="center"/>
              <w:rPr>
                <w:rFonts w:hint="eastAsia" w:ascii="宋体" w:hAnsi="宋体" w:cs="宋体"/>
                <w:color w:val="auto"/>
                <w:kern w:val="2"/>
                <w:sz w:val="20"/>
                <w:szCs w:val="20"/>
                <w:lang w:val="en-US" w:eastAsia="zh-CN" w:bidi="ar-SA"/>
              </w:rPr>
            </w:pPr>
          </w:p>
        </w:tc>
        <w:tc>
          <w:tcPr>
            <w:tcW w:w="496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2023年，全区197个集体经济薄弱村</w:t>
            </w:r>
            <w:r>
              <w:rPr>
                <w:rFonts w:hint="eastAsia" w:ascii="宋体" w:hAnsi="宋体" w:eastAsia="宋体" w:cs="宋体"/>
                <w:color w:val="auto"/>
                <w:kern w:val="0"/>
                <w:sz w:val="20"/>
                <w:szCs w:val="20"/>
                <w:lang w:eastAsia="zh-CN" w:bidi="ar"/>
              </w:rPr>
              <w:t>年集体经营性收入全部达到</w:t>
            </w:r>
            <w:r>
              <w:rPr>
                <w:rFonts w:hint="eastAsia" w:ascii="宋体" w:hAnsi="宋体" w:eastAsia="宋体" w:cs="宋体"/>
                <w:color w:val="auto"/>
                <w:kern w:val="0"/>
                <w:sz w:val="20"/>
                <w:szCs w:val="20"/>
                <w:lang w:val="en-US" w:eastAsia="zh-CN" w:bidi="ar"/>
              </w:rPr>
              <w:t>10万元以上。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绩效指标</w:t>
            </w: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二级指标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三级指标</w:t>
            </w:r>
          </w:p>
        </w:tc>
        <w:tc>
          <w:tcPr>
            <w:tcW w:w="94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指标值</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全年实际完成值</w:t>
            </w:r>
          </w:p>
        </w:tc>
        <w:tc>
          <w:tcPr>
            <w:tcW w:w="690"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lang w:eastAsia="zh-CN"/>
              </w:rPr>
            </w:pPr>
            <w:r>
              <w:rPr>
                <w:rFonts w:hint="eastAsia" w:ascii="宋体" w:hAnsi="宋体" w:cs="宋体"/>
                <w:i w:val="0"/>
                <w:color w:val="auto"/>
                <w:sz w:val="20"/>
                <w:szCs w:val="20"/>
                <w:u w:val="none"/>
                <w:lang w:eastAsia="zh-CN"/>
              </w:rPr>
              <w:t>分值</w:t>
            </w:r>
          </w:p>
        </w:tc>
        <w:tc>
          <w:tcPr>
            <w:tcW w:w="810"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得分</w:t>
            </w:r>
          </w:p>
        </w:tc>
        <w:tc>
          <w:tcPr>
            <w:tcW w:w="1618"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（按照原来的绩效目标表填写</w:t>
            </w:r>
            <w:r>
              <w:rPr>
                <w:rStyle w:val="31"/>
                <w:color w:val="auto"/>
                <w:lang w:val="en-US" w:eastAsia="zh-CN" w:bidi="ar"/>
              </w:rPr>
              <w:t>）</w:t>
            </w:r>
          </w:p>
        </w:tc>
        <w:tc>
          <w:tcPr>
            <w:tcW w:w="94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（对照绩效目标表，尽可能通过具体量化的指标和资料呈现核心绩效）</w:t>
            </w:r>
          </w:p>
        </w:tc>
        <w:tc>
          <w:tcPr>
            <w:tcW w:w="690"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810"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618"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指标</w:t>
            </w:r>
            <w:r>
              <w:rPr>
                <w:rFonts w:hint="eastAsia" w:ascii="宋体" w:hAnsi="宋体" w:cs="宋体"/>
                <w:color w:val="auto"/>
                <w:sz w:val="20"/>
                <w:szCs w:val="20"/>
                <w:lang w:val="en-US" w:eastAsia="zh-CN"/>
              </w:rPr>
              <w:t>1：</w:t>
            </w:r>
            <w:r>
              <w:rPr>
                <w:rFonts w:hint="eastAsia" w:ascii="宋体" w:hAnsi="宋体" w:cs="宋体"/>
                <w:color w:val="auto"/>
                <w:sz w:val="20"/>
                <w:szCs w:val="20"/>
                <w:lang w:eastAsia="zh-CN"/>
              </w:rPr>
              <w:t>扶持全区纳入市级台账的</w:t>
            </w:r>
            <w:r>
              <w:rPr>
                <w:rFonts w:hint="eastAsia" w:ascii="宋体" w:hAnsi="宋体" w:cs="宋体"/>
                <w:color w:val="auto"/>
                <w:sz w:val="20"/>
                <w:szCs w:val="20"/>
                <w:lang w:val="en-US" w:eastAsia="zh-CN"/>
              </w:rPr>
              <w:t>197个集体经济薄弱村发展产业项目，应扶持不少于10个村</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10个</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eastAsia="zh-CN"/>
              </w:rPr>
              <w:t>全部资金共安排</w:t>
            </w:r>
            <w:r>
              <w:rPr>
                <w:rFonts w:hint="eastAsia" w:ascii="宋体" w:hAnsi="宋体" w:eastAsia="宋体" w:cs="宋体"/>
                <w:i w:val="0"/>
                <w:color w:val="auto"/>
                <w:sz w:val="20"/>
                <w:szCs w:val="20"/>
                <w:u w:val="none"/>
                <w:lang w:val="en-US" w:eastAsia="zh-CN"/>
              </w:rPr>
              <w:t>11个村的项目</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薄弱村产业发展受限、项目谋划不足、资金使用要求高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leftChars="0"/>
              <w:jc w:val="center"/>
              <w:textAlignment w:val="center"/>
              <w:rPr>
                <w:rFonts w:hint="eastAsia" w:ascii="宋体" w:hAnsi="宋体" w:eastAsia="宋体" w:cs="宋体"/>
                <w:i w:val="0"/>
                <w:color w:val="auto"/>
                <w:sz w:val="20"/>
                <w:szCs w:val="20"/>
                <w:u w:val="none"/>
              </w:rPr>
            </w:pPr>
            <w:r>
              <w:rPr>
                <w:rFonts w:hint="eastAsia" w:ascii="宋体" w:hAnsi="宋体" w:cs="宋体"/>
                <w:color w:val="auto"/>
                <w:sz w:val="20"/>
                <w:szCs w:val="20"/>
                <w:lang w:eastAsia="zh-CN"/>
              </w:rPr>
              <w:t>指</w:t>
            </w:r>
            <w:r>
              <w:rPr>
                <w:rFonts w:hint="eastAsia" w:ascii="宋体" w:hAnsi="宋体" w:eastAsia="宋体" w:cs="宋体"/>
                <w:color w:val="auto"/>
                <w:sz w:val="20"/>
                <w:szCs w:val="20"/>
                <w:lang w:eastAsia="zh-CN"/>
              </w:rPr>
              <w:t>标</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lang w:eastAsia="zh-CN"/>
              </w:rPr>
              <w:t>每个薄弱村扶持资金不超过</w:t>
            </w:r>
            <w:r>
              <w:rPr>
                <w:rFonts w:hint="eastAsia" w:ascii="宋体" w:hAnsi="宋体" w:eastAsia="宋体" w:cs="宋体"/>
                <w:color w:val="auto"/>
                <w:sz w:val="20"/>
                <w:szCs w:val="20"/>
                <w:lang w:val="en-US" w:eastAsia="zh-CN"/>
              </w:rPr>
              <w:t>200万元</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200万元</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eastAsia="zh-CN"/>
              </w:rPr>
              <w:t>按照标准，每个村扶持资金均不超过</w:t>
            </w:r>
            <w:r>
              <w:rPr>
                <w:rFonts w:hint="eastAsia" w:ascii="宋体" w:hAnsi="宋体" w:eastAsia="宋体" w:cs="宋体"/>
                <w:i w:val="0"/>
                <w:color w:val="auto"/>
                <w:sz w:val="20"/>
                <w:szCs w:val="20"/>
                <w:u w:val="none"/>
                <w:lang w:val="en-US" w:eastAsia="zh-CN"/>
              </w:rPr>
              <w:t>200万元</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质量指标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项目实施后保障村集体年集体经营性收入持续达到</w:t>
            </w:r>
            <w:r>
              <w:rPr>
                <w:rFonts w:hint="eastAsia" w:ascii="宋体" w:hAnsi="宋体" w:cs="宋体"/>
                <w:color w:val="auto"/>
                <w:sz w:val="20"/>
                <w:szCs w:val="20"/>
                <w:lang w:val="en-US" w:eastAsia="zh-CN"/>
              </w:rPr>
              <w:t>10万元以上</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10万元以上</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时效指标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落实具体项目时间</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 w:eastAsia="zh-CN" w:bidi="ar-SA"/>
              </w:rPr>
            </w:pPr>
            <w:r>
              <w:rPr>
                <w:rFonts w:hint="eastAsia" w:ascii="宋体" w:hAnsi="宋体" w:cs="宋体"/>
                <w:color w:val="auto"/>
                <w:sz w:val="20"/>
                <w:szCs w:val="20"/>
                <w:lang w:val="en-US" w:eastAsia="zh-CN"/>
              </w:rPr>
              <w:t>资全部安排具体项目，正在推进实施</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成本指标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扶持标准</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按标准执行</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经济效益指标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确保扶持村年集体经营性收入持续达到</w:t>
            </w:r>
            <w:r>
              <w:rPr>
                <w:rFonts w:hint="eastAsia" w:ascii="宋体" w:hAnsi="宋体" w:eastAsia="宋体" w:cs="宋体"/>
                <w:color w:val="auto"/>
                <w:kern w:val="0"/>
                <w:sz w:val="20"/>
                <w:szCs w:val="20"/>
                <w:lang w:val="en-US" w:eastAsia="zh-CN" w:bidi="ar"/>
              </w:rPr>
              <w:t>10万元以上</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cs="宋体"/>
                <w:color w:val="auto"/>
                <w:sz w:val="20"/>
                <w:szCs w:val="20"/>
                <w:lang w:val="en-US" w:eastAsia="zh-CN"/>
              </w:rPr>
              <w:t>10万元以上</w:t>
            </w: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cs="宋体"/>
                <w:color w:val="auto"/>
                <w:sz w:val="20"/>
                <w:szCs w:val="20"/>
                <w:lang w:val="en-US" w:eastAsia="zh-CN"/>
              </w:rPr>
              <w:t>2022年全区197个集体经济薄弱村</w:t>
            </w:r>
            <w:r>
              <w:rPr>
                <w:rFonts w:hint="eastAsia" w:ascii="宋体" w:hAnsi="宋体" w:eastAsia="宋体" w:cs="宋体"/>
                <w:color w:val="auto"/>
                <w:kern w:val="0"/>
                <w:sz w:val="20"/>
                <w:szCs w:val="20"/>
                <w:lang w:eastAsia="zh-CN" w:bidi="ar"/>
              </w:rPr>
              <w:t>年集体经营性收入全部达到</w:t>
            </w:r>
            <w:r>
              <w:rPr>
                <w:rFonts w:hint="eastAsia" w:ascii="宋体" w:hAnsi="宋体" w:eastAsia="宋体" w:cs="宋体"/>
                <w:color w:val="auto"/>
                <w:kern w:val="0"/>
                <w:sz w:val="20"/>
                <w:szCs w:val="20"/>
                <w:lang w:val="en-US" w:eastAsia="zh-CN" w:bidi="ar"/>
              </w:rPr>
              <w:t>10万元以上</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6</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社会效益指标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进一步增强村级自我保障和服务群众能力，提升农村基层党组织的组织力</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r>
              <w:rPr>
                <w:rFonts w:hint="eastAsia" w:ascii="宋体" w:hAnsi="宋体" w:eastAsia="宋体" w:cs="宋体"/>
                <w:color w:val="auto"/>
                <w:kern w:val="0"/>
                <w:sz w:val="20"/>
                <w:szCs w:val="20"/>
                <w:lang w:eastAsia="zh-CN" w:bidi="ar"/>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生态效益指标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符项目合生态保护等相关要求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可持续影响指标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符项目合生态保护等相关要求</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auto"/>
                <w:kern w:val="2"/>
                <w:sz w:val="20"/>
                <w:szCs w:val="20"/>
                <w:lang w:val="en-US" w:eastAsia="zh-CN" w:bidi="ar-SA"/>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eastAsia="zh-CN"/>
              </w:rPr>
              <w:t>符合标准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满意度指标</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服务对象满意度指标</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村集体、农民满意度</w:t>
            </w: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项目未全部实施完工</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5</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lang w:val="en-US" w:eastAsia="zh-CN"/>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60" w:lineRule="exact"/>
              <w:ind w:left="0" w:leftChars="0"/>
              <w:jc w:val="center"/>
              <w:rPr>
                <w:rFonts w:hint="eastAsia" w:ascii="宋体" w:hAnsi="宋体" w:eastAsia="宋体" w:cs="宋体"/>
                <w:i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w:t>
            </w:r>
          </w:p>
        </w:tc>
        <w:tc>
          <w:tcPr>
            <w:tcW w:w="18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9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left"/>
              <w:rPr>
                <w:rFonts w:hint="eastAsia" w:ascii="宋体" w:hAnsi="宋体" w:eastAsia="宋体" w:cs="宋体"/>
                <w:i w:val="0"/>
                <w:color w:val="auto"/>
                <w:sz w:val="20"/>
                <w:szCs w:val="20"/>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162"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总分</w:t>
            </w:r>
          </w:p>
        </w:tc>
        <w:tc>
          <w:tcPr>
            <w:tcW w:w="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100</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87.3</w:t>
            </w:r>
          </w:p>
        </w:tc>
        <w:tc>
          <w:tcPr>
            <w:tcW w:w="16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说明</w:t>
            </w:r>
          </w:p>
        </w:tc>
        <w:tc>
          <w:tcPr>
            <w:tcW w:w="7792"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560" w:lineRule="exact"/>
              <w:ind w:left="0" w:leftChars="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请在此处简要说明</w:t>
            </w:r>
            <w:r>
              <w:rPr>
                <w:rFonts w:hint="eastAsia" w:ascii="宋体" w:hAnsi="宋体" w:cs="宋体"/>
                <w:i w:val="0"/>
                <w:color w:val="auto"/>
                <w:kern w:val="0"/>
                <w:sz w:val="20"/>
                <w:szCs w:val="20"/>
                <w:u w:val="none"/>
                <w:lang w:val="en-US" w:eastAsia="zh-CN" w:bidi="ar"/>
              </w:rPr>
              <w:t>巡视、审计和财会监督中</w:t>
            </w:r>
            <w:r>
              <w:rPr>
                <w:rFonts w:hint="eastAsia" w:ascii="宋体" w:hAnsi="宋体" w:eastAsia="宋体" w:cs="宋体"/>
                <w:i w:val="0"/>
                <w:color w:val="auto"/>
                <w:kern w:val="0"/>
                <w:sz w:val="20"/>
                <w:szCs w:val="20"/>
                <w:u w:val="none"/>
                <w:lang w:val="en-US" w:eastAsia="zh-CN" w:bidi="ar"/>
              </w:rPr>
              <w:t>发现的问题及其所涉及的金额，如没有请填无</w:t>
            </w:r>
            <w:r>
              <w:rPr>
                <w:rStyle w:val="31"/>
                <w:color w:val="auto"/>
                <w:lang w:val="en-US" w:eastAsia="zh-CN" w:bidi="ar"/>
              </w:rPr>
              <w:t>。</w:t>
            </w:r>
          </w:p>
        </w:tc>
      </w:tr>
    </w:tbl>
    <w:p>
      <w:pPr>
        <w:pStyle w:val="13"/>
        <w:ind w:left="0" w:leftChars="0" w:firstLine="0" w:firstLineChars="0"/>
        <w:rPr>
          <w:rFonts w:hint="default" w:eastAsia="仿宋_GB2312"/>
          <w:color w:val="auto"/>
          <w:lang w:val="en-US" w:eastAsia="zh-CN"/>
        </w:rPr>
      </w:pPr>
    </w:p>
    <w:p>
      <w:pPr>
        <w:spacing w:line="540" w:lineRule="exact"/>
        <w:jc w:val="center"/>
        <w:rPr>
          <w:rFonts w:hint="eastAsia" w:ascii="方正小标宋简体" w:hAnsi="方正小标宋简体" w:eastAsia="方正小标宋简体" w:cs="方正小标宋简体"/>
          <w:bCs/>
          <w:color w:val="auto"/>
          <w:sz w:val="30"/>
          <w:szCs w:val="30"/>
        </w:rPr>
      </w:pPr>
      <w:r>
        <w:rPr>
          <w:rFonts w:hint="eastAsia" w:ascii="方正小标宋简体" w:hAnsi="方正小标宋简体" w:eastAsia="方正小标宋简体" w:cs="方正小标宋简体"/>
          <w:bCs/>
          <w:color w:val="auto"/>
          <w:sz w:val="30"/>
          <w:szCs w:val="30"/>
        </w:rPr>
        <w:t>市级转移支付密云区</w:t>
      </w:r>
      <w:r>
        <w:rPr>
          <w:rFonts w:hint="eastAsia" w:ascii="方正小标宋简体" w:hAnsi="方正小标宋简体" w:eastAsia="方正小标宋简体" w:cs="方正小标宋简体"/>
          <w:color w:val="auto"/>
          <w:kern w:val="0"/>
          <w:sz w:val="30"/>
          <w:szCs w:val="30"/>
          <w:lang w:bidi="ar"/>
        </w:rPr>
        <w:t>农民专业合作社规范提升项目</w:t>
      </w:r>
      <w:r>
        <w:rPr>
          <w:rFonts w:hint="eastAsia" w:ascii="方正小标宋简体" w:hAnsi="方正小标宋简体" w:eastAsia="方正小标宋简体" w:cs="方正小标宋简体"/>
          <w:bCs/>
          <w:color w:val="auto"/>
          <w:sz w:val="30"/>
          <w:szCs w:val="30"/>
        </w:rPr>
        <w:t>2023年度</w:t>
      </w:r>
    </w:p>
    <w:p>
      <w:pPr>
        <w:spacing w:line="540" w:lineRule="exact"/>
        <w:jc w:val="left"/>
        <w:rPr>
          <w:rFonts w:ascii="仿宋_GB2312" w:hAnsi="Times New Roman" w:eastAsia="仿宋_GB2312"/>
          <w:bCs/>
          <w:color w:val="auto"/>
          <w:sz w:val="30"/>
          <w:szCs w:val="32"/>
        </w:rPr>
      </w:pPr>
    </w:p>
    <w:p>
      <w:pPr>
        <w:spacing w:line="540" w:lineRule="exact"/>
        <w:ind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rPr>
        <w:t>一、绩效目标分解下达情况</w:t>
      </w:r>
    </w:p>
    <w:p>
      <w:pPr>
        <w:spacing w:line="540" w:lineRule="exact"/>
        <w:ind w:firstLine="640" w:firstLineChars="200"/>
        <w:outlineLvl w:val="0"/>
        <w:rPr>
          <w:rFonts w:ascii="仿宋_GB2312" w:hAnsi="宋体" w:eastAsia="仿宋_GB2312"/>
          <w:color w:val="auto"/>
          <w:sz w:val="32"/>
          <w:szCs w:val="32"/>
        </w:rPr>
      </w:pPr>
      <w:r>
        <w:rPr>
          <w:rFonts w:hint="eastAsia" w:ascii="仿宋_GB2312" w:eastAsia="仿宋_GB2312"/>
          <w:color w:val="auto"/>
          <w:sz w:val="32"/>
          <w:szCs w:val="32"/>
        </w:rPr>
        <w:t>2023年市级下达密云区农业农村局农民专业合作社规范提升项目转移支付预算资金700万元，其中支持农民合作社质量提升整区推进试点资金200万元，支持农民合作社示范建设资金500万元。密云区按照市农业农村局下达任务资金安排。</w:t>
      </w:r>
    </w:p>
    <w:p>
      <w:pPr>
        <w:spacing w:line="540" w:lineRule="exact"/>
        <w:ind w:firstLine="640" w:firstLineChars="200"/>
        <w:outlineLvl w:val="0"/>
        <w:rPr>
          <w:rFonts w:ascii="黑体" w:hAnsi="黑体" w:eastAsia="黑体" w:cs="仿宋_GB2312"/>
          <w:color w:val="auto"/>
          <w:sz w:val="32"/>
          <w:szCs w:val="32"/>
        </w:rPr>
      </w:pPr>
      <w:r>
        <w:rPr>
          <w:rFonts w:hint="eastAsia" w:ascii="黑体" w:hAnsi="黑体" w:eastAsia="黑体" w:cs="仿宋_GB2312"/>
          <w:color w:val="auto"/>
          <w:sz w:val="32"/>
          <w:szCs w:val="32"/>
        </w:rPr>
        <w:t>三、绩效目标完成情况分析</w:t>
      </w:r>
    </w:p>
    <w:p>
      <w:pPr>
        <w:spacing w:line="540" w:lineRule="exact"/>
        <w:ind w:firstLine="640" w:firstLineChars="200"/>
        <w:outlineLvl w:val="0"/>
        <w:rPr>
          <w:rFonts w:ascii="仿宋_GB2312" w:hAnsi="宋体" w:eastAsia="仿宋_GB2312"/>
          <w:color w:val="auto"/>
          <w:sz w:val="32"/>
          <w:szCs w:val="32"/>
        </w:rPr>
      </w:pPr>
      <w:r>
        <w:rPr>
          <w:rFonts w:hint="eastAsia" w:ascii="楷体_GB2312" w:hAnsi="楷体" w:eastAsia="楷体_GB2312" w:cs="仿宋_GB2312"/>
          <w:color w:val="auto"/>
          <w:sz w:val="32"/>
          <w:szCs w:val="32"/>
        </w:rPr>
        <w:t>（一）资金投入情况分析</w:t>
      </w:r>
    </w:p>
    <w:p>
      <w:pPr>
        <w:widowControl/>
        <w:spacing w:line="540" w:lineRule="exact"/>
        <w:ind w:firstLine="640" w:firstLineChars="200"/>
        <w:jc w:val="left"/>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2023年市级财政转移支付支持</w:t>
      </w:r>
      <w:r>
        <w:rPr>
          <w:rFonts w:hint="eastAsia" w:ascii="仿宋_GB2312" w:eastAsia="仿宋_GB2312"/>
          <w:color w:val="auto"/>
          <w:sz w:val="32"/>
          <w:szCs w:val="32"/>
        </w:rPr>
        <w:t>农民专业合作社规范提升项目转移支付预算资金700万元，</w:t>
      </w:r>
      <w:r>
        <w:rPr>
          <w:rFonts w:hint="eastAsia" w:ascii="仿宋_GB2312" w:hAnsi="仿宋_GB2312" w:eastAsia="仿宋_GB2312" w:cs="仿宋_GB2312"/>
          <w:color w:val="auto"/>
          <w:sz w:val="32"/>
          <w:szCs w:val="32"/>
        </w:rPr>
        <w:t>按照2024年4月3日北京市农业</w:t>
      </w:r>
      <w:r>
        <w:rPr>
          <w:rFonts w:hint="eastAsia" w:ascii="仿宋_GB2312" w:eastAsia="仿宋_GB2312"/>
          <w:color w:val="auto"/>
          <w:sz w:val="32"/>
          <w:szCs w:val="32"/>
        </w:rPr>
        <w:t>农村局《2023年市级财政转移支付资金支持农民合作社规范提升项目实施方案》文件精神，落实项目资金。联合联盟试点投入资金200万元，示范社建设项目总投资625.43万元，其中财政扶持资金500万元；自筹资金125.43万元。</w:t>
      </w:r>
    </w:p>
    <w:p>
      <w:pPr>
        <w:spacing w:line="540" w:lineRule="exact"/>
        <w:ind w:firstLine="640" w:firstLineChars="200"/>
        <w:outlineLvl w:val="0"/>
        <w:rPr>
          <w:rFonts w:hint="eastAsia" w:ascii="楷体_GB2312" w:hAnsi="楷体" w:eastAsia="楷体_GB2312" w:cs="仿宋_GB2312"/>
          <w:color w:val="auto"/>
          <w:sz w:val="32"/>
          <w:szCs w:val="32"/>
        </w:rPr>
      </w:pPr>
      <w:r>
        <w:rPr>
          <w:rFonts w:hint="eastAsia" w:ascii="楷体_GB2312" w:hAnsi="楷体" w:eastAsia="楷体_GB2312" w:cs="仿宋_GB2312"/>
          <w:color w:val="auto"/>
          <w:sz w:val="32"/>
          <w:szCs w:val="32"/>
        </w:rPr>
        <w:t>（二）资金管理情况分析</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1.示范社建设。</w:t>
      </w:r>
      <w:r>
        <w:rPr>
          <w:rFonts w:hint="eastAsia" w:ascii="仿宋_GB2312" w:hAnsi="仿宋_GB2312" w:eastAsia="仿宋_GB2312" w:cs="仿宋_GB2312"/>
          <w:color w:val="auto"/>
          <w:sz w:val="32"/>
          <w:szCs w:val="32"/>
        </w:rPr>
        <w:t>根据市农业农村局、市财政局《关于做好2023年北京市农业农村改革发展资金项目实施工作的通知》（京政农发〔2023〕21号）文件精神，围绕密云区特色产业发展规划，支持北京密云蜂产业合作社联合社项目建设、支持西红柿特色产业、支持“密云八珍”蜂产业、支持现代龙头种业、支持物流运输车辆项目建设。采取以奖代补方式支持市级以上示范社，重点支持农产品初加工、仓储物流设施建设、市场营销、品牌建设、改善生产条件、标准化生产、产业融合七个方面建设，项目自筹资金比例不低于20%。</w:t>
      </w:r>
    </w:p>
    <w:p>
      <w:pPr>
        <w:pStyle w:val="8"/>
        <w:spacing w:line="560" w:lineRule="exact"/>
        <w:ind w:left="0" w:leftChars="0"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2.联合联盟试点。</w:t>
      </w:r>
      <w:r>
        <w:rPr>
          <w:rFonts w:hint="eastAsia" w:ascii="仿宋_GB2312" w:hAnsi="仿宋_GB2312" w:eastAsia="仿宋_GB2312" w:cs="仿宋_GB2312"/>
          <w:color w:val="auto"/>
          <w:sz w:val="32"/>
          <w:szCs w:val="32"/>
        </w:rPr>
        <w:t>按照市农业农村局《2023年市级财政转移支付资金支持农民合作社规范提升项目实施方案》和《北京市密云区推进蜂产业发展三年行动计划（2022-2024）》文件要求，为促进全区蜂产业高质量发展，树牢“密云特色农业”、“密云蜂业”品牌，组建北京密云蜂产业合作社联合社。项目需经联合社理事会通过，明确项目实施内容、资金总体安排，报区政府审议。区政府审议通过后，由联社按项目制组织实施。具体项目需经专家论证、资金评审程序后落实，涉及采购项目必须履行政府采购程序。项目完成进行联合验收，并由联合社上报项目会议纪要、资金拨付凭证、验收资料等。</w:t>
      </w:r>
    </w:p>
    <w:p>
      <w:pPr>
        <w:widowControl/>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eastAsia="仿宋_GB2312"/>
          <w:color w:val="auto"/>
          <w:sz w:val="32"/>
          <w:szCs w:val="32"/>
        </w:rPr>
        <w:t>根据财务管理制度，严</w:t>
      </w:r>
      <w:r>
        <w:rPr>
          <w:rFonts w:hint="eastAsia" w:ascii="仿宋_GB2312" w:hAnsi="仿宋_GB2312" w:eastAsia="仿宋_GB2312" w:cs="仿宋_GB2312"/>
          <w:color w:val="auto"/>
          <w:sz w:val="32"/>
          <w:szCs w:val="32"/>
        </w:rPr>
        <w:t>格执行专款专用，无挤占挪用情况。在执行过程中，做到正确使用资金，及时准确反馈财务信息</w:t>
      </w:r>
      <w:r>
        <w:rPr>
          <w:rFonts w:hint="eastAsia" w:ascii="仿宋_GB2312" w:hAnsi="宋体" w:eastAsia="仿宋_GB2312"/>
          <w:color w:val="auto"/>
          <w:sz w:val="32"/>
          <w:szCs w:val="32"/>
        </w:rPr>
        <w:t>。</w:t>
      </w:r>
      <w:r>
        <w:rPr>
          <w:rFonts w:hint="eastAsia" w:ascii="仿宋_GB2312" w:eastAsia="仿宋_GB2312"/>
          <w:color w:val="auto"/>
          <w:sz w:val="32"/>
          <w:szCs w:val="32"/>
          <w:highlight w:val="yellow"/>
        </w:rPr>
        <w:t>项目共支出700万元，预算执行率为100%</w:t>
      </w:r>
      <w:r>
        <w:rPr>
          <w:rFonts w:hint="eastAsia" w:ascii="仿宋_GB2312" w:hAnsi="仿宋_GB2312" w:eastAsia="仿宋_GB2312" w:cs="仿宋_GB2312"/>
          <w:color w:val="auto"/>
          <w:sz w:val="32"/>
          <w:szCs w:val="32"/>
          <w:highlight w:val="yellow"/>
        </w:rPr>
        <w:t>。</w:t>
      </w:r>
    </w:p>
    <w:p>
      <w:pPr>
        <w:spacing w:line="540" w:lineRule="exact"/>
        <w:ind w:firstLine="640" w:firstLineChars="200"/>
        <w:outlineLvl w:val="0"/>
        <w:rPr>
          <w:rFonts w:ascii="仿宋_GB2312" w:hAnsi="宋体" w:eastAsia="仿宋_GB2312"/>
          <w:color w:val="auto"/>
          <w:sz w:val="32"/>
          <w:szCs w:val="32"/>
        </w:rPr>
      </w:pPr>
      <w:r>
        <w:rPr>
          <w:rFonts w:hint="eastAsia" w:ascii="楷体_GB2312" w:hAnsi="楷体" w:eastAsia="楷体_GB2312" w:cs="仿宋_GB2312"/>
          <w:color w:val="auto"/>
          <w:sz w:val="32"/>
          <w:szCs w:val="32"/>
        </w:rPr>
        <w:t>（三）总体绩效目标完成情况分析</w:t>
      </w:r>
    </w:p>
    <w:p>
      <w:pPr>
        <w:spacing w:line="540" w:lineRule="exact"/>
        <w:ind w:firstLine="640" w:firstLineChars="200"/>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1.对照总体目标分析全年实际完成情况</w:t>
      </w:r>
    </w:p>
    <w:p>
      <w:pPr>
        <w:spacing w:line="540" w:lineRule="exact"/>
        <w:ind w:firstLine="640" w:firstLineChars="200"/>
        <w:outlineLvl w:val="0"/>
        <w:rPr>
          <w:rFonts w:ascii="仿宋_GB2312" w:hAnsi="宋体" w:eastAsia="仿宋_GB2312"/>
          <w:color w:val="auto"/>
          <w:sz w:val="32"/>
          <w:szCs w:val="32"/>
        </w:rPr>
      </w:pPr>
      <w:r>
        <w:rPr>
          <w:rFonts w:hint="eastAsia" w:ascii="仿宋_GB2312" w:hAnsi="Times New Roman" w:eastAsia="仿宋_GB2312"/>
          <w:color w:val="auto"/>
          <w:kern w:val="0"/>
          <w:sz w:val="32"/>
          <w:szCs w:val="32"/>
          <w:lang w:bidi="en-US"/>
        </w:rPr>
        <w:t>根据市级文件要求，2023年</w:t>
      </w:r>
      <w:r>
        <w:rPr>
          <w:rFonts w:hint="eastAsia" w:ascii="仿宋_GB2312" w:eastAsia="仿宋_GB2312"/>
          <w:color w:val="auto"/>
          <w:sz w:val="32"/>
          <w:szCs w:val="32"/>
        </w:rPr>
        <w:t>农民专业合作社规范提升</w:t>
      </w:r>
      <w:r>
        <w:rPr>
          <w:rFonts w:hint="eastAsia" w:ascii="仿宋_GB2312" w:hAnsi="Times New Roman" w:eastAsia="仿宋_GB2312"/>
          <w:color w:val="auto"/>
          <w:kern w:val="0"/>
          <w:sz w:val="32"/>
          <w:szCs w:val="32"/>
          <w:lang w:bidi="en-US"/>
        </w:rPr>
        <w:t>项目，开展市级及以上示范社、联合社建设共计12家，全部按照签订合同中的建设项目进行实施。</w:t>
      </w:r>
    </w:p>
    <w:p>
      <w:pPr>
        <w:snapToGrid w:val="0"/>
        <w:spacing w:line="540" w:lineRule="exact"/>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2.区级部门</w:t>
      </w:r>
      <w:r>
        <w:rPr>
          <w:rFonts w:ascii="仿宋_GB2312" w:hAnsi="宋体" w:eastAsia="仿宋_GB2312"/>
          <w:color w:val="auto"/>
          <w:sz w:val="32"/>
          <w:szCs w:val="32"/>
        </w:rPr>
        <w:t>对项目开展</w:t>
      </w:r>
      <w:r>
        <w:rPr>
          <w:rFonts w:hint="eastAsia" w:ascii="仿宋_GB2312" w:hAnsi="宋体" w:eastAsia="仿宋_GB2312"/>
          <w:color w:val="auto"/>
          <w:sz w:val="32"/>
          <w:szCs w:val="32"/>
        </w:rPr>
        <w:t>全过程预算绩效</w:t>
      </w:r>
      <w:r>
        <w:rPr>
          <w:rFonts w:ascii="仿宋_GB2312" w:hAnsi="宋体" w:eastAsia="仿宋_GB2312"/>
          <w:color w:val="auto"/>
          <w:sz w:val="32"/>
          <w:szCs w:val="32"/>
        </w:rPr>
        <w:t>管理情况</w:t>
      </w:r>
    </w:p>
    <w:p>
      <w:pPr>
        <w:snapToGrid w:val="0"/>
        <w:spacing w:line="540" w:lineRule="exact"/>
        <w:ind w:firstLine="640" w:firstLineChars="200"/>
        <w:jc w:val="left"/>
        <w:rPr>
          <w:rFonts w:ascii="仿宋_GB2312" w:hAnsi="宋体" w:eastAsia="仿宋_GB2312"/>
          <w:color w:val="auto"/>
          <w:sz w:val="32"/>
          <w:szCs w:val="32"/>
          <w:highlight w:val="yellow"/>
        </w:rPr>
      </w:pPr>
      <w:r>
        <w:rPr>
          <w:rFonts w:hint="eastAsia" w:ascii="仿宋_GB2312" w:hAnsi="仿宋_GB2312" w:eastAsia="仿宋_GB2312" w:cs="仿宋_GB2312"/>
          <w:color w:val="auto"/>
          <w:sz w:val="32"/>
          <w:szCs w:val="32"/>
        </w:rPr>
        <w:t>按照上级下达文件要求，制订《密云</w:t>
      </w:r>
      <w:r>
        <w:rPr>
          <w:rFonts w:hint="eastAsia" w:ascii="仿宋_GB2312" w:eastAsia="仿宋_GB2312"/>
          <w:color w:val="auto"/>
          <w:sz w:val="32"/>
          <w:szCs w:val="32"/>
        </w:rPr>
        <w:t>区2023年市级财政转移支付资金支持农民合作社规范提升项目实施方案》，</w:t>
      </w:r>
      <w:r>
        <w:rPr>
          <w:rFonts w:hint="eastAsia" w:ascii="仿宋_GB2312" w:hAnsi="仿宋_GB2312" w:eastAsia="仿宋_GB2312" w:cs="仿宋_GB2312"/>
          <w:color w:val="auto"/>
          <w:sz w:val="32"/>
          <w:szCs w:val="32"/>
        </w:rPr>
        <w:t>各镇政府组织</w:t>
      </w:r>
      <w:r>
        <w:rPr>
          <w:rFonts w:hint="eastAsia" w:ascii="仿宋_GB2312" w:eastAsia="仿宋_GB2312"/>
          <w:color w:val="auto"/>
          <w:sz w:val="32"/>
          <w:szCs w:val="32"/>
        </w:rPr>
        <w:t>市级及以上示范社进行项目申报，经密云区区委农工委会议审议报区政府后，确定支持方向和项目主体，</w:t>
      </w:r>
      <w:r>
        <w:rPr>
          <w:rFonts w:hint="eastAsia" w:ascii="仿宋_GB2312" w:hAnsi="Times New Roman" w:eastAsia="仿宋_GB2312"/>
          <w:color w:val="auto"/>
          <w:kern w:val="0"/>
          <w:sz w:val="32"/>
          <w:szCs w:val="32"/>
          <w:lang w:bidi="en-US"/>
        </w:rPr>
        <w:t>第三方设计公司对项目进行了实地考察和设计，形成了项目可行性研究报告，专家组对申报的项目进项论证并且通过，项目资金评审后，以实际项目资金评审为准与项目示范社签订项目合同书，由各项目主体进行项目实施。</w:t>
      </w:r>
    </w:p>
    <w:p>
      <w:pPr>
        <w:spacing w:line="540" w:lineRule="exact"/>
        <w:ind w:firstLine="640" w:firstLineChars="200"/>
        <w:outlineLvl w:val="0"/>
        <w:rPr>
          <w:rFonts w:ascii="仿宋_GB2312" w:hAnsi="宋体" w:eastAsia="仿宋_GB2312"/>
          <w:color w:val="auto"/>
          <w:sz w:val="32"/>
          <w:szCs w:val="32"/>
        </w:rPr>
      </w:pPr>
      <w:r>
        <w:rPr>
          <w:rFonts w:hint="eastAsia" w:ascii="楷体_GB2312" w:hAnsi="楷体" w:eastAsia="楷体_GB2312" w:cs="仿宋_GB2312"/>
          <w:color w:val="auto"/>
          <w:sz w:val="32"/>
          <w:szCs w:val="32"/>
        </w:rPr>
        <w:t>（四）绩效指标完成情况分析</w:t>
      </w:r>
    </w:p>
    <w:p>
      <w:pPr>
        <w:pStyle w:val="27"/>
        <w:tabs>
          <w:tab w:val="left" w:pos="1795"/>
        </w:tabs>
        <w:spacing w:before="0" w:after="0" w:line="540" w:lineRule="exact"/>
        <w:ind w:firstLine="640" w:firstLineChars="200"/>
        <w:jc w:val="left"/>
        <w:rPr>
          <w:rFonts w:ascii="仿宋_GB2312" w:hAnsi="仿宋_GB2312" w:eastAsia="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产出指标完成情况分析</w:t>
      </w:r>
    </w:p>
    <w:p>
      <w:pPr>
        <w:pStyle w:val="27"/>
        <w:tabs>
          <w:tab w:val="left" w:pos="1795"/>
        </w:tabs>
        <w:spacing w:before="0" w:after="0" w:line="540" w:lineRule="exact"/>
        <w:ind w:firstLine="640" w:firstLineChars="200"/>
        <w:jc w:val="left"/>
        <w:rPr>
          <w:rFonts w:ascii="仿宋_GB2312" w:hAnsi="仿宋_GB2312" w:eastAsia="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）数量指标：联合联盟试点1个，市级及以上示范社数量11个；</w:t>
      </w:r>
    </w:p>
    <w:p>
      <w:pPr>
        <w:pStyle w:val="27"/>
        <w:tabs>
          <w:tab w:val="left" w:pos="1795"/>
        </w:tabs>
        <w:spacing w:before="0" w:after="0" w:line="540" w:lineRule="exact"/>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）质量指标：项目扶持对象符合要求率100%；</w:t>
      </w:r>
    </w:p>
    <w:p>
      <w:pPr>
        <w:pStyle w:val="27"/>
        <w:tabs>
          <w:tab w:val="left" w:pos="1795"/>
        </w:tabs>
        <w:spacing w:before="0" w:after="0"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（3）成本指标：项目资金支持标准符合市级规定标准要求，项目自筹资金比例不低于20%。</w:t>
      </w:r>
    </w:p>
    <w:p>
      <w:pPr>
        <w:pStyle w:val="27"/>
        <w:tabs>
          <w:tab w:val="left" w:pos="1795"/>
        </w:tabs>
        <w:spacing w:before="0" w:after="0" w:line="540" w:lineRule="exact"/>
        <w:ind w:firstLine="640" w:firstLineChars="200"/>
        <w:jc w:val="left"/>
        <w:rPr>
          <w:rFonts w:ascii="仿宋_GB2312" w:hAnsi="仿宋_GB2312" w:eastAsia="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效益指标完成情况分析</w:t>
      </w:r>
    </w:p>
    <w:p>
      <w:pPr>
        <w:pStyle w:val="27"/>
        <w:tabs>
          <w:tab w:val="left" w:pos="1795"/>
        </w:tabs>
        <w:spacing w:before="0" w:after="0" w:line="540" w:lineRule="exact"/>
        <w:ind w:firstLine="640" w:firstLineChars="200"/>
        <w:jc w:val="left"/>
        <w:rPr>
          <w:rFonts w:hint="eastAsia"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）社会效益：示范社通过项目建设生产效率和经营能力明显提高</w:t>
      </w:r>
      <w:r>
        <w:rPr>
          <w:rFonts w:hint="eastAsia" w:ascii="仿宋_GB2312" w:hAnsi="黑体" w:eastAsia="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val="0"/>
          <w:color w:val="auto"/>
          <w:sz w:val="32"/>
          <w:szCs w:val="32"/>
        </w:rPr>
      </w:pPr>
      <w:r>
        <w:rPr>
          <w:rFonts w:hint="eastAsia" w:ascii="方正小标宋_GBK" w:hAnsi="方正小标宋_GBK" w:eastAsia="方正小标宋_GBK" w:cs="方正小标宋_GBK"/>
          <w:b w:val="0"/>
          <w:bCs w:val="0"/>
          <w:color w:val="auto"/>
          <w:sz w:val="32"/>
          <w:szCs w:val="32"/>
          <w:lang w:val="en-US" w:eastAsia="zh-CN"/>
        </w:rPr>
        <w:t>中央财政转移支付支持20</w:t>
      </w:r>
      <w:r>
        <w:rPr>
          <w:rFonts w:hint="default" w:ascii="方正小标宋_GBK" w:hAnsi="方正小标宋_GBK" w:eastAsia="方正小标宋_GBK" w:cs="方正小标宋_GBK"/>
          <w:b w:val="0"/>
          <w:bCs w:val="0"/>
          <w:color w:val="auto"/>
          <w:sz w:val="32"/>
          <w:szCs w:val="32"/>
          <w:lang w:val="en" w:eastAsia="zh-CN"/>
        </w:rPr>
        <w:t>23</w:t>
      </w:r>
      <w:r>
        <w:rPr>
          <w:rFonts w:hint="eastAsia" w:ascii="方正小标宋_GBK" w:hAnsi="方正小标宋_GBK" w:eastAsia="方正小标宋_GBK" w:cs="方正小标宋_GBK"/>
          <w:b w:val="0"/>
          <w:bCs w:val="0"/>
          <w:color w:val="auto"/>
          <w:sz w:val="32"/>
          <w:szCs w:val="32"/>
        </w:rPr>
        <w:t>高素质农民培育</w:t>
      </w:r>
    </w:p>
    <w:p>
      <w:pPr>
        <w:pStyle w:val="27"/>
        <w:keepNext w:val="0"/>
        <w:keepLines w:val="0"/>
        <w:pageBreakBefore w:val="0"/>
        <w:tabs>
          <w:tab w:val="left" w:pos="1456"/>
        </w:tabs>
        <w:kinsoku/>
        <w:wordWrap/>
        <w:overflowPunct/>
        <w:topLinePunct w:val="0"/>
        <w:autoSpaceDE/>
        <w:autoSpaceDN/>
        <w:bidi w:val="0"/>
        <w:spacing w:before="0" w:after="0" w:line="560" w:lineRule="exact"/>
        <w:ind w:firstLine="640" w:firstLineChars="200"/>
        <w:jc w:val="left"/>
        <w:textAlignment w:val="auto"/>
        <w:rPr>
          <w:rFonts w:ascii="黑体" w:hAnsi="黑体" w:eastAsia="黑体"/>
          <w:color w:val="auto"/>
          <w:sz w:val="32"/>
          <w:szCs w:val="32"/>
        </w:rPr>
      </w:pPr>
      <w:bookmarkStart w:id="3" w:name="bookmark33"/>
      <w:bookmarkStart w:id="4" w:name="_Toc38635952"/>
      <w:bookmarkStart w:id="5" w:name="_Toc38811201"/>
      <w:r>
        <w:rPr>
          <w:rFonts w:hint="eastAsia" w:ascii="黑体" w:hAnsi="黑体" w:eastAsia="黑体" w:cs="黑体"/>
          <w:b/>
          <w:bCs/>
          <w:color w:val="auto"/>
          <w:sz w:val="32"/>
          <w:szCs w:val="32"/>
        </w:rPr>
        <w:t>一</w:t>
      </w:r>
      <w:bookmarkEnd w:id="3"/>
      <w:r>
        <w:rPr>
          <w:rFonts w:hint="eastAsia" w:ascii="黑体" w:hAnsi="黑体" w:eastAsia="黑体" w:cs="黑体"/>
          <w:b/>
          <w:bCs/>
          <w:color w:val="auto"/>
          <w:sz w:val="32"/>
          <w:szCs w:val="32"/>
        </w:rPr>
        <w:t>、绩效目标分解下达情况</w:t>
      </w:r>
    </w:p>
    <w:p>
      <w:pPr>
        <w:pStyle w:val="29"/>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bookmarkStart w:id="6" w:name="bookmark34"/>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lang w:val="en-US" w:eastAsia="zh-CN"/>
        </w:rPr>
        <w:t>年中央财政转移支付支持密云区高素质农民培训资金共计13万元，分两期对家庭农场主、农民合作社带头人、种养殖户和返乡下乡创业者、全科农技员等重点对象，已集中培训学习、现场指导、外出参观方式进行培训。</w:t>
      </w:r>
    </w:p>
    <w:p>
      <w:pPr>
        <w:pStyle w:val="29"/>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项目资金总额：</w:t>
      </w:r>
      <w:r>
        <w:rPr>
          <w:rFonts w:hint="eastAsia" w:ascii="仿宋_GB2312" w:eastAsia="仿宋_GB2312"/>
          <w:color w:val="auto"/>
          <w:sz w:val="32"/>
          <w:szCs w:val="32"/>
          <w:lang w:val="en-US" w:eastAsia="zh-CN"/>
        </w:rPr>
        <w:t>13万元，其中：中央专项转移支付资金13万元。</w:t>
      </w:r>
    </w:p>
    <w:p>
      <w:pPr>
        <w:keepNext w:val="0"/>
        <w:keepLines w:val="0"/>
        <w:widowControl/>
        <w:suppressLineNumbers w:val="0"/>
        <w:jc w:val="left"/>
        <w:rPr>
          <w:rFonts w:hint="eastAsia" w:ascii="仿宋" w:hAnsi="仿宋" w:eastAsia="仿宋" w:cs="仿宋"/>
          <w:color w:val="auto"/>
        </w:rPr>
      </w:pPr>
      <w:r>
        <w:rPr>
          <w:rFonts w:hint="eastAsia" w:ascii="仿宋_GB2312" w:hAnsi="仿宋_GB2312" w:eastAsia="仿宋_GB2312" w:cs="仿宋_GB2312"/>
          <w:color w:val="auto"/>
          <w:sz w:val="32"/>
          <w:szCs w:val="32"/>
          <w:shd w:val="clear" w:color="auto" w:fill="FFFFFF"/>
          <w:lang w:val="en-US" w:eastAsia="zh-CN"/>
        </w:rPr>
        <w:t>绩效目标：</w:t>
      </w:r>
      <w:r>
        <w:rPr>
          <w:rFonts w:hint="eastAsia" w:ascii="仿宋_GB2312" w:hAnsi="仿宋_GB2312" w:eastAsia="仿宋_GB2312" w:cs="仿宋_GB2312"/>
          <w:color w:val="auto"/>
          <w:sz w:val="32"/>
          <w:szCs w:val="32"/>
          <w:lang w:val="en-US" w:eastAsia="zh-CN"/>
        </w:rPr>
        <w:t>通过项目建设，</w:t>
      </w:r>
      <w:bookmarkEnd w:id="6"/>
      <w:r>
        <w:rPr>
          <w:rFonts w:hint="eastAsia" w:ascii="仿宋" w:hAnsi="仿宋" w:eastAsia="仿宋" w:cs="仿宋"/>
          <w:color w:val="auto"/>
          <w:sz w:val="32"/>
          <w:szCs w:val="32"/>
          <w:shd w:val="clear" w:color="auto" w:fill="FFFFFF"/>
          <w:lang w:eastAsia="zh-CN"/>
        </w:rPr>
        <w:t>巩固培训学员种植技术，拓宽</w:t>
      </w:r>
      <w:r>
        <w:rPr>
          <w:rFonts w:hint="eastAsia" w:ascii="仿宋" w:hAnsi="仿宋" w:eastAsia="仿宋" w:cs="仿宋"/>
          <w:color w:val="auto"/>
          <w:sz w:val="32"/>
          <w:szCs w:val="32"/>
          <w:shd w:val="clear" w:color="auto" w:fill="FFFFFF"/>
        </w:rPr>
        <w:t>眼界思路，提升自身发展和服务带动能力</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i w:val="0"/>
          <w:caps w:val="0"/>
          <w:color w:val="auto"/>
          <w:spacing w:val="0"/>
          <w:kern w:val="0"/>
          <w:sz w:val="32"/>
          <w:szCs w:val="32"/>
          <w:lang w:val="en-US" w:eastAsia="zh-CN" w:bidi="ar"/>
        </w:rPr>
        <w:t>努力成为推进乡村振兴战略的重要角色，助力推进全区农业高质量发展。</w:t>
      </w:r>
    </w:p>
    <w:bookmarkEnd w:id="4"/>
    <w:bookmarkEnd w:id="5"/>
    <w:p>
      <w:pPr>
        <w:pStyle w:val="27"/>
        <w:keepNext w:val="0"/>
        <w:keepLines w:val="0"/>
        <w:pageBreakBefore w:val="0"/>
        <w:tabs>
          <w:tab w:val="left" w:pos="1456"/>
        </w:tabs>
        <w:kinsoku/>
        <w:wordWrap/>
        <w:overflowPunct/>
        <w:topLinePunct w:val="0"/>
        <w:autoSpaceDE/>
        <w:autoSpaceDN/>
        <w:bidi w:val="0"/>
        <w:spacing w:before="0" w:after="0" w:line="560" w:lineRule="exact"/>
        <w:ind w:firstLine="640" w:firstLineChars="200"/>
        <w:jc w:val="left"/>
        <w:textAlignment w:val="auto"/>
        <w:rPr>
          <w:rFonts w:ascii="黑体" w:hAnsi="黑体" w:eastAsia="黑体"/>
          <w:b/>
          <w:bCs/>
          <w:color w:val="auto"/>
          <w:sz w:val="32"/>
          <w:szCs w:val="32"/>
        </w:rPr>
      </w:pPr>
      <w:bookmarkStart w:id="7" w:name="bookmark36"/>
      <w:r>
        <w:rPr>
          <w:rFonts w:hint="eastAsia" w:ascii="黑体" w:hAnsi="黑体" w:eastAsia="黑体" w:cs="黑体"/>
          <w:b/>
          <w:bCs/>
          <w:color w:val="auto"/>
          <w:sz w:val="32"/>
          <w:szCs w:val="32"/>
        </w:rPr>
        <w:t>二</w:t>
      </w:r>
      <w:bookmarkEnd w:id="7"/>
      <w:r>
        <w:rPr>
          <w:rFonts w:hint="eastAsia" w:ascii="黑体" w:hAnsi="黑体" w:eastAsia="黑体" w:cs="黑体"/>
          <w:b/>
          <w:bCs/>
          <w:color w:val="auto"/>
          <w:sz w:val="32"/>
          <w:szCs w:val="32"/>
        </w:rPr>
        <w:t>、绩效目标完成情况分析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仿宋_GB2312" w:eastAsia="仿宋_GB2312"/>
          <w:color w:val="auto"/>
          <w:sz w:val="32"/>
          <w:szCs w:val="32"/>
        </w:rPr>
      </w:pPr>
      <w:r>
        <w:rPr>
          <w:rFonts w:hint="eastAsia" w:ascii="楷体" w:hAnsi="楷体" w:eastAsia="楷体" w:cs="楷体"/>
          <w:color w:val="auto"/>
          <w:sz w:val="32"/>
          <w:szCs w:val="32"/>
        </w:rPr>
        <w:t>（一）资金投入情况分析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项目资金投入情况分析</w:t>
      </w:r>
    </w:p>
    <w:p>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left"/>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202</w:t>
      </w:r>
      <w:r>
        <w:rPr>
          <w:rFonts w:hint="default" w:ascii="仿宋_GB2312" w:hAnsi="仿宋_GB2312" w:eastAsia="仿宋_GB2312" w:cs="仿宋_GB2312"/>
          <w:color w:val="auto"/>
          <w:kern w:val="2"/>
          <w:sz w:val="32"/>
          <w:szCs w:val="32"/>
          <w:lang w:val="en" w:eastAsia="zh-CN" w:bidi="ar-SA"/>
        </w:rPr>
        <w:t>3</w:t>
      </w:r>
      <w:r>
        <w:rPr>
          <w:rFonts w:hint="eastAsia" w:ascii="仿宋_GB2312" w:hAnsi="仿宋_GB2312" w:eastAsia="仿宋_GB2312" w:cs="仿宋_GB2312"/>
          <w:color w:val="auto"/>
          <w:kern w:val="2"/>
          <w:sz w:val="32"/>
          <w:szCs w:val="32"/>
          <w:lang w:val="en-US" w:eastAsia="zh-CN" w:bidi="ar-SA"/>
        </w:rPr>
        <w:t>年中央财政转移支付支持密云区家高素质农民培训资金共计13万元，按照</w:t>
      </w:r>
      <w:r>
        <w:rPr>
          <w:rFonts w:hint="eastAsia" w:ascii="仿宋" w:hAnsi="仿宋" w:eastAsia="仿宋" w:cs="仿宋"/>
          <w:color w:val="auto"/>
          <w:sz w:val="32"/>
          <w:szCs w:val="32"/>
          <w:shd w:val="clear" w:color="auto" w:fill="FFFFFF"/>
        </w:rPr>
        <w:t>《中共北京市委北京市人民政府关于做好2023年全面推进乡村振兴重点工作的实施方案》、《农业农村部办公厅关于做好2023年高素质农民培育工作的通知》等文件精神</w:t>
      </w:r>
      <w:r>
        <w:rPr>
          <w:rFonts w:hint="eastAsia" w:ascii="仿宋_GB2312" w:hAnsi="仿宋_GB2312" w:eastAsia="仿宋_GB2312" w:cs="仿宋_GB2312"/>
          <w:color w:val="auto"/>
          <w:kern w:val="2"/>
          <w:sz w:val="32"/>
          <w:szCs w:val="32"/>
          <w:lang w:val="en-US" w:eastAsia="zh-CN" w:bidi="ar-SA"/>
        </w:rPr>
        <w:t>，落实项目资金。根据财务管理制度，严格执行专款专用，无挤占挪用情况。在执行过程中，做到正确使用资金，及时准确反馈财务信息。</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bookmarkStart w:id="8" w:name="bookmark37"/>
      <w:bookmarkEnd w:id="8"/>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项目资金执行情况分析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按照上级下达和本级预算安排的金额执行。</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楷体" w:hAnsi="楷体" w:eastAsia="楷体"/>
          <w:color w:val="auto"/>
          <w:sz w:val="32"/>
          <w:szCs w:val="32"/>
        </w:rPr>
      </w:pPr>
      <w:bookmarkStart w:id="9" w:name="bookmark38"/>
      <w:bookmarkEnd w:id="9"/>
      <w:r>
        <w:rPr>
          <w:rFonts w:hint="eastAsia" w:ascii="楷体" w:hAnsi="楷体" w:eastAsia="楷体" w:cs="楷体"/>
          <w:color w:val="auto"/>
          <w:sz w:val="32"/>
          <w:szCs w:val="32"/>
        </w:rPr>
        <w:t>（二）项目资金管理情况分析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资金分配情况</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现按照财政资金拨付流程将培训资金拨付给农服中心。</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资金使用情况</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 w:eastAsia="zh-CN" w:bidi="ar-SA"/>
        </w:rPr>
        <w:t>针对我区的农业领域人才对培训内容的需求，此资金拥有聘请专家、教授进行现场授课已经用于租用场地等费用，</w:t>
      </w:r>
      <w:r>
        <w:rPr>
          <w:rFonts w:hint="eastAsia" w:ascii="仿宋_GB2312" w:hAnsi="仿宋_GB2312" w:eastAsia="仿宋_GB2312" w:cs="仿宋_GB2312"/>
          <w:color w:val="auto"/>
          <w:kern w:val="2"/>
          <w:sz w:val="32"/>
          <w:szCs w:val="32"/>
          <w:lang w:val="en-US" w:eastAsia="zh-CN" w:bidi="ar-SA"/>
        </w:rPr>
        <w:t>相关标准和要求进行资金使用。</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楷体" w:hAnsi="楷体" w:eastAsia="楷体"/>
          <w:color w:val="auto"/>
          <w:sz w:val="32"/>
          <w:szCs w:val="32"/>
        </w:rPr>
      </w:pPr>
      <w:bookmarkStart w:id="10" w:name="bookmark39"/>
      <w:r>
        <w:rPr>
          <w:rFonts w:hint="eastAsia" w:ascii="楷体" w:hAnsi="楷体" w:eastAsia="楷体" w:cs="楷体"/>
          <w:color w:val="auto"/>
          <w:sz w:val="32"/>
          <w:szCs w:val="32"/>
        </w:rPr>
        <w:t>（</w:t>
      </w:r>
      <w:bookmarkEnd w:id="10"/>
      <w:r>
        <w:rPr>
          <w:rFonts w:hint="eastAsia" w:ascii="楷体" w:hAnsi="楷体" w:eastAsia="楷体" w:cs="楷体"/>
          <w:color w:val="auto"/>
          <w:sz w:val="32"/>
          <w:szCs w:val="32"/>
        </w:rPr>
        <w:t>三）总体绩效目标完成情况分析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default" w:ascii="仿宋_GB2312" w:hAnsi="仿宋_GB2312" w:eastAsia="仿宋_GB2312"/>
          <w:color w:val="auto"/>
          <w:sz w:val="32"/>
          <w:szCs w:val="32"/>
          <w:lang w:val="en-US"/>
        </w:rPr>
      </w:pPr>
      <w:r>
        <w:rPr>
          <w:rFonts w:hint="eastAsia" w:ascii="仿宋_GB2312" w:hAnsi="仿宋_GB2312" w:eastAsia="仿宋_GB2312" w:cs="仿宋_GB2312"/>
          <w:color w:val="auto"/>
          <w:sz w:val="32"/>
          <w:szCs w:val="32"/>
          <w:lang w:eastAsia="zh-CN"/>
        </w:rPr>
        <w:t>根据市农业农村局下达的培训任务，以完成高素质农民培训人数</w:t>
      </w:r>
      <w:r>
        <w:rPr>
          <w:rFonts w:hint="eastAsia" w:ascii="仿宋_GB2312" w:hAnsi="仿宋_GB2312" w:eastAsia="仿宋_GB2312" w:cs="仿宋_GB2312"/>
          <w:color w:val="auto"/>
          <w:sz w:val="32"/>
          <w:szCs w:val="32"/>
          <w:lang w:val="en-US" w:eastAsia="zh-CN"/>
        </w:rPr>
        <w:t>77人，通过培训不仅提高培训学员种植技术，还提升学员眼界思路，加快形成与产业需求相适应、与农村发展相协调的高素质农民队伍。</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仿宋_GB2312" w:eastAsia="仿宋_GB2312"/>
          <w:color w:val="auto"/>
          <w:sz w:val="32"/>
          <w:szCs w:val="32"/>
        </w:rPr>
      </w:pPr>
      <w:bookmarkStart w:id="11" w:name="bookmark40"/>
      <w:r>
        <w:rPr>
          <w:rFonts w:hint="eastAsia" w:ascii="楷体" w:hAnsi="楷体" w:eastAsia="楷体" w:cs="楷体"/>
          <w:color w:val="auto"/>
          <w:sz w:val="32"/>
          <w:szCs w:val="32"/>
        </w:rPr>
        <w:t>（</w:t>
      </w:r>
      <w:bookmarkEnd w:id="11"/>
      <w:r>
        <w:rPr>
          <w:rFonts w:hint="eastAsia" w:ascii="楷体" w:hAnsi="楷体" w:eastAsia="楷体" w:cs="楷体"/>
          <w:color w:val="auto"/>
          <w:sz w:val="32"/>
          <w:szCs w:val="32"/>
        </w:rPr>
        <w:t>四）绩效指标完成情况分析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仿宋_GB2312" w:eastAsia="仿宋_GB2312"/>
          <w:color w:val="auto"/>
          <w:sz w:val="32"/>
          <w:szCs w:val="32"/>
        </w:rPr>
      </w:pPr>
      <w:bookmarkStart w:id="12" w:name="bookmark41"/>
      <w:bookmarkEnd w:id="12"/>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产出指标完成情况分析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）数量指标</w:t>
      </w:r>
      <w:r>
        <w:rPr>
          <w:rFonts w:hint="eastAsia" w:ascii="仿宋_GB2312" w:hAnsi="仿宋_GB2312" w:eastAsia="仿宋_GB2312" w:cs="仿宋_GB2312"/>
          <w:color w:val="auto"/>
          <w:sz w:val="32"/>
          <w:szCs w:val="32"/>
          <w:lang w:eastAsia="zh-CN"/>
        </w:rPr>
        <w:t>：完成高素质农民培训人数</w:t>
      </w:r>
      <w:r>
        <w:rPr>
          <w:rFonts w:hint="eastAsia" w:ascii="仿宋_GB2312" w:hAnsi="仿宋_GB2312" w:eastAsia="仿宋_GB2312" w:cs="仿宋_GB2312"/>
          <w:color w:val="auto"/>
          <w:sz w:val="32"/>
          <w:szCs w:val="32"/>
          <w:lang w:val="en-US" w:eastAsia="zh-CN"/>
        </w:rPr>
        <w:t>77人；</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）质量指标</w:t>
      </w:r>
      <w:r>
        <w:rPr>
          <w:rFonts w:hint="eastAsia" w:ascii="仿宋_GB2312" w:hAnsi="仿宋_GB2312" w:eastAsia="仿宋_GB2312" w:cs="仿宋_GB2312"/>
          <w:color w:val="auto"/>
          <w:sz w:val="32"/>
          <w:szCs w:val="32"/>
          <w:lang w:eastAsia="zh-CN"/>
        </w:rPr>
        <w:t>：培训完学员满意度95%以上；</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）时效指标</w:t>
      </w:r>
      <w:r>
        <w:rPr>
          <w:rFonts w:hint="eastAsia" w:ascii="仿宋_GB2312" w:hAnsi="仿宋_GB2312" w:eastAsia="仿宋_GB2312" w:cs="仿宋_GB2312"/>
          <w:color w:val="auto"/>
          <w:sz w:val="32"/>
          <w:szCs w:val="32"/>
          <w:lang w:eastAsia="zh-CN"/>
        </w:rPr>
        <w:t>：学员通过培训，种业技术得到提升，防治病虫害意识有所加强。</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）成本指标</w:t>
      </w:r>
      <w:r>
        <w:rPr>
          <w:rFonts w:hint="eastAsia" w:ascii="仿宋_GB2312" w:hAnsi="仿宋_GB2312" w:eastAsia="仿宋_GB2312" w:cs="仿宋_GB2312"/>
          <w:color w:val="auto"/>
          <w:sz w:val="32"/>
          <w:szCs w:val="32"/>
          <w:lang w:eastAsia="zh-CN"/>
        </w:rPr>
        <w:t>：中央转移支付资金</w:t>
      </w:r>
      <w:r>
        <w:rPr>
          <w:rFonts w:hint="eastAsia" w:ascii="仿宋_GB2312" w:hAnsi="仿宋_GB2312" w:eastAsia="仿宋_GB2312" w:cs="仿宋_GB2312"/>
          <w:color w:val="auto"/>
          <w:sz w:val="32"/>
          <w:szCs w:val="32"/>
          <w:lang w:val="en-US" w:eastAsia="zh-CN"/>
        </w:rPr>
        <w:t>13万。</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仿宋_GB2312" w:eastAsia="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效益指标完成情况分析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）经济效益</w:t>
      </w:r>
      <w:r>
        <w:rPr>
          <w:rFonts w:hint="eastAsia" w:ascii="仿宋_GB2312" w:hAnsi="仿宋_GB2312" w:eastAsia="仿宋_GB2312" w:cs="仿宋_GB2312"/>
          <w:color w:val="auto"/>
          <w:sz w:val="32"/>
          <w:szCs w:val="32"/>
          <w:lang w:eastAsia="zh-CN"/>
        </w:rPr>
        <w:t>：通过项目实施，拓宽乡村产业带头人眼界思路，提升自身发展和服务带动能力，最终达到带动农民增收致富的实际意义；</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）社会效益</w:t>
      </w:r>
      <w:r>
        <w:rPr>
          <w:rFonts w:hint="eastAsia" w:ascii="仿宋_GB2312" w:hAnsi="仿宋_GB2312" w:eastAsia="仿宋_GB2312" w:cs="仿宋_GB2312"/>
          <w:color w:val="auto"/>
          <w:sz w:val="32"/>
          <w:szCs w:val="32"/>
          <w:lang w:eastAsia="zh-CN"/>
        </w:rPr>
        <w:t>：通过项目实施，巩固学员种植技术，提升学员眼界思路，加快形成与产业需求相适应、与农村发展相协调的高素质农民队伍</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）可持续影响</w:t>
      </w:r>
      <w:r>
        <w:rPr>
          <w:rFonts w:hint="eastAsia" w:ascii="仿宋_GB2312" w:hAnsi="仿宋_GB2312" w:eastAsia="仿宋_GB2312" w:cs="仿宋_GB2312"/>
          <w:color w:val="auto"/>
          <w:sz w:val="32"/>
          <w:szCs w:val="32"/>
          <w:lang w:eastAsia="zh-CN"/>
        </w:rPr>
        <w:t>：加强自身市场竞争力，提供农民收入，推动农村地区经济发展</w:t>
      </w:r>
      <w:r>
        <w:rPr>
          <w:rFonts w:hint="eastAsia" w:ascii="仿宋_GB2312" w:hAnsi="黑体" w:eastAsia="仿宋_GB2312" w:cs="Times New Roman"/>
          <w:b w:val="0"/>
          <w:bCs w:val="0"/>
          <w:color w:val="auto"/>
          <w:kern w:val="2"/>
          <w:sz w:val="32"/>
          <w:szCs w:val="32"/>
          <w:lang w:val="en-US"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满意度指标完成情况分析</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通过项目实施，学员对项目实施满意度达95%。</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bCs/>
          <w:color w:val="auto"/>
          <w:sz w:val="30"/>
          <w:szCs w:val="30"/>
        </w:rPr>
      </w:pPr>
      <w:r>
        <w:rPr>
          <w:rFonts w:hint="eastAsia" w:ascii="方正小标宋简体" w:hAnsi="Times New Roman" w:eastAsia="方正小标宋简体" w:cs="Times New Roman"/>
          <w:color w:val="auto"/>
          <w:sz w:val="30"/>
          <w:szCs w:val="30"/>
          <w:lang w:eastAsia="zh-CN"/>
        </w:rPr>
        <w:t>市级财政</w:t>
      </w:r>
      <w:r>
        <w:rPr>
          <w:rFonts w:hint="eastAsia" w:ascii="方正小标宋简体" w:hAnsi="方正小标宋简体" w:eastAsia="方正小标宋简体" w:cs="方正小标宋简体"/>
          <w:bCs/>
          <w:color w:val="auto"/>
          <w:sz w:val="30"/>
          <w:szCs w:val="30"/>
        </w:rPr>
        <w:t>转移支付</w:t>
      </w:r>
      <w:r>
        <w:rPr>
          <w:rFonts w:hint="eastAsia" w:ascii="方正小标宋简体" w:eastAsia="方正小标宋简体"/>
          <w:color w:val="auto"/>
          <w:sz w:val="30"/>
          <w:szCs w:val="30"/>
          <w:lang w:eastAsia="zh-CN"/>
        </w:rPr>
        <w:t>密云</w:t>
      </w:r>
      <w:r>
        <w:rPr>
          <w:rFonts w:hint="eastAsia" w:ascii="方正小标宋简体" w:eastAsia="方正小标宋简体"/>
          <w:color w:val="auto"/>
          <w:sz w:val="30"/>
          <w:szCs w:val="30"/>
        </w:rPr>
        <w:t>区</w:t>
      </w:r>
      <w:r>
        <w:rPr>
          <w:rFonts w:hint="eastAsia" w:ascii="方正小标宋简体" w:hAnsi="方正小标宋简体" w:eastAsia="方正小标宋简体" w:cs="方正小标宋简体"/>
          <w:bCs/>
          <w:color w:val="auto"/>
          <w:sz w:val="30"/>
          <w:szCs w:val="30"/>
        </w:rPr>
        <w:t>202</w:t>
      </w:r>
      <w:r>
        <w:rPr>
          <w:rFonts w:hint="eastAsia" w:ascii="方正小标宋简体" w:hAnsi="方正小标宋简体" w:eastAsia="方正小标宋简体" w:cs="方正小标宋简体"/>
          <w:bCs/>
          <w:color w:val="auto"/>
          <w:sz w:val="30"/>
          <w:szCs w:val="30"/>
          <w:lang w:val="en-US" w:eastAsia="zh-CN"/>
        </w:rPr>
        <w:t>3</w:t>
      </w:r>
      <w:r>
        <w:rPr>
          <w:rFonts w:hint="eastAsia" w:ascii="方正小标宋简体" w:hAnsi="方正小标宋简体" w:eastAsia="方正小标宋简体" w:cs="方正小标宋简体"/>
          <w:bCs/>
          <w:color w:val="auto"/>
          <w:sz w:val="30"/>
          <w:szCs w:val="30"/>
        </w:rPr>
        <w:t>年度</w:t>
      </w:r>
      <w:r>
        <w:rPr>
          <w:rFonts w:hint="eastAsia" w:ascii="方正小标宋简体" w:eastAsia="方正小标宋简体"/>
          <w:color w:val="auto"/>
          <w:sz w:val="30"/>
          <w:szCs w:val="30"/>
          <w:lang w:eastAsia="zh-CN"/>
        </w:rPr>
        <w:t>休闲农业“十百千万”畅游行动项目</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仿宋_GB2312"/>
          <w:color w:val="auto"/>
          <w:sz w:val="32"/>
          <w:szCs w:val="32"/>
        </w:rPr>
      </w:pPr>
      <w:r>
        <w:rPr>
          <w:rFonts w:hint="eastAsia" w:ascii="黑体" w:hAnsi="黑体" w:eastAsia="黑体" w:cs="仿宋_GB2312"/>
          <w:color w:val="auto"/>
          <w:sz w:val="32"/>
          <w:szCs w:val="32"/>
        </w:rPr>
        <w:t>一、绩效目标分解下达情况</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2023年市级下达密云区农业农村局农业机械科休闲农业“十百千万”畅游行动项目转移支付预算资金2400万元，</w:t>
      </w:r>
      <w:r>
        <w:rPr>
          <w:rFonts w:hint="eastAsia" w:ascii="仿宋_GB2312" w:hAnsi="仿宋_GB2312" w:eastAsia="仿宋_GB2312" w:cs="仿宋_GB2312"/>
          <w:color w:val="auto"/>
          <w:sz w:val="32"/>
          <w:szCs w:val="32"/>
          <w:lang w:val="en-US" w:eastAsia="zh-CN"/>
        </w:rPr>
        <w:t>提升美丽休闲乡村建设900万元，提升休闲农业园区1100万元，改造提升民俗接待示范户280万元，提升休闲农业重点区建设120万元，</w:t>
      </w:r>
      <w:r>
        <w:rPr>
          <w:rFonts w:hint="eastAsia" w:ascii="仿宋_GB2312" w:hAnsi="仿宋_GB2312" w:eastAsia="仿宋_GB2312" w:cs="仿宋_GB2312"/>
          <w:color w:val="auto"/>
          <w:sz w:val="30"/>
          <w:szCs w:val="30"/>
          <w:lang w:eastAsia="zh-CN"/>
        </w:rPr>
        <w:t>密云</w:t>
      </w:r>
      <w:r>
        <w:rPr>
          <w:rFonts w:hint="eastAsia" w:ascii="仿宋_GB2312" w:hAnsi="宋体" w:eastAsia="仿宋_GB2312"/>
          <w:color w:val="auto"/>
          <w:sz w:val="32"/>
          <w:szCs w:val="32"/>
        </w:rPr>
        <w:t>区</w:t>
      </w:r>
      <w:r>
        <w:rPr>
          <w:rFonts w:hint="eastAsia" w:ascii="仿宋_GB2312" w:hAnsi="宋体" w:eastAsia="仿宋_GB2312"/>
          <w:color w:val="auto"/>
          <w:sz w:val="32"/>
          <w:szCs w:val="32"/>
          <w:lang w:eastAsia="zh-CN"/>
        </w:rPr>
        <w:t>按照市农业农村局下达任务</w:t>
      </w:r>
      <w:r>
        <w:rPr>
          <w:rFonts w:hint="eastAsia" w:ascii="仿宋_GB2312" w:hAnsi="宋体" w:eastAsia="仿宋_GB2312"/>
          <w:color w:val="auto"/>
          <w:sz w:val="32"/>
          <w:szCs w:val="32"/>
        </w:rPr>
        <w:t>资金安排。</w:t>
      </w:r>
    </w:p>
    <w:p>
      <w:pPr>
        <w:keepNext w:val="0"/>
        <w:keepLines w:val="0"/>
        <w:pageBreakBefore w:val="0"/>
        <w:kinsoku/>
        <w:wordWrap/>
        <w:overflowPunct/>
        <w:topLinePunct w:val="0"/>
        <w:autoSpaceDE/>
        <w:autoSpaceDN/>
        <w:bidi w:val="0"/>
        <w:adjustRightInd/>
        <w:spacing w:line="560" w:lineRule="exact"/>
        <w:ind w:left="0" w:leftChars="0" w:firstLine="640" w:firstLineChars="200"/>
        <w:outlineLvl w:val="0"/>
        <w:rPr>
          <w:rFonts w:hint="eastAsia"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二</w:t>
      </w:r>
      <w:r>
        <w:rPr>
          <w:rFonts w:hint="eastAsia" w:ascii="黑体" w:hAnsi="黑体" w:eastAsia="黑体" w:cs="仿宋_GB2312"/>
          <w:color w:val="auto"/>
          <w:sz w:val="32"/>
          <w:szCs w:val="32"/>
        </w:rPr>
        <w:t>、</w:t>
      </w:r>
      <w:r>
        <w:rPr>
          <w:rFonts w:hint="eastAsia" w:ascii="黑体" w:hAnsi="黑体" w:eastAsia="黑体" w:cs="仿宋_GB2312"/>
          <w:color w:val="auto"/>
          <w:sz w:val="32"/>
          <w:szCs w:val="32"/>
          <w:lang w:eastAsia="zh-CN"/>
        </w:rPr>
        <w:t>自评得分情况和等级</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自评得分100分。</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仿宋_GB2312"/>
          <w:color w:val="auto"/>
          <w:sz w:val="32"/>
          <w:szCs w:val="32"/>
        </w:rPr>
      </w:pPr>
      <w:r>
        <w:rPr>
          <w:rFonts w:hint="eastAsia" w:ascii="黑体" w:hAnsi="黑体" w:eastAsia="黑体" w:cs="仿宋_GB2312"/>
          <w:color w:val="auto"/>
          <w:sz w:val="32"/>
          <w:szCs w:val="32"/>
        </w:rPr>
        <w:t>二、绩效目标完成情况分析</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宋体" w:eastAsia="仿宋_GB2312"/>
          <w:color w:val="auto"/>
          <w:sz w:val="32"/>
          <w:szCs w:val="32"/>
        </w:rPr>
      </w:pPr>
      <w:r>
        <w:rPr>
          <w:rFonts w:hint="eastAsia" w:ascii="楷体_GB2312" w:hAnsi="楷体" w:eastAsia="楷体_GB2312" w:cs="仿宋_GB2312"/>
          <w:color w:val="auto"/>
          <w:sz w:val="32"/>
          <w:szCs w:val="32"/>
        </w:rPr>
        <w:t>（一）资金投入情况分析</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default"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 xml:space="preserve">2023年市级下达休闲农业“十百千万”畅游行动项目转移支付预算资金2400万元，按照《北京市休闲农业“十百千万”畅游行动实施意见》（京政农发[2020]53 号）、《北京市休闲农业“十百千万”畅游行动建设成效评价办法》（京政发[2020]54号）及市农业农村局《农业农村改革发展资金项目实施方案》要求，落实项目资金。项目资金共拨付2343.97万元，预算执行拨付率97.67%。 </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楷体_GB2312" w:hAnsi="楷体" w:eastAsia="楷体_GB2312" w:cs="仿宋_GB2312"/>
          <w:color w:val="auto"/>
          <w:sz w:val="32"/>
          <w:szCs w:val="32"/>
          <w:highlight w:val="none"/>
        </w:rPr>
      </w:pPr>
      <w:r>
        <w:rPr>
          <w:rFonts w:hint="eastAsia" w:ascii="楷体_GB2312" w:hAnsi="楷体" w:eastAsia="楷体_GB2312" w:cs="仿宋_GB2312"/>
          <w:color w:val="auto"/>
          <w:sz w:val="32"/>
          <w:szCs w:val="32"/>
          <w:highlight w:val="none"/>
        </w:rPr>
        <w:t>（二）资金管理情况分析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ascii="仿宋_GB2312" w:hAnsi="宋体" w:eastAsia="仿宋_GB2312"/>
          <w:color w:val="auto"/>
          <w:sz w:val="32"/>
          <w:szCs w:val="32"/>
          <w:highlight w:val="none"/>
        </w:rPr>
      </w:pPr>
      <w:r>
        <w:rPr>
          <w:rFonts w:hint="eastAsia" w:ascii="仿宋_GB2312" w:eastAsia="仿宋_GB2312"/>
          <w:color w:val="auto"/>
          <w:sz w:val="32"/>
          <w:szCs w:val="32"/>
          <w:lang w:val="en-US" w:eastAsia="zh-CN"/>
        </w:rPr>
        <w:t>根据市、区、局各级财务管理制度，严</w:t>
      </w:r>
      <w:r>
        <w:rPr>
          <w:rFonts w:hint="eastAsia" w:ascii="仿宋_GB2312" w:hAnsi="仿宋_GB2312" w:eastAsia="仿宋_GB2312" w:cs="仿宋_GB2312"/>
          <w:color w:val="auto"/>
          <w:kern w:val="2"/>
          <w:sz w:val="32"/>
          <w:szCs w:val="32"/>
          <w:lang w:val="en-US" w:eastAsia="zh-CN" w:bidi="ar-SA"/>
        </w:rPr>
        <w:t>格执行专款专用，无挤占挪用情况。在执</w:t>
      </w:r>
      <w:r>
        <w:rPr>
          <w:rFonts w:hint="eastAsia" w:ascii="仿宋_GB2312" w:hAnsi="仿宋_GB2312" w:eastAsia="仿宋_GB2312" w:cs="仿宋_GB2312"/>
          <w:color w:val="auto"/>
          <w:kern w:val="2"/>
          <w:sz w:val="32"/>
          <w:szCs w:val="32"/>
          <w:highlight w:val="none"/>
          <w:lang w:val="en-US" w:eastAsia="zh-CN" w:bidi="ar-SA"/>
        </w:rPr>
        <w:t>行过程中，做到正确使用资金，及时准确反馈财务信息。</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宋体" w:eastAsia="仿宋_GB2312"/>
          <w:color w:val="auto"/>
          <w:sz w:val="32"/>
          <w:szCs w:val="32"/>
          <w:highlight w:val="none"/>
        </w:rPr>
      </w:pPr>
      <w:r>
        <w:rPr>
          <w:rFonts w:hint="eastAsia" w:ascii="楷体_GB2312" w:hAnsi="楷体" w:eastAsia="楷体_GB2312" w:cs="仿宋_GB2312"/>
          <w:color w:val="auto"/>
          <w:sz w:val="32"/>
          <w:szCs w:val="32"/>
          <w:highlight w:val="none"/>
        </w:rPr>
        <w:t>（三）总体绩效目标完成情况分析</w:t>
      </w:r>
    </w:p>
    <w:p>
      <w:pPr>
        <w:keepNext w:val="0"/>
        <w:keepLines w:val="0"/>
        <w:pageBreakBefore w:val="0"/>
        <w:widowControl w:val="0"/>
        <w:kinsoku/>
        <w:wordWrap/>
        <w:overflowPunct/>
        <w:topLinePunct w:val="0"/>
        <w:autoSpaceDE/>
        <w:autoSpaceDN/>
        <w:bidi w:val="0"/>
        <w:snapToGrid w:val="0"/>
        <w:spacing w:line="560" w:lineRule="exact"/>
        <w:ind w:right="0" w:rightChars="0" w:firstLine="640" w:firstLineChars="200"/>
        <w:jc w:val="left"/>
        <w:textAlignment w:val="auto"/>
        <w:outlineLvl w:val="9"/>
        <w:rPr>
          <w:rFonts w:ascii="仿宋_GB2312" w:hAnsi="宋体" w:eastAsia="仿宋_GB2312"/>
          <w:color w:val="auto"/>
          <w:sz w:val="32"/>
          <w:szCs w:val="32"/>
          <w:highlight w:val="yellow"/>
        </w:rPr>
      </w:pPr>
      <w:r>
        <w:rPr>
          <w:rFonts w:hint="eastAsia" w:ascii="仿宋_GB2312" w:hAnsi="仿宋_GB2312" w:eastAsia="仿宋_GB2312" w:cs="仿宋_GB2312"/>
          <w:color w:val="auto"/>
          <w:kern w:val="2"/>
          <w:sz w:val="32"/>
          <w:szCs w:val="32"/>
          <w:highlight w:val="none"/>
          <w:lang w:val="en-US" w:eastAsia="zh-CN" w:bidi="ar-SA"/>
        </w:rPr>
        <w:t>按照上级下达文件要求，前期由各镇上报实施方案及建设内容，</w:t>
      </w:r>
      <w:r>
        <w:rPr>
          <w:rFonts w:hint="eastAsia" w:ascii="仿宋_GB2312" w:hAnsi="仿宋_GB2312" w:eastAsia="仿宋_GB2312" w:cs="仿宋_GB2312"/>
          <w:color w:val="auto"/>
          <w:sz w:val="32"/>
          <w:szCs w:val="32"/>
          <w:highlight w:val="none"/>
        </w:rPr>
        <w:t>制订</w:t>
      </w:r>
      <w:r>
        <w:rPr>
          <w:rFonts w:hint="eastAsia" w:ascii="仿宋_GB2312" w:hAnsi="仿宋_GB2312" w:eastAsia="仿宋_GB2312" w:cs="仿宋_GB2312"/>
          <w:color w:val="auto"/>
          <w:sz w:val="32"/>
          <w:szCs w:val="32"/>
          <w:highlight w:val="none"/>
          <w:lang w:eastAsia="zh-CN"/>
        </w:rPr>
        <w:t>了《202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年密云区休闲农业“十百千万”畅游行动实施方案</w:t>
      </w:r>
      <w:r>
        <w:rPr>
          <w:rFonts w:hint="eastAsia" w:ascii="仿宋_GB2312" w:eastAsia="仿宋_GB2312"/>
          <w:color w:val="auto"/>
          <w:sz w:val="32"/>
          <w:szCs w:val="32"/>
          <w:lang w:val="en-US" w:eastAsia="zh-CN"/>
        </w:rPr>
        <w:t>》和项目实施清单，经过区级专家论证及市级专家论证后，由市农业农村局审核批复，经区政府同意后正式实施。项目全程由市级休闲农业专家辅导团监督实施,按照区财政相关项目要求各项目主体聘请第三方设计公司对项目进行了设计，形成了工程预算和设计图，经区财政局聘请的评审公司进行</w:t>
      </w:r>
      <w:r>
        <w:rPr>
          <w:rFonts w:hint="eastAsia" w:ascii="仿宋_GB2312" w:hAnsi="Times New Roman" w:eastAsia="仿宋_GB2312" w:cs="Times New Roman"/>
          <w:color w:val="auto"/>
          <w:kern w:val="0"/>
          <w:sz w:val="32"/>
          <w:szCs w:val="32"/>
          <w:lang w:val="en-US" w:eastAsia="zh-CN" w:bidi="en-US"/>
        </w:rPr>
        <w:t>项目评估后，进行项目实施</w:t>
      </w:r>
      <w:r>
        <w:rPr>
          <w:rFonts w:hint="eastAsia" w:ascii="仿宋_GB2312" w:eastAsia="仿宋_GB2312"/>
          <w:color w:val="auto"/>
          <w:sz w:val="32"/>
          <w:szCs w:val="32"/>
          <w:lang w:val="en-US"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宋体" w:eastAsia="仿宋_GB2312"/>
          <w:color w:val="auto"/>
          <w:sz w:val="32"/>
          <w:szCs w:val="32"/>
          <w:highlight w:val="none"/>
        </w:rPr>
      </w:pPr>
      <w:r>
        <w:rPr>
          <w:rFonts w:hint="eastAsia" w:ascii="楷体_GB2312" w:hAnsi="楷体" w:eastAsia="楷体_GB2312" w:cs="仿宋_GB2312"/>
          <w:color w:val="auto"/>
          <w:sz w:val="32"/>
          <w:szCs w:val="32"/>
          <w:highlight w:val="none"/>
        </w:rPr>
        <w:t>（四）绩效指标完成情况分析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仿宋_GB2312" w:eastAsia="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产出指标完成情况分析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rPr>
        <w:t>（1）数量指标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提升休闲农业园区22个，开展市级休闲农业推介活动1次已完成；提升美丽休闲乡村建设9个，改造提升民俗接待示范户28户,提升了休闲农业重点区建设</w:t>
      </w:r>
      <w:r>
        <w:rPr>
          <w:rFonts w:hint="eastAsia" w:ascii="仿宋_GB2312" w:eastAsia="仿宋_GB2312"/>
          <w:color w:val="auto"/>
          <w:sz w:val="32"/>
          <w:szCs w:val="32"/>
          <w:lang w:val="en-US"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）质量指标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项目实施方案</w:t>
      </w:r>
      <w:r>
        <w:rPr>
          <w:rFonts w:hint="eastAsia" w:ascii="仿宋_GB2312" w:hAnsi="仿宋_GB2312" w:eastAsia="仿宋_GB2312" w:cs="仿宋_GB2312"/>
          <w:color w:val="auto"/>
          <w:sz w:val="32"/>
          <w:szCs w:val="32"/>
          <w:highlight w:val="none"/>
        </w:rPr>
        <w:t>健全、管理规范</w:t>
      </w:r>
      <w:r>
        <w:rPr>
          <w:rFonts w:hint="eastAsia" w:ascii="仿宋_GB2312" w:hAnsi="仿宋_GB2312" w:eastAsia="仿宋_GB2312" w:cs="仿宋_GB2312"/>
          <w:i w:val="0"/>
          <w:caps w:val="0"/>
          <w:color w:val="auto"/>
          <w:spacing w:val="0"/>
          <w:sz w:val="32"/>
          <w:szCs w:val="32"/>
          <w:shd w:val="clear" w:color="auto" w:fill="FFFFFF"/>
          <w:lang w:val="en-US" w:eastAsia="zh-CN"/>
        </w:rPr>
        <w:t>，工程按相关建设、施工标准执行。</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）时效指标</w:t>
      </w:r>
      <w:r>
        <w:rPr>
          <w:rFonts w:hint="eastAsia" w:ascii="仿宋_GB2312" w:hAnsi="仿宋_GB2312" w:eastAsia="仿宋_GB2312" w:cs="仿宋_GB2312"/>
          <w:color w:val="auto"/>
          <w:sz w:val="32"/>
          <w:szCs w:val="32"/>
          <w:lang w:eastAsia="zh-CN"/>
        </w:rPr>
        <w:t>：基本完成建设项目，剩余未完成项目预计</w:t>
      </w:r>
      <w:r>
        <w:rPr>
          <w:rFonts w:hint="eastAsia" w:ascii="仿宋_GB2312" w:hAnsi="仿宋_GB2312" w:eastAsia="仿宋_GB2312" w:cs="仿宋_GB2312"/>
          <w:color w:val="auto"/>
          <w:sz w:val="32"/>
          <w:szCs w:val="32"/>
          <w:lang w:val="en-US" w:eastAsia="zh-CN"/>
        </w:rPr>
        <w:t>6月底前完成。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）成本指标</w:t>
      </w:r>
      <w:r>
        <w:rPr>
          <w:rFonts w:hint="eastAsia" w:ascii="仿宋_GB2312" w:hAnsi="仿宋_GB2312" w:eastAsia="仿宋_GB2312" w:cs="仿宋_GB2312"/>
          <w:color w:val="auto"/>
          <w:sz w:val="32"/>
          <w:szCs w:val="32"/>
          <w:lang w:eastAsia="zh-CN"/>
        </w:rPr>
        <w:t>：项目标准按要求完成</w:t>
      </w:r>
      <w:r>
        <w:rPr>
          <w:rFonts w:hint="eastAsia" w:ascii="仿宋_GB2312" w:hAnsi="仿宋_GB2312" w:eastAsia="仿宋_GB2312" w:cs="仿宋_GB2312"/>
          <w:color w:val="auto"/>
          <w:sz w:val="32"/>
          <w:szCs w:val="32"/>
          <w:lang w:val="en-US"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ascii="仿宋_GB2312" w:hAnsi="仿宋_GB2312" w:eastAsia="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效益指标完成情况分析</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）经济效益</w:t>
      </w:r>
      <w:r>
        <w:rPr>
          <w:rFonts w:hint="eastAsia" w:ascii="仿宋_GB2312" w:hAnsi="仿宋_GB2312" w:eastAsia="仿宋_GB2312" w:cs="仿宋_GB2312"/>
          <w:color w:val="auto"/>
          <w:sz w:val="32"/>
          <w:szCs w:val="32"/>
          <w:lang w:eastAsia="zh-CN"/>
        </w:rPr>
        <w:t>：通过项目建设，</w:t>
      </w:r>
      <w:r>
        <w:rPr>
          <w:rFonts w:hint="eastAsia" w:ascii="仿宋_GB2312" w:hAnsi="仿宋_GB2312" w:eastAsia="仿宋_GB2312" w:cs="仿宋_GB2312"/>
          <w:color w:val="auto"/>
          <w:sz w:val="32"/>
          <w:szCs w:val="32"/>
        </w:rPr>
        <w:t>增加农民收入</w:t>
      </w:r>
      <w:r>
        <w:rPr>
          <w:rFonts w:hint="eastAsia" w:ascii="仿宋_GB2312" w:hAnsi="仿宋_GB2312" w:eastAsia="仿宋_GB2312" w:cs="仿宋_GB2312"/>
          <w:color w:val="auto"/>
          <w:sz w:val="32"/>
          <w:szCs w:val="32"/>
          <w:lang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（2）社会效益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带动当地农民就业</w:t>
      </w:r>
      <w:r>
        <w:rPr>
          <w:rFonts w:hint="eastAsia" w:ascii="仿宋_GB2312" w:hAnsi="仿宋_GB2312" w:eastAsia="仿宋_GB2312" w:cs="仿宋_GB2312"/>
          <w:color w:val="auto"/>
          <w:sz w:val="32"/>
          <w:szCs w:val="32"/>
          <w:lang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生态</w:t>
      </w:r>
      <w:r>
        <w:rPr>
          <w:rFonts w:hint="eastAsia" w:ascii="仿宋_GB2312" w:hAnsi="仿宋_GB2312" w:eastAsia="仿宋_GB2312" w:cs="仿宋_GB2312"/>
          <w:color w:val="auto"/>
          <w:sz w:val="32"/>
          <w:szCs w:val="32"/>
        </w:rPr>
        <w:t>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特色农业与环境保护相结合</w:t>
      </w:r>
      <w:r>
        <w:rPr>
          <w:rFonts w:hint="eastAsia" w:ascii="仿宋_GB2312" w:hAnsi="仿宋_GB2312" w:eastAsia="仿宋_GB2312" w:cs="仿宋_GB2312"/>
          <w:color w:val="auto"/>
          <w:sz w:val="32"/>
          <w:szCs w:val="32"/>
          <w:lang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可持续影响</w:t>
      </w:r>
      <w:r>
        <w:rPr>
          <w:rFonts w:hint="eastAsia" w:ascii="仿宋_GB2312" w:hAnsi="仿宋_GB2312" w:eastAsia="仿宋_GB2312" w:cs="仿宋_GB2312"/>
          <w:color w:val="auto"/>
          <w:sz w:val="32"/>
          <w:szCs w:val="32"/>
        </w:rPr>
        <w:t>效益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休闲旅游经营收入不断增长</w:t>
      </w:r>
      <w:r>
        <w:rPr>
          <w:rFonts w:hint="eastAsia" w:ascii="仿宋_GB2312" w:hAnsi="仿宋_GB2312" w:eastAsia="仿宋_GB2312" w:cs="仿宋_GB2312"/>
          <w:color w:val="auto"/>
          <w:sz w:val="32"/>
          <w:szCs w:val="32"/>
          <w:lang w:eastAsia="zh-CN"/>
        </w:rPr>
        <w:t>。</w:t>
      </w:r>
    </w:p>
    <w:p>
      <w:pPr>
        <w:pStyle w:val="27"/>
        <w:keepNext w:val="0"/>
        <w:keepLines w:val="0"/>
        <w:pageBreakBefore w:val="0"/>
        <w:tabs>
          <w:tab w:val="left" w:pos="1795"/>
        </w:tabs>
        <w:kinsoku/>
        <w:wordWrap/>
        <w:overflowPunct/>
        <w:topLinePunct w:val="0"/>
        <w:autoSpaceDE/>
        <w:autoSpaceDN/>
        <w:bidi w:val="0"/>
        <w:spacing w:before="0" w:after="0" w:line="560" w:lineRule="exact"/>
        <w:ind w:firstLine="640" w:firstLineChars="200"/>
        <w:jc w:val="left"/>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满意度指标完成情况分析</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outlineLvl w:val="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项目实施满意度80%以上</w:t>
      </w:r>
      <w:bookmarkStart w:id="13" w:name="_GoBack"/>
      <w:bookmarkEnd w:id="13"/>
      <w:r>
        <w:rPr>
          <w:rFonts w:hint="eastAsia" w:ascii="仿宋_GB2312" w:hAnsi="仿宋_GB2312" w:eastAsia="仿宋_GB2312" w:cs="仿宋_GB2312"/>
          <w:color w:val="auto"/>
          <w:kern w:val="2"/>
          <w:sz w:val="32"/>
          <w:szCs w:val="32"/>
          <w:lang w:val="en-US" w:eastAsia="zh-CN" w:bidi="ar-SA"/>
        </w:rPr>
        <w:t>。</w:t>
      </w:r>
    </w:p>
    <w:p>
      <w:pPr>
        <w:pStyle w:val="32"/>
        <w:rPr>
          <w:rFonts w:hint="eastAsia"/>
          <w:color w:val="auto"/>
          <w:lang w:val="en-US" w:eastAsia="zh-CN"/>
        </w:rPr>
      </w:pP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概述下属单位整体支出绩效目标实现情况</w:t>
      </w:r>
    </w:p>
    <w:p>
      <w:pPr>
        <w:numPr>
          <w:ilvl w:val="0"/>
          <w:numId w:val="0"/>
        </w:numPr>
        <w:snapToGrid w:val="0"/>
        <w:spacing w:line="520" w:lineRule="exac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 xml:space="preserve">     无</w:t>
      </w:r>
    </w:p>
    <w:p>
      <w:pPr>
        <w:numPr>
          <w:ilvl w:val="0"/>
          <w:numId w:val="4"/>
        </w:num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概述以部门为主体开展的重点项目绩效评价情况（绩效评价结果，发现的问题及改进建议）。</w:t>
      </w:r>
    </w:p>
    <w:p>
      <w:pPr>
        <w:numPr>
          <w:ilvl w:val="0"/>
          <w:numId w:val="0"/>
        </w:numPr>
        <w:snapToGrid w:val="0"/>
        <w:spacing w:line="520" w:lineRule="exac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 xml:space="preserve">     无</w:t>
      </w:r>
    </w:p>
    <w:p>
      <w:pPr>
        <w:pStyle w:val="7"/>
        <w:rPr>
          <w:rFonts w:hint="eastAsia"/>
          <w:color w:val="auto"/>
        </w:rPr>
      </w:pP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二、绩效目标实现情况</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（一）总体绩效目标完成情况分析。（对照总体目标分析全年实际完成情况）</w:t>
      </w:r>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（二）绩效指标完成情况分析。（根据各三级绩效指标值，逐项分析全年实际完成情况）</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三、绩效自评结论</w:t>
      </w:r>
    </w:p>
    <w:p>
      <w:pPr>
        <w:pStyle w:val="2"/>
        <w:ind w:firstLine="640"/>
        <w:rPr>
          <w:rFonts w:hint="eastAsia" w:ascii="黑体" w:eastAsia="黑体"/>
          <w:color w:val="auto"/>
          <w:sz w:val="32"/>
          <w:szCs w:val="32"/>
        </w:rPr>
      </w:pPr>
      <w:r>
        <w:rPr>
          <w:rFonts w:hint="eastAsia" w:ascii="楷体_GB2312" w:hAnsi="楷体_GB2312" w:eastAsia="楷体_GB2312" w:cs="楷体_GB2312"/>
          <w:color w:val="auto"/>
          <w:sz w:val="32"/>
          <w:szCs w:val="32"/>
        </w:rPr>
        <w:t>（市级主管部门对中央对北京XX转移支付整体情况绩效自评结论）</w:t>
      </w:r>
    </w:p>
    <w:p>
      <w:pPr>
        <w:pStyle w:val="2"/>
        <w:rPr>
          <w:rFonts w:hint="eastAsia"/>
          <w:color w:val="auto"/>
        </w:rPr>
      </w:pPr>
    </w:p>
    <w:sectPr>
      <w:footerReference r:id="rId3" w:type="default"/>
      <w:footerReference r:id="rId4"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
    <w:altName w:val="MS Gothic"/>
    <w:panose1 w:val="00000000000000000000"/>
    <w:charset w:val="00"/>
    <w:family w:val="modern"/>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15</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565F04"/>
    <w:multiLevelType w:val="singleLevel"/>
    <w:tmpl w:val="A8565F04"/>
    <w:lvl w:ilvl="0" w:tentative="0">
      <w:start w:val="1"/>
      <w:numFmt w:val="decimal"/>
      <w:lvlText w:val="%1."/>
      <w:lvlJc w:val="left"/>
      <w:pPr>
        <w:tabs>
          <w:tab w:val="left" w:pos="312"/>
        </w:tabs>
      </w:pPr>
    </w:lvl>
  </w:abstractNum>
  <w:abstractNum w:abstractNumId="1">
    <w:nsid w:val="5C962338"/>
    <w:multiLevelType w:val="singleLevel"/>
    <w:tmpl w:val="5C962338"/>
    <w:lvl w:ilvl="0" w:tentative="0">
      <w:start w:val="1"/>
      <w:numFmt w:val="chineseCounting"/>
      <w:suff w:val="nothing"/>
      <w:lvlText w:val="（%1）"/>
      <w:lvlJc w:val="left"/>
    </w:lvl>
  </w:abstractNum>
  <w:abstractNum w:abstractNumId="2">
    <w:nsid w:val="61F48A70"/>
    <w:multiLevelType w:val="singleLevel"/>
    <w:tmpl w:val="61F48A70"/>
    <w:lvl w:ilvl="0" w:tentative="0">
      <w:start w:val="2"/>
      <w:numFmt w:val="decimal"/>
      <w:suff w:val="nothing"/>
      <w:lvlText w:val="%1."/>
      <w:lvlJc w:val="left"/>
    </w:lvl>
  </w:abstractNum>
  <w:abstractNum w:abstractNumId="3">
    <w:nsid w:val="7FFFCA65"/>
    <w:multiLevelType w:val="singleLevel"/>
    <w:tmpl w:val="7FFFCA65"/>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DlmODM4NDM3ZTUzZTJhOWRjZWIxNmVkMjQxNTM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1C86"/>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6463FE"/>
    <w:rsid w:val="0175291F"/>
    <w:rsid w:val="01DC1BDF"/>
    <w:rsid w:val="02705002"/>
    <w:rsid w:val="0622212C"/>
    <w:rsid w:val="06847343"/>
    <w:rsid w:val="079004AC"/>
    <w:rsid w:val="0BD62623"/>
    <w:rsid w:val="0F8007BD"/>
    <w:rsid w:val="0F8E2C57"/>
    <w:rsid w:val="0FE45D03"/>
    <w:rsid w:val="101F79E6"/>
    <w:rsid w:val="1059665E"/>
    <w:rsid w:val="108E58A0"/>
    <w:rsid w:val="10AC13BA"/>
    <w:rsid w:val="10E2654E"/>
    <w:rsid w:val="1176428F"/>
    <w:rsid w:val="130036FD"/>
    <w:rsid w:val="13590C0C"/>
    <w:rsid w:val="16034445"/>
    <w:rsid w:val="161317AD"/>
    <w:rsid w:val="161965D1"/>
    <w:rsid w:val="162E478E"/>
    <w:rsid w:val="17121DCF"/>
    <w:rsid w:val="171E61A8"/>
    <w:rsid w:val="183E1564"/>
    <w:rsid w:val="18622C52"/>
    <w:rsid w:val="186F0ABB"/>
    <w:rsid w:val="19D071F0"/>
    <w:rsid w:val="1A6E2133"/>
    <w:rsid w:val="1AA26958"/>
    <w:rsid w:val="1AD63D9C"/>
    <w:rsid w:val="1ADA1382"/>
    <w:rsid w:val="1AEC0734"/>
    <w:rsid w:val="1C7C14FA"/>
    <w:rsid w:val="1CAF69DC"/>
    <w:rsid w:val="1D366032"/>
    <w:rsid w:val="1D604C4C"/>
    <w:rsid w:val="1DEF20B0"/>
    <w:rsid w:val="206E197F"/>
    <w:rsid w:val="2139374A"/>
    <w:rsid w:val="214243FA"/>
    <w:rsid w:val="249265DA"/>
    <w:rsid w:val="24D41B9F"/>
    <w:rsid w:val="257A14F5"/>
    <w:rsid w:val="261D7F46"/>
    <w:rsid w:val="27196C26"/>
    <w:rsid w:val="27ED1463"/>
    <w:rsid w:val="282F50A4"/>
    <w:rsid w:val="29034E54"/>
    <w:rsid w:val="29EF086F"/>
    <w:rsid w:val="2AC4645A"/>
    <w:rsid w:val="2B631DE2"/>
    <w:rsid w:val="2BD063D9"/>
    <w:rsid w:val="2CA66989"/>
    <w:rsid w:val="2E817687"/>
    <w:rsid w:val="2EFFE297"/>
    <w:rsid w:val="2F151408"/>
    <w:rsid w:val="2F426504"/>
    <w:rsid w:val="2FC67F1E"/>
    <w:rsid w:val="301437CA"/>
    <w:rsid w:val="30A148F4"/>
    <w:rsid w:val="31BC3B34"/>
    <w:rsid w:val="349757BE"/>
    <w:rsid w:val="35856BA9"/>
    <w:rsid w:val="363F4100"/>
    <w:rsid w:val="36FC2DC4"/>
    <w:rsid w:val="37A11269"/>
    <w:rsid w:val="37C85ED2"/>
    <w:rsid w:val="3856133D"/>
    <w:rsid w:val="38A724AF"/>
    <w:rsid w:val="39261D11"/>
    <w:rsid w:val="39606051"/>
    <w:rsid w:val="3ABC5677"/>
    <w:rsid w:val="3BB316BA"/>
    <w:rsid w:val="40205C13"/>
    <w:rsid w:val="40297B1A"/>
    <w:rsid w:val="409C5817"/>
    <w:rsid w:val="433E495C"/>
    <w:rsid w:val="435F2A34"/>
    <w:rsid w:val="45AF7E70"/>
    <w:rsid w:val="45F716E1"/>
    <w:rsid w:val="47304622"/>
    <w:rsid w:val="47BD68EB"/>
    <w:rsid w:val="4A486EAD"/>
    <w:rsid w:val="4A7D3A53"/>
    <w:rsid w:val="4A8307C3"/>
    <w:rsid w:val="4AC27CB3"/>
    <w:rsid w:val="4AFC34F6"/>
    <w:rsid w:val="4BF72BEF"/>
    <w:rsid w:val="4C4A613C"/>
    <w:rsid w:val="4FA51EFC"/>
    <w:rsid w:val="50F33ECA"/>
    <w:rsid w:val="51DB3C59"/>
    <w:rsid w:val="52A6296A"/>
    <w:rsid w:val="52CE638B"/>
    <w:rsid w:val="53154F33"/>
    <w:rsid w:val="545B1C53"/>
    <w:rsid w:val="54A9143C"/>
    <w:rsid w:val="54B255DA"/>
    <w:rsid w:val="5504641A"/>
    <w:rsid w:val="55762E42"/>
    <w:rsid w:val="55C341D6"/>
    <w:rsid w:val="56670220"/>
    <w:rsid w:val="56B279C6"/>
    <w:rsid w:val="57641AC7"/>
    <w:rsid w:val="57A7B272"/>
    <w:rsid w:val="58470068"/>
    <w:rsid w:val="584937D4"/>
    <w:rsid w:val="58BD3F50"/>
    <w:rsid w:val="5A1720F9"/>
    <w:rsid w:val="5A3B0774"/>
    <w:rsid w:val="5B184D6A"/>
    <w:rsid w:val="5B9C37C2"/>
    <w:rsid w:val="5BA7C654"/>
    <w:rsid w:val="5BCA54A5"/>
    <w:rsid w:val="5C6F2EB8"/>
    <w:rsid w:val="5E1C60E6"/>
    <w:rsid w:val="5E81218C"/>
    <w:rsid w:val="5FC70492"/>
    <w:rsid w:val="616A684E"/>
    <w:rsid w:val="619E2DD6"/>
    <w:rsid w:val="622D2C99"/>
    <w:rsid w:val="63762BA9"/>
    <w:rsid w:val="64C0607C"/>
    <w:rsid w:val="64FC758A"/>
    <w:rsid w:val="65D76EDE"/>
    <w:rsid w:val="676F09E1"/>
    <w:rsid w:val="68037A9E"/>
    <w:rsid w:val="6814471A"/>
    <w:rsid w:val="68C96230"/>
    <w:rsid w:val="68D55568"/>
    <w:rsid w:val="6A754886"/>
    <w:rsid w:val="6E1DD6B5"/>
    <w:rsid w:val="6E240913"/>
    <w:rsid w:val="6F13470A"/>
    <w:rsid w:val="6F7915F9"/>
    <w:rsid w:val="6F7E57EB"/>
    <w:rsid w:val="71894B08"/>
    <w:rsid w:val="71DD1344"/>
    <w:rsid w:val="722B3CA2"/>
    <w:rsid w:val="72D10299"/>
    <w:rsid w:val="74007937"/>
    <w:rsid w:val="761E42C4"/>
    <w:rsid w:val="766C3587"/>
    <w:rsid w:val="77267DC2"/>
    <w:rsid w:val="77D66C8D"/>
    <w:rsid w:val="77FF30EE"/>
    <w:rsid w:val="77FFF19E"/>
    <w:rsid w:val="78ED5830"/>
    <w:rsid w:val="791178A7"/>
    <w:rsid w:val="79614C79"/>
    <w:rsid w:val="7A7F1C49"/>
    <w:rsid w:val="7B330394"/>
    <w:rsid w:val="7B5B7AE6"/>
    <w:rsid w:val="7B75598C"/>
    <w:rsid w:val="7BA7071E"/>
    <w:rsid w:val="7BB9709B"/>
    <w:rsid w:val="7BDF6DA8"/>
    <w:rsid w:val="7C7EDC1A"/>
    <w:rsid w:val="7CCED98D"/>
    <w:rsid w:val="7D08410F"/>
    <w:rsid w:val="7D4C31D5"/>
    <w:rsid w:val="7DB96DED"/>
    <w:rsid w:val="7DD3AD81"/>
    <w:rsid w:val="7F7FE70F"/>
    <w:rsid w:val="7FFF772F"/>
    <w:rsid w:val="95F35EF6"/>
    <w:rsid w:val="9BFFD860"/>
    <w:rsid w:val="AC5F73DE"/>
    <w:rsid w:val="B0EF641F"/>
    <w:rsid w:val="B5DDD2C8"/>
    <w:rsid w:val="B9DFABD9"/>
    <w:rsid w:val="BC0D83FC"/>
    <w:rsid w:val="BF3BDEFB"/>
    <w:rsid w:val="C75F6086"/>
    <w:rsid w:val="C7F7ED2D"/>
    <w:rsid w:val="CFAF854E"/>
    <w:rsid w:val="D8D7928E"/>
    <w:rsid w:val="D8FE3136"/>
    <w:rsid w:val="DDDE60B7"/>
    <w:rsid w:val="DDFB0BAE"/>
    <w:rsid w:val="DE9F6A22"/>
    <w:rsid w:val="DF4FCE6A"/>
    <w:rsid w:val="E4FED278"/>
    <w:rsid w:val="EDAA365C"/>
    <w:rsid w:val="EDADFC12"/>
    <w:rsid w:val="F2FD229B"/>
    <w:rsid w:val="F3F08023"/>
    <w:rsid w:val="F7F709E9"/>
    <w:rsid w:val="F7FF3690"/>
    <w:rsid w:val="F9BD3900"/>
    <w:rsid w:val="FC8B9876"/>
    <w:rsid w:val="FEDFF218"/>
    <w:rsid w:val="FEDFFF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widowControl w:val="0"/>
      <w:spacing w:before="100" w:beforeAutospacing="1" w:after="100" w:afterAutospacing="1"/>
      <w:outlineLvl w:val="1"/>
    </w:pPr>
    <w:rPr>
      <w:rFonts w:ascii="Cambria" w:hAnsi="Cambria" w:eastAsia="黑体" w:cs="Times New Roman"/>
      <w:b/>
      <w:bCs/>
      <w:kern w:val="0"/>
      <w:sz w:val="36"/>
      <w:szCs w:val="32"/>
      <w:lang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style>
  <w:style w:type="paragraph" w:styleId="3">
    <w:name w:val="Body Text Indent"/>
    <w:basedOn w:val="1"/>
    <w:next w:val="2"/>
    <w:qFormat/>
    <w:uiPriority w:val="0"/>
    <w:pPr>
      <w:ind w:firstLine="645"/>
    </w:pPr>
    <w:rPr>
      <w:rFonts w:ascii="仿宋_GB2312" w:hAnsi="Calibri" w:eastAsia="仿宋_GB2312"/>
      <w:sz w:val="32"/>
      <w:szCs w:val="32"/>
    </w:rPr>
  </w:style>
  <w:style w:type="paragraph" w:styleId="5">
    <w:name w:val="annotation text"/>
    <w:basedOn w:val="1"/>
    <w:semiHidden/>
    <w:qFormat/>
    <w:uiPriority w:val="0"/>
    <w:pPr>
      <w:jc w:val="left"/>
    </w:pPr>
  </w:style>
  <w:style w:type="paragraph" w:styleId="6">
    <w:name w:val="Body Text"/>
    <w:basedOn w:val="1"/>
    <w:next w:val="1"/>
    <w:qFormat/>
    <w:uiPriority w:val="1"/>
    <w:pPr>
      <w:ind w:left="109"/>
    </w:pPr>
    <w:rPr>
      <w:rFonts w:ascii="仿宋_GB2312" w:hAnsi="仿宋_GB2312" w:eastAsia="仿宋_GB2312" w:cs="仿宋_GB2312"/>
      <w:sz w:val="32"/>
      <w:szCs w:val="32"/>
      <w:lang w:val="zh-CN" w:bidi="zh-CN"/>
    </w:rPr>
  </w:style>
  <w:style w:type="paragraph" w:styleId="7">
    <w:name w:val="Block Text"/>
    <w:basedOn w:val="1"/>
    <w:next w:val="1"/>
    <w:qFormat/>
    <w:uiPriority w:val="0"/>
    <w:pPr>
      <w:spacing w:after="120"/>
      <w:ind w:left="700" w:leftChars="700" w:right="700" w:rightChars="700"/>
    </w:pPr>
  </w:style>
  <w:style w:type="paragraph" w:styleId="8">
    <w:name w:val="toc 3"/>
    <w:basedOn w:val="1"/>
    <w:next w:val="1"/>
    <w:qFormat/>
    <w:uiPriority w:val="0"/>
    <w:pPr>
      <w:ind w:left="840" w:leftChars="400"/>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index 9"/>
    <w:basedOn w:val="1"/>
    <w:next w:val="1"/>
    <w:qFormat/>
    <w:uiPriority w:val="0"/>
    <w:pPr>
      <w:ind w:left="1600" w:leftChars="1600"/>
    </w:pPr>
    <w:rPr>
      <w:rFonts w:ascii="Times New Roman" w:hAnsi="Times New Roman" w:eastAsia="宋体" w:cs="Times New Roman"/>
    </w:rPr>
  </w:style>
  <w:style w:type="paragraph" w:styleId="14">
    <w:name w:val="Normal (Web)"/>
    <w:basedOn w:val="1"/>
    <w:unhideWhenUsed/>
    <w:qFormat/>
    <w:uiPriority w:val="0"/>
    <w:pPr>
      <w:spacing w:before="100" w:beforeAutospacing="1" w:after="100" w:afterAutospacing="1"/>
      <w:ind w:right="238"/>
      <w:jc w:val="left"/>
    </w:pPr>
    <w:rPr>
      <w:b/>
      <w:kern w:val="0"/>
      <w:sz w:val="24"/>
      <w:szCs w:val="20"/>
    </w:rPr>
  </w:style>
  <w:style w:type="paragraph" w:styleId="15">
    <w:name w:val="Body Text First Indent 2"/>
    <w:basedOn w:val="3"/>
    <w:unhideWhenUsed/>
    <w:qFormat/>
    <w:uiPriority w:val="99"/>
    <w:pPr>
      <w:ind w:firstLine="420" w:firstLineChars="200"/>
    </w:pPr>
    <w:rPr>
      <w:szCs w:val="22"/>
    </w:rPr>
  </w:style>
  <w:style w:type="character" w:styleId="18">
    <w:name w:val="Strong"/>
    <w:qFormat/>
    <w:uiPriority w:val="0"/>
    <w:rPr>
      <w:b/>
    </w:rPr>
  </w:style>
  <w:style w:type="character" w:styleId="19">
    <w:name w:val="page number"/>
    <w:qFormat/>
    <w:uiPriority w:val="0"/>
  </w:style>
  <w:style w:type="character" w:styleId="20">
    <w:name w:val="annotation reference"/>
    <w:basedOn w:val="17"/>
    <w:semiHidden/>
    <w:qFormat/>
    <w:uiPriority w:val="0"/>
    <w:rPr>
      <w:sz w:val="21"/>
      <w:szCs w:val="21"/>
    </w:rPr>
  </w:style>
  <w:style w:type="character" w:customStyle="1" w:styleId="21">
    <w:name w:val="页脚 Char"/>
    <w:link w:val="11"/>
    <w:qFormat/>
    <w:uiPriority w:val="0"/>
    <w:rPr>
      <w:rFonts w:eastAsia="宋体"/>
      <w:kern w:val="2"/>
      <w:sz w:val="18"/>
      <w:szCs w:val="18"/>
      <w:lang w:val="en-US" w:eastAsia="zh-CN" w:bidi="ar-SA"/>
    </w:rPr>
  </w:style>
  <w:style w:type="character" w:customStyle="1" w:styleId="22">
    <w:name w:val="页眉 Char"/>
    <w:link w:val="12"/>
    <w:qFormat/>
    <w:uiPriority w:val="0"/>
    <w:rPr>
      <w:rFonts w:ascii="Calibri" w:hAnsi="Calibri" w:eastAsia="宋体"/>
      <w:kern w:val="2"/>
      <w:sz w:val="18"/>
      <w:szCs w:val="18"/>
      <w:lang w:val="en-US" w:eastAsia="zh-CN" w:bidi="ar-SA"/>
    </w:rPr>
  </w:style>
  <w:style w:type="paragraph" w:customStyle="1" w:styleId="23">
    <w:name w:val=" Char Char Char Char Char Char Char"/>
    <w:basedOn w:val="1"/>
    <w:qFormat/>
    <w:uiPriority w:val="0"/>
    <w:rPr>
      <w:rFonts w:ascii="Tahoma" w:hAnsi="Tahoma"/>
      <w:sz w:val="24"/>
      <w:szCs w:val="20"/>
    </w:rPr>
  </w:style>
  <w:style w:type="paragraph" w:customStyle="1" w:styleId="24">
    <w:name w:val="Char1 Char Char Char"/>
    <w:basedOn w:val="1"/>
    <w:qFormat/>
    <w:uiPriority w:val="0"/>
    <w:pPr>
      <w:widowControl/>
      <w:spacing w:after="160" w:line="240" w:lineRule="exact"/>
      <w:jc w:val="left"/>
    </w:pPr>
    <w:rPr>
      <w:szCs w:val="20"/>
    </w:rPr>
  </w:style>
  <w:style w:type="paragraph" w:customStyle="1" w:styleId="25">
    <w:name w:val="Char"/>
    <w:basedOn w:val="1"/>
    <w:qFormat/>
    <w:uiPriority w:val="0"/>
    <w:rPr>
      <w:rFonts w:ascii="Tahoma" w:hAnsi="Tahoma"/>
      <w:sz w:val="24"/>
      <w:szCs w:val="20"/>
    </w:rPr>
  </w:style>
  <w:style w:type="paragraph" w:customStyle="1" w:styleId="26">
    <w:name w:val="Char Char3 Char Char"/>
    <w:basedOn w:val="1"/>
    <w:qFormat/>
    <w:uiPriority w:val="0"/>
    <w:rPr>
      <w:szCs w:val="21"/>
    </w:rPr>
  </w:style>
  <w:style w:type="paragraph" w:customStyle="1" w:styleId="27">
    <w:name w:val="Body text|2"/>
    <w:basedOn w:val="1"/>
    <w:qFormat/>
    <w:uiPriority w:val="99"/>
    <w:pPr>
      <w:spacing w:before="100" w:after="580"/>
      <w:ind w:firstLine="540"/>
    </w:pPr>
    <w:rPr>
      <w:sz w:val="28"/>
      <w:szCs w:val="28"/>
    </w:rPr>
  </w:style>
  <w:style w:type="paragraph" w:customStyle="1" w:styleId="28">
    <w:name w:val="Heading #1|1"/>
    <w:basedOn w:val="1"/>
    <w:qFormat/>
    <w:uiPriority w:val="0"/>
    <w:pPr>
      <w:spacing w:after="120"/>
      <w:jc w:val="center"/>
      <w:outlineLvl w:val="0"/>
    </w:pPr>
    <w:rPr>
      <w:rFonts w:ascii="宋体" w:hAnsi="宋体" w:eastAsia="宋体" w:cs="宋体"/>
      <w:color w:val="auto"/>
      <w:kern w:val="2"/>
      <w:sz w:val="32"/>
      <w:szCs w:val="32"/>
      <w:lang w:val="zh-TW" w:eastAsia="zh-TW" w:bidi="zh-TW"/>
    </w:rPr>
  </w:style>
  <w:style w:type="paragraph" w:customStyle="1" w:styleId="29">
    <w:name w:val="Body text|1"/>
    <w:basedOn w:val="1"/>
    <w:qFormat/>
    <w:uiPriority w:val="0"/>
    <w:pPr>
      <w:spacing w:line="628" w:lineRule="exact"/>
      <w:ind w:left="1060" w:firstLine="640"/>
    </w:pPr>
    <w:rPr>
      <w:rFonts w:ascii="宋体" w:hAnsi="宋体" w:eastAsia="宋体" w:cs="宋体"/>
      <w:color w:val="auto"/>
      <w:kern w:val="2"/>
      <w:sz w:val="28"/>
      <w:szCs w:val="28"/>
      <w:lang w:val="zh-TW" w:eastAsia="zh-TW" w:bidi="zh-TW"/>
    </w:rPr>
  </w:style>
  <w:style w:type="paragraph" w:customStyle="1" w:styleId="30">
    <w:name w:val="Body text|3"/>
    <w:basedOn w:val="1"/>
    <w:qFormat/>
    <w:uiPriority w:val="0"/>
    <w:pPr>
      <w:spacing w:line="623" w:lineRule="exact"/>
      <w:ind w:left="1540"/>
    </w:pPr>
    <w:rPr>
      <w:rFonts w:ascii="宋体" w:hAnsi="宋体" w:eastAsia="宋体" w:cs="宋体"/>
      <w:color w:val="auto"/>
      <w:kern w:val="2"/>
      <w:sz w:val="32"/>
      <w:szCs w:val="32"/>
      <w:lang w:val="zh-TW" w:eastAsia="zh-TW" w:bidi="zh-TW"/>
    </w:rPr>
  </w:style>
  <w:style w:type="character" w:customStyle="1" w:styleId="31">
    <w:name w:val="font81"/>
    <w:basedOn w:val="17"/>
    <w:qFormat/>
    <w:uiPriority w:val="0"/>
    <w:rPr>
      <w:rFonts w:ascii="宋体" w:hAnsi="宋体" w:eastAsia="宋体" w:cs="宋体"/>
      <w:color w:val="000000"/>
      <w:sz w:val="20"/>
      <w:szCs w:val="20"/>
      <w:u w:val="none"/>
    </w:rPr>
  </w:style>
  <w:style w:type="paragraph" w:customStyle="1" w:styleId="32">
    <w:name w:val="正文2"/>
    <w:basedOn w:val="1"/>
    <w:next w:val="1"/>
    <w:qFormat/>
    <w:uiPriority w:val="99"/>
  </w:style>
  <w:style w:type="paragraph" w:customStyle="1" w:styleId="33">
    <w:name w:val="列出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bg1">
                  <a:lumMod val="50000"/>
                </a:schemeClr>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附属单位收入</c:v>
                </c:pt>
                <c:pt idx="5">
                  <c:v>其他收入</c:v>
                </c:pt>
              </c:strCache>
            </c:strRef>
          </c:cat>
          <c:val>
            <c:numRef>
              <c:f>Sheet1!$B$2:$B$7</c:f>
              <c:numCache>
                <c:formatCode>General</c:formatCode>
                <c:ptCount val="6"/>
                <c:pt idx="0">
                  <c:v>75</c:v>
                </c:pt>
                <c:pt idx="1">
                  <c:v>2</c:v>
                </c:pt>
                <c:pt idx="2">
                  <c:v>14</c:v>
                </c:pt>
                <c:pt idx="3">
                  <c:v>2</c:v>
                </c:pt>
                <c:pt idx="4">
                  <c:v>2</c:v>
                </c:pt>
                <c:pt idx="5">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bg1">
                    <a:lumMod val="50000"/>
                  </a:schemeClr>
                </a:solidFill>
                <a:latin typeface="+mn-lt"/>
                <a:ea typeface="+mn-ea"/>
                <a:cs typeface="+mn-cs"/>
              </a:defRPr>
            </a:pPr>
            <a:r>
              <a:rPr>
                <a:solidFill>
                  <a:schemeClr val="bg1">
                    <a:lumMod val="50000"/>
                  </a:schemeClr>
                </a:solidFill>
              </a:rPr>
              <a:t>支出决算</a:t>
            </a:r>
            <a:endParaRPr>
              <a:solidFill>
                <a:schemeClr val="bg1">
                  <a:lumMod val="50000"/>
                </a:schemeClr>
              </a:solidFill>
            </a:endParaRP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[新建Excel文档.xls]Sheet1!$C$28:$G$28</c:f>
              <c:strCache>
                <c:ptCount val="5"/>
                <c:pt idx="0">
                  <c:v>基本支出</c:v>
                </c:pt>
                <c:pt idx="1">
                  <c:v>项目支出</c:v>
                </c:pt>
                <c:pt idx="2">
                  <c:v>上缴上级支出</c:v>
                </c:pt>
                <c:pt idx="3">
                  <c:v>经营支出</c:v>
                </c:pt>
                <c:pt idx="4">
                  <c:v>对附属单位补助支出</c:v>
                </c:pt>
              </c:strCache>
            </c:strRef>
          </c:cat>
          <c:val>
            <c:numRef>
              <c:f>[新建Excel文档.xls]Sheet1!$C$29:$G$29</c:f>
              <c:numCache>
                <c:formatCode>General</c:formatCode>
                <c:ptCount val="5"/>
                <c:pt idx="0">
                  <c:v>43</c:v>
                </c:pt>
                <c:pt idx="1">
                  <c:v>51</c:v>
                </c:pt>
                <c:pt idx="2">
                  <c:v>2</c:v>
                </c:pt>
                <c:pt idx="3">
                  <c:v>3</c:v>
                </c:pt>
                <c:pt idx="4">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3815</Words>
  <Characters>6095</Characters>
  <Lines>77</Lines>
  <Paragraphs>21</Paragraphs>
  <TotalTime>1</TotalTime>
  <ScaleCrop>false</ScaleCrop>
  <LinksUpToDate>false</LinksUpToDate>
  <CharactersWithSpaces>6114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2017-07-12T07:16:00Z</dcterms:created>
  <dc:creator>常程</dc:creator>
  <cp:lastModifiedBy>user</cp:lastModifiedBy>
  <cp:lastPrinted>2020-08-08T03:39:00Z</cp:lastPrinted>
  <dcterms:modified xsi:type="dcterms:W3CDTF">2024-07-11T08:14:31Z</dcterms:modified>
  <dc:title>北京市财政局关于做好向市人大常委会报送2015年度市级部门决算（草案）</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C53E0049DD7D4F56A956C4A3BA3D12CC_13</vt:lpwstr>
  </property>
</Properties>
</file>