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val="en-US" w:eastAsia="zh-CN"/>
        </w:rPr>
      </w:pPr>
      <w:r>
        <w:rPr>
          <w:rFonts w:hint="eastAsia" w:ascii="黑体" w:eastAsia="黑体"/>
          <w:sz w:val="72"/>
          <w:szCs w:val="72"/>
          <w:lang w:val="en-US" w:eastAsia="zh-CN"/>
        </w:rPr>
        <w:t>北京市密云区密云水库综合执法大队</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tbl>
      <w:tblPr>
        <w:tblStyle w:val="11"/>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1216"/>
        <w:gridCol w:w="1"/>
        <w:gridCol w:w="1215"/>
        <w:gridCol w:w="1216"/>
        <w:gridCol w:w="2"/>
        <w:gridCol w:w="1214"/>
        <w:gridCol w:w="1216"/>
        <w:gridCol w:w="3"/>
        <w:gridCol w:w="1"/>
        <w:gridCol w:w="1212"/>
        <w:gridCol w:w="1216"/>
        <w:gridCol w:w="4"/>
        <w:gridCol w:w="1212"/>
        <w:gridCol w:w="1216"/>
        <w:gridCol w:w="5"/>
        <w:gridCol w:w="1211"/>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4600" w:type="dxa"/>
            <w:gridSpan w:val="18"/>
            <w:vAlign w:val="center"/>
          </w:tcPr>
          <w:p>
            <w:pPr>
              <w:widowControl/>
              <w:jc w:val="center"/>
              <w:textAlignment w:val="center"/>
              <w:rPr>
                <w:rFonts w:hint="eastAsia" w:ascii="宋体" w:hAnsi="宋体" w:eastAsia="宋体" w:cs="宋体"/>
                <w:i w:val="0"/>
                <w:color w:val="000000"/>
                <w:sz w:val="44"/>
                <w:szCs w:val="44"/>
                <w:u w:val="none"/>
              </w:rPr>
            </w:pPr>
            <w:r>
              <w:rPr>
                <w:rFonts w:hint="eastAsia" w:ascii="宋体" w:hAnsi="宋体" w:eastAsia="宋体" w:cs="宋体"/>
                <w:b/>
                <w:i w:val="0"/>
                <w:color w:val="000000"/>
                <w:kern w:val="0"/>
                <w:sz w:val="28"/>
                <w:szCs w:val="28"/>
                <w:u w:val="none"/>
                <w:lang w:val="en-US" w:eastAsia="zh-CN" w:bidi="ar-SA"/>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216" w:type="dxa"/>
            <w:vAlign w:val="center"/>
          </w:tcPr>
          <w:p>
            <w:pPr>
              <w:rPr>
                <w:rFonts w:hint="eastAsia" w:ascii="宋体" w:hAnsi="宋体" w:eastAsia="宋体" w:cs="宋体"/>
                <w:i w:val="0"/>
                <w:color w:val="000000"/>
                <w:sz w:val="20"/>
                <w:szCs w:val="20"/>
                <w:u w:val="none"/>
              </w:rPr>
            </w:pPr>
          </w:p>
        </w:tc>
        <w:tc>
          <w:tcPr>
            <w:tcW w:w="1216" w:type="dxa"/>
            <w:vAlign w:val="center"/>
          </w:tcPr>
          <w:p/>
        </w:tc>
        <w:tc>
          <w:tcPr>
            <w:tcW w:w="1216" w:type="dxa"/>
            <w:gridSpan w:val="2"/>
            <w:vAlign w:val="center"/>
          </w:tcPr>
          <w:p/>
        </w:tc>
        <w:tc>
          <w:tcPr>
            <w:tcW w:w="1216" w:type="dxa"/>
            <w:vAlign w:val="center"/>
          </w:tcPr>
          <w:p>
            <w:pPr>
              <w:rPr>
                <w:rFonts w:hint="eastAsia" w:ascii="宋体" w:hAnsi="宋体" w:eastAsia="宋体" w:cs="宋体"/>
                <w:i w:val="0"/>
                <w:color w:val="000000"/>
                <w:sz w:val="20"/>
                <w:szCs w:val="20"/>
                <w:u w:val="none"/>
              </w:rPr>
            </w:pPr>
          </w:p>
        </w:tc>
        <w:tc>
          <w:tcPr>
            <w:tcW w:w="1216" w:type="dxa"/>
            <w:gridSpan w:val="2"/>
            <w:vAlign w:val="center"/>
          </w:tcPr>
          <w:p>
            <w:pPr>
              <w:rPr>
                <w:rFonts w:hint="eastAsia" w:ascii="宋体" w:hAnsi="宋体" w:eastAsia="宋体" w:cs="宋体"/>
                <w:i w:val="0"/>
                <w:color w:val="000000"/>
                <w:sz w:val="20"/>
                <w:szCs w:val="20"/>
                <w:u w:val="none"/>
              </w:rPr>
            </w:pPr>
          </w:p>
        </w:tc>
        <w:tc>
          <w:tcPr>
            <w:tcW w:w="1216" w:type="dxa"/>
            <w:vAlign w:val="center"/>
          </w:tcPr>
          <w:p/>
        </w:tc>
        <w:tc>
          <w:tcPr>
            <w:tcW w:w="1216" w:type="dxa"/>
            <w:gridSpan w:val="3"/>
            <w:vAlign w:val="center"/>
          </w:tcPr>
          <w:p/>
        </w:tc>
        <w:tc>
          <w:tcPr>
            <w:tcW w:w="1216" w:type="dxa"/>
            <w:vAlign w:val="center"/>
          </w:tcPr>
          <w:p>
            <w:pPr>
              <w:rPr>
                <w:rFonts w:hint="eastAsia" w:ascii="宋体" w:hAnsi="宋体" w:eastAsia="宋体" w:cs="宋体"/>
                <w:i w:val="0"/>
                <w:color w:val="000000"/>
                <w:sz w:val="20"/>
                <w:szCs w:val="20"/>
                <w:u w:val="none"/>
              </w:rPr>
            </w:pPr>
          </w:p>
        </w:tc>
        <w:tc>
          <w:tcPr>
            <w:tcW w:w="1216" w:type="dxa"/>
            <w:gridSpan w:val="2"/>
            <w:vAlign w:val="center"/>
          </w:tcPr>
          <w:p/>
        </w:tc>
        <w:tc>
          <w:tcPr>
            <w:tcW w:w="1216" w:type="dxa"/>
            <w:vAlign w:val="center"/>
          </w:tcPr>
          <w:p/>
        </w:tc>
        <w:tc>
          <w:tcPr>
            <w:tcW w:w="1216" w:type="dxa"/>
            <w:gridSpan w:val="2"/>
            <w:vAlign w:val="center"/>
          </w:tcPr>
          <w:p>
            <w:pPr>
              <w:rPr>
                <w:rFonts w:hint="eastAsia" w:ascii="宋体" w:hAnsi="宋体" w:eastAsia="宋体" w:cs="宋体"/>
                <w:i w:val="0"/>
                <w:color w:val="000000"/>
                <w:sz w:val="20"/>
                <w:szCs w:val="20"/>
                <w:u w:val="none"/>
              </w:rPr>
            </w:pPr>
          </w:p>
        </w:tc>
        <w:tc>
          <w:tcPr>
            <w:tcW w:w="1224" w:type="dxa"/>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7300" w:type="dxa"/>
            <w:gridSpan w:val="10"/>
            <w:vAlign w:val="bottom"/>
          </w:tcPr>
          <w:p>
            <w:pPr>
              <w:widowControl/>
              <w:jc w:val="left"/>
              <w:textAlignment w:val="bottom"/>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7300" w:type="dxa"/>
            <w:gridSpan w:val="8"/>
            <w:vAlign w:val="bottom"/>
          </w:tcPr>
          <w:p>
            <w:pPr>
              <w:widowControl/>
              <w:jc w:val="center"/>
              <w:textAlignment w:val="bottom"/>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00" w:type="dxa"/>
            <w:gridSpan w:val="10"/>
            <w:tcBorders>
              <w:top w:val="single" w:color="000000" w:sz="12" w:space="0"/>
              <w:left w:val="single" w:color="000000" w:sz="12"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SA"/>
              </w:rPr>
              <w:t>收入</w:t>
            </w:r>
          </w:p>
        </w:tc>
        <w:tc>
          <w:tcPr>
            <w:tcW w:w="7300" w:type="dxa"/>
            <w:gridSpan w:val="8"/>
            <w:tcBorders>
              <w:top w:val="single" w:color="000000" w:sz="12" w:space="0"/>
              <w:left w:val="single" w:color="000000" w:sz="12"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SA"/>
              </w:rPr>
              <w:t>项目</w:t>
            </w:r>
          </w:p>
        </w:tc>
        <w:tc>
          <w:tcPr>
            <w:tcW w:w="2433" w:type="dxa"/>
            <w:gridSpan w:val="3"/>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SA"/>
              </w:rPr>
              <w:t>年初预算数</w:t>
            </w:r>
          </w:p>
        </w:tc>
        <w:tc>
          <w:tcPr>
            <w:tcW w:w="2433" w:type="dxa"/>
            <w:gridSpan w:val="3"/>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SA"/>
              </w:rPr>
              <w:t>决算数</w:t>
            </w:r>
          </w:p>
        </w:tc>
        <w:tc>
          <w:tcPr>
            <w:tcW w:w="2433" w:type="dxa"/>
            <w:gridSpan w:val="4"/>
            <w:tcBorders>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b/>
                <w:i w:val="0"/>
                <w:color w:val="000000"/>
                <w:kern w:val="0"/>
                <w:sz w:val="18"/>
                <w:szCs w:val="18"/>
                <w:u w:val="none"/>
                <w:lang w:val="en-US" w:eastAsia="zh-CN" w:bidi="ar-SA"/>
              </w:rPr>
              <w:t>项目（按功能分类）</w:t>
            </w:r>
          </w:p>
        </w:tc>
        <w:tc>
          <w:tcPr>
            <w:tcW w:w="2433" w:type="dxa"/>
            <w:gridSpan w:val="3"/>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SA"/>
              </w:rPr>
              <w:t>年初预算数</w:t>
            </w:r>
          </w:p>
        </w:tc>
        <w:tc>
          <w:tcPr>
            <w:tcW w:w="2435" w:type="dxa"/>
            <w:gridSpan w:val="2"/>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一、一般公共预算财政拨款收入</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6,545.896216</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6,108.100664</w:t>
            </w: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一、一般公共服务支出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1,204.427076</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1,364.191629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二、政府性基金预算财政拨款收入</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二、外交支出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三、国有资本经营预算财政拨款收入</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三、国防支出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四、上级补助收入</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四、公共安全支出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五、事业收入</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五、教育支出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六、经营收入</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六、科学技术支出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七、附属单位上缴收入</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七、文化旅游体育与传媒支出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八、其他收入</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八、社会保障和就业支出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195.676767</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197.491018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九、卫生健康支出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123.379893</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124.510315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十、节能环保支出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十一、城乡社区支出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十二、农林水支出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5,022.412480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11,325.591679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十三、交通运输支出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十四、资源勘探工业信息等支出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十五、商业服务业等支出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十六、金融支出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十七、援助其他地区支出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十八、自然资源海洋气象等支出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十九、住房保障支出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二十、粮油物资储备支出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二十一、国有资本经营预算支出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二十三、其他支出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二十四、债务还本支出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二十五、债务付息支出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2433" w:type="dxa"/>
            <w:gridSpan w:val="3"/>
            <w:tcBorders>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18"/>
                <w:szCs w:val="18"/>
                <w:u w:val="none"/>
                <w:lang w:val="en-US" w:eastAsia="zh-CN" w:bidi="ar-SA"/>
              </w:rPr>
              <w:t>本年收入合计</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6,545.896216</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6,108.100664</w:t>
            </w:r>
          </w:p>
        </w:tc>
        <w:tc>
          <w:tcPr>
            <w:tcW w:w="2433" w:type="dxa"/>
            <w:gridSpan w:val="4"/>
            <w:tcBorders>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本年支出合计</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18"/>
                <w:szCs w:val="18"/>
                <w:u w:val="none"/>
                <w:lang w:val="en-US" w:eastAsia="zh-CN" w:bidi="ar-SA"/>
              </w:rPr>
              <w:t>6,545.896216</w:t>
            </w:r>
          </w:p>
        </w:tc>
        <w:tc>
          <w:tcPr>
            <w:tcW w:w="243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13,011.784641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年初结转和结余</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803.129907</w:t>
            </w:r>
          </w:p>
        </w:tc>
        <w:tc>
          <w:tcPr>
            <w:tcW w:w="2433" w:type="dxa"/>
            <w:gridSpan w:val="3"/>
            <w:tcBorders>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7,706.813884</w:t>
            </w: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结余分配</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c>
          <w:tcPr>
            <w:tcW w:w="243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433" w:type="dxa"/>
            <w:gridSpan w:val="3"/>
            <w:tcBorders>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3" w:type="dxa"/>
            <w:gridSpan w:val="4"/>
            <w:tcBorders>
              <w:bottom w:val="single" w:color="000000" w:sz="4" w:space="0"/>
              <w:right w:val="single" w:color="000000" w:sz="4" w:space="0"/>
            </w:tcBorders>
            <w:shd w:val="clear" w:color="auto" w:fill="C0C0C0"/>
            <w:vAlign w:val="center"/>
          </w:tcPr>
          <w:p>
            <w:pPr>
              <w:widowControl/>
              <w:jc w:val="left"/>
              <w:textAlignment w:val="center"/>
            </w:pPr>
            <w:r>
              <w:rPr>
                <w:rFonts w:hint="eastAsia" w:ascii="宋体" w:hAnsi="宋体" w:eastAsia="宋体" w:cs="宋体"/>
                <w:i w:val="0"/>
                <w:color w:val="000000"/>
                <w:kern w:val="0"/>
                <w:sz w:val="18"/>
                <w:szCs w:val="18"/>
                <w:u w:val="none"/>
                <w:lang w:val="en-US" w:eastAsia="zh-CN" w:bidi="ar-SA"/>
              </w:rPr>
              <w:t>年末结转和结余</w:t>
            </w:r>
          </w:p>
        </w:tc>
        <w:tc>
          <w:tcPr>
            <w:tcW w:w="243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803.129907</w:t>
            </w:r>
          </w:p>
        </w:tc>
        <w:tc>
          <w:tcPr>
            <w:tcW w:w="2435" w:type="dxa"/>
            <w:gridSpan w:val="2"/>
            <w:tcBorders>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803.129907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433" w:type="dxa"/>
            <w:gridSpan w:val="3"/>
            <w:tcBorders>
              <w:left w:val="single" w:color="000000" w:sz="12" w:space="0"/>
              <w:bottom w:val="single" w:color="000000" w:sz="12"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18"/>
                <w:szCs w:val="18"/>
                <w:u w:val="none"/>
                <w:lang w:val="en-US" w:eastAsia="zh-CN" w:bidi="ar-SA"/>
              </w:rPr>
              <w:t>总计</w:t>
            </w:r>
          </w:p>
        </w:tc>
        <w:tc>
          <w:tcPr>
            <w:tcW w:w="2433" w:type="dxa"/>
            <w:gridSpan w:val="3"/>
            <w:tcBorders>
              <w:bottom w:val="single" w:color="000000" w:sz="12"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7,349.026123</w:t>
            </w:r>
          </w:p>
        </w:tc>
        <w:tc>
          <w:tcPr>
            <w:tcW w:w="2433" w:type="dxa"/>
            <w:gridSpan w:val="3"/>
            <w:tcBorders>
              <w:bottom w:val="single" w:color="000000" w:sz="12"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13,814.914548</w:t>
            </w:r>
          </w:p>
        </w:tc>
        <w:tc>
          <w:tcPr>
            <w:tcW w:w="2433" w:type="dxa"/>
            <w:gridSpan w:val="4"/>
            <w:tcBorders>
              <w:bottom w:val="single" w:color="000000" w:sz="12"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总计</w:t>
            </w:r>
          </w:p>
        </w:tc>
        <w:tc>
          <w:tcPr>
            <w:tcW w:w="2433" w:type="dxa"/>
            <w:gridSpan w:val="3"/>
            <w:tcBorders>
              <w:bottom w:val="single" w:color="000000" w:sz="12"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18"/>
                <w:szCs w:val="18"/>
                <w:u w:val="none"/>
                <w:lang w:val="en-US" w:eastAsia="zh-CN" w:bidi="ar-SA"/>
              </w:rPr>
              <w:t>7,349.026123</w:t>
            </w:r>
          </w:p>
        </w:tc>
        <w:tc>
          <w:tcPr>
            <w:tcW w:w="2435" w:type="dxa"/>
            <w:gridSpan w:val="2"/>
            <w:tcBorders>
              <w:bottom w:val="single" w:color="000000" w:sz="12" w:space="0"/>
              <w:right w:val="single" w:color="000000" w:sz="4" w:space="0"/>
            </w:tcBorders>
            <w:vAlign w:val="center"/>
          </w:tcPr>
          <w:p>
            <w:pPr>
              <w:widowControl/>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SA"/>
              </w:rPr>
              <w:t>13,814.914548</w:t>
            </w:r>
          </w:p>
        </w:tc>
      </w:tr>
    </w:tbl>
    <w:p>
      <w:pPr>
        <w:pStyle w:val="3"/>
        <w:rPr>
          <w:rFonts w:hint="eastAsia" w:eastAsia="仿宋_GB2312"/>
          <w:b w:val="0"/>
          <w:bCs w:val="0"/>
          <w:lang w:eastAsia="zh-CN"/>
        </w:rPr>
      </w:pPr>
      <w:r>
        <w:rPr>
          <w:rFonts w:hint="eastAsia" w:ascii="仿宋_GB2312" w:eastAsia="仿宋_GB2312"/>
          <w:sz w:val="28"/>
          <w:szCs w:val="28"/>
        </w:rPr>
        <w:t xml:space="preserve"> </w:t>
      </w:r>
    </w:p>
    <w:tbl>
      <w:tblPr>
        <w:tblStyle w:val="11"/>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0"/>
        <w:gridCol w:w="931"/>
        <w:gridCol w:w="932"/>
        <w:gridCol w:w="3418"/>
        <w:gridCol w:w="1677"/>
        <w:gridCol w:w="1241"/>
        <w:gridCol w:w="1474"/>
        <w:gridCol w:w="955"/>
        <w:gridCol w:w="955"/>
        <w:gridCol w:w="955"/>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535" w:type="dxa"/>
            <w:gridSpan w:val="11"/>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0" w:type="dxa"/>
            <w:shd w:val="clear" w:color="auto" w:fill="auto"/>
            <w:vAlign w:val="center"/>
          </w:tcPr>
          <w:p>
            <w:pPr>
              <w:rPr>
                <w:rFonts w:hint="eastAsia" w:ascii="宋体" w:hAnsi="宋体" w:eastAsia="宋体" w:cs="宋体"/>
                <w:i w:val="0"/>
                <w:color w:val="000000"/>
                <w:sz w:val="24"/>
                <w:szCs w:val="24"/>
                <w:u w:val="none"/>
              </w:rPr>
            </w:pPr>
          </w:p>
        </w:tc>
        <w:tc>
          <w:tcPr>
            <w:tcW w:w="931" w:type="dxa"/>
            <w:shd w:val="clear" w:color="auto" w:fill="auto"/>
            <w:vAlign w:val="center"/>
          </w:tcPr>
          <w:p>
            <w:pPr>
              <w:rPr>
                <w:rFonts w:hint="eastAsia" w:ascii="宋体" w:hAnsi="宋体" w:eastAsia="宋体" w:cs="宋体"/>
                <w:i w:val="0"/>
                <w:color w:val="000000"/>
                <w:sz w:val="24"/>
                <w:szCs w:val="24"/>
                <w:u w:val="none"/>
              </w:rPr>
            </w:pPr>
          </w:p>
        </w:tc>
        <w:tc>
          <w:tcPr>
            <w:tcW w:w="932" w:type="dxa"/>
            <w:shd w:val="clear" w:color="auto" w:fill="auto"/>
            <w:vAlign w:val="center"/>
          </w:tcPr>
          <w:p>
            <w:pPr>
              <w:rPr>
                <w:rFonts w:hint="eastAsia" w:ascii="宋体" w:hAnsi="宋体" w:eastAsia="宋体" w:cs="宋体"/>
                <w:i w:val="0"/>
                <w:color w:val="000000"/>
                <w:sz w:val="24"/>
                <w:szCs w:val="24"/>
                <w:u w:val="none"/>
              </w:rPr>
            </w:pPr>
          </w:p>
        </w:tc>
        <w:tc>
          <w:tcPr>
            <w:tcW w:w="3418" w:type="dxa"/>
            <w:shd w:val="clear" w:color="auto" w:fill="auto"/>
            <w:vAlign w:val="center"/>
          </w:tcPr>
          <w:p>
            <w:pPr>
              <w:rPr>
                <w:rFonts w:hint="eastAsia" w:ascii="宋体" w:hAnsi="宋体" w:eastAsia="宋体" w:cs="宋体"/>
                <w:i w:val="0"/>
                <w:color w:val="000000"/>
                <w:sz w:val="24"/>
                <w:szCs w:val="24"/>
                <w:u w:val="none"/>
              </w:rPr>
            </w:pPr>
          </w:p>
        </w:tc>
        <w:tc>
          <w:tcPr>
            <w:tcW w:w="1677" w:type="dxa"/>
            <w:shd w:val="clear" w:color="auto" w:fill="auto"/>
            <w:vAlign w:val="center"/>
          </w:tcPr>
          <w:p>
            <w:pPr>
              <w:rPr>
                <w:rFonts w:hint="eastAsia" w:ascii="宋体" w:hAnsi="宋体" w:eastAsia="宋体" w:cs="宋体"/>
                <w:i w:val="0"/>
                <w:color w:val="000000"/>
                <w:sz w:val="24"/>
                <w:szCs w:val="24"/>
                <w:u w:val="none"/>
              </w:rPr>
            </w:pPr>
          </w:p>
        </w:tc>
        <w:tc>
          <w:tcPr>
            <w:tcW w:w="1241" w:type="dxa"/>
            <w:shd w:val="clear" w:color="auto" w:fill="auto"/>
            <w:vAlign w:val="center"/>
          </w:tcPr>
          <w:p>
            <w:pPr>
              <w:rPr>
                <w:rFonts w:hint="eastAsia" w:ascii="宋体" w:hAnsi="宋体" w:eastAsia="宋体" w:cs="宋体"/>
                <w:i w:val="0"/>
                <w:color w:val="000000"/>
                <w:sz w:val="24"/>
                <w:szCs w:val="24"/>
                <w:u w:val="none"/>
              </w:rPr>
            </w:pPr>
          </w:p>
        </w:tc>
        <w:tc>
          <w:tcPr>
            <w:tcW w:w="1474" w:type="dxa"/>
            <w:shd w:val="clear" w:color="auto" w:fill="auto"/>
            <w:vAlign w:val="center"/>
          </w:tcPr>
          <w:p>
            <w:pPr>
              <w:rPr>
                <w:rFonts w:hint="eastAsia" w:ascii="宋体" w:hAnsi="宋体" w:eastAsia="宋体" w:cs="宋体"/>
                <w:i w:val="0"/>
                <w:color w:val="000000"/>
                <w:sz w:val="24"/>
                <w:szCs w:val="24"/>
                <w:u w:val="none"/>
              </w:rPr>
            </w:pPr>
          </w:p>
        </w:tc>
        <w:tc>
          <w:tcPr>
            <w:tcW w:w="955" w:type="dxa"/>
            <w:shd w:val="clear" w:color="auto" w:fill="auto"/>
            <w:vAlign w:val="center"/>
          </w:tcPr>
          <w:p>
            <w:pPr>
              <w:rPr>
                <w:rFonts w:hint="eastAsia" w:ascii="宋体" w:hAnsi="宋体" w:eastAsia="宋体" w:cs="宋体"/>
                <w:i w:val="0"/>
                <w:color w:val="000000"/>
                <w:sz w:val="24"/>
                <w:szCs w:val="24"/>
                <w:u w:val="none"/>
              </w:rPr>
            </w:pPr>
          </w:p>
        </w:tc>
        <w:tc>
          <w:tcPr>
            <w:tcW w:w="955" w:type="dxa"/>
            <w:shd w:val="clear" w:color="auto" w:fill="auto"/>
            <w:vAlign w:val="center"/>
          </w:tcPr>
          <w:p>
            <w:pPr>
              <w:rPr>
                <w:rFonts w:hint="eastAsia" w:ascii="宋体" w:hAnsi="宋体" w:eastAsia="宋体" w:cs="宋体"/>
                <w:i w:val="0"/>
                <w:color w:val="000000"/>
                <w:sz w:val="24"/>
                <w:szCs w:val="24"/>
                <w:u w:val="none"/>
              </w:rPr>
            </w:pPr>
          </w:p>
        </w:tc>
        <w:tc>
          <w:tcPr>
            <w:tcW w:w="955" w:type="dxa"/>
            <w:shd w:val="clear" w:color="auto" w:fill="auto"/>
            <w:vAlign w:val="center"/>
          </w:tcPr>
          <w:p>
            <w:pPr>
              <w:rPr>
                <w:rFonts w:hint="eastAsia" w:ascii="宋体" w:hAnsi="宋体" w:eastAsia="宋体" w:cs="宋体"/>
                <w:i w:val="0"/>
                <w:color w:val="000000"/>
                <w:sz w:val="24"/>
                <w:szCs w:val="24"/>
                <w:u w:val="none"/>
              </w:rPr>
            </w:pPr>
          </w:p>
        </w:tc>
        <w:tc>
          <w:tcPr>
            <w:tcW w:w="1657" w:type="dxa"/>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878" w:type="dxa"/>
            <w:gridSpan w:val="10"/>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1657"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62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本年收入合计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财政拨款收入</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上级补助收入</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事业收入</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经营收入</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附属单位上缴收入</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7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47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6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9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1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7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6,108.100664</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6,108.100664</w:t>
            </w:r>
          </w:p>
        </w:tc>
        <w:tc>
          <w:tcPr>
            <w:tcW w:w="147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1,343.933950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1,343.933950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20103</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政府办公厅（室）及相关机构事务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1,343.429350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1,343.429350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2010301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1,203.905941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1,203.905941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2010303</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30.431890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30.431890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2010350</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109.091519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109.091519</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0.504600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0.504600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2013105</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专项业务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0.504600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0.504600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2.333698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2.333698</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130.104880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130.104880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65.052440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65.052440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124.510315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124.510315</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4,442.165381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4,442.165381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21303</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水利</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4,442.165381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4,442.165381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2130309</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水利执法监督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194.246280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194.246280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2130311</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水资源节约管理与保护</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4,089.787677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4,089.787677</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2130314</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防汛</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100.000000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100.000000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2130399</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其他水利支出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58.131424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58.131424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11"/>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1"/>
        <w:gridCol w:w="1054"/>
        <w:gridCol w:w="422"/>
        <w:gridCol w:w="3759"/>
        <w:gridCol w:w="1964"/>
        <w:gridCol w:w="1479"/>
        <w:gridCol w:w="1599"/>
        <w:gridCol w:w="1684"/>
        <w:gridCol w:w="112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599" w:type="dxa"/>
            <w:gridSpan w:val="10"/>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91" w:type="dxa"/>
            <w:shd w:val="clear" w:color="auto" w:fill="auto"/>
            <w:vAlign w:val="center"/>
          </w:tcPr>
          <w:p>
            <w:pPr>
              <w:rPr>
                <w:rFonts w:hint="eastAsia" w:ascii="宋体" w:hAnsi="宋体" w:eastAsia="宋体" w:cs="宋体"/>
                <w:i w:val="0"/>
                <w:color w:val="000000"/>
                <w:sz w:val="24"/>
                <w:szCs w:val="24"/>
                <w:u w:val="none"/>
              </w:rPr>
            </w:pPr>
          </w:p>
        </w:tc>
        <w:tc>
          <w:tcPr>
            <w:tcW w:w="1054" w:type="dxa"/>
            <w:shd w:val="clear" w:color="auto" w:fill="auto"/>
            <w:vAlign w:val="center"/>
          </w:tcPr>
          <w:p>
            <w:pPr>
              <w:rPr>
                <w:rFonts w:hint="eastAsia" w:ascii="宋体" w:hAnsi="宋体" w:eastAsia="宋体" w:cs="宋体"/>
                <w:i w:val="0"/>
                <w:color w:val="000000"/>
                <w:sz w:val="24"/>
                <w:szCs w:val="24"/>
                <w:u w:val="none"/>
              </w:rPr>
            </w:pPr>
          </w:p>
        </w:tc>
        <w:tc>
          <w:tcPr>
            <w:tcW w:w="422" w:type="dxa"/>
            <w:shd w:val="clear" w:color="auto" w:fill="auto"/>
            <w:vAlign w:val="center"/>
          </w:tcPr>
          <w:p>
            <w:pPr>
              <w:rPr>
                <w:rFonts w:hint="eastAsia" w:ascii="宋体" w:hAnsi="宋体" w:eastAsia="宋体" w:cs="宋体"/>
                <w:i w:val="0"/>
                <w:color w:val="000000"/>
                <w:sz w:val="24"/>
                <w:szCs w:val="24"/>
                <w:u w:val="none"/>
              </w:rPr>
            </w:pPr>
          </w:p>
        </w:tc>
        <w:tc>
          <w:tcPr>
            <w:tcW w:w="3759" w:type="dxa"/>
            <w:shd w:val="clear" w:color="auto" w:fill="auto"/>
            <w:vAlign w:val="center"/>
          </w:tcPr>
          <w:p>
            <w:pPr>
              <w:rPr>
                <w:rFonts w:hint="eastAsia" w:ascii="宋体" w:hAnsi="宋体" w:eastAsia="宋体" w:cs="宋体"/>
                <w:i w:val="0"/>
                <w:color w:val="000000"/>
                <w:sz w:val="24"/>
                <w:szCs w:val="24"/>
                <w:u w:val="none"/>
              </w:rPr>
            </w:pPr>
          </w:p>
        </w:tc>
        <w:tc>
          <w:tcPr>
            <w:tcW w:w="1964" w:type="dxa"/>
            <w:shd w:val="clear" w:color="auto" w:fill="auto"/>
            <w:vAlign w:val="center"/>
          </w:tcPr>
          <w:p>
            <w:pPr>
              <w:rPr>
                <w:rFonts w:hint="eastAsia" w:ascii="宋体" w:hAnsi="宋体" w:eastAsia="宋体" w:cs="宋体"/>
                <w:i w:val="0"/>
                <w:color w:val="000000"/>
                <w:sz w:val="24"/>
                <w:szCs w:val="24"/>
                <w:u w:val="none"/>
              </w:rPr>
            </w:pPr>
          </w:p>
        </w:tc>
        <w:tc>
          <w:tcPr>
            <w:tcW w:w="1479" w:type="dxa"/>
            <w:shd w:val="clear" w:color="auto" w:fill="auto"/>
            <w:vAlign w:val="center"/>
          </w:tcPr>
          <w:p>
            <w:pPr>
              <w:rPr>
                <w:rFonts w:hint="eastAsia" w:ascii="宋体" w:hAnsi="宋体" w:eastAsia="宋体" w:cs="宋体"/>
                <w:i w:val="0"/>
                <w:color w:val="000000"/>
                <w:sz w:val="24"/>
                <w:szCs w:val="24"/>
                <w:u w:val="none"/>
              </w:rPr>
            </w:pPr>
          </w:p>
        </w:tc>
        <w:tc>
          <w:tcPr>
            <w:tcW w:w="1599" w:type="dxa"/>
            <w:shd w:val="clear" w:color="auto" w:fill="auto"/>
            <w:vAlign w:val="center"/>
          </w:tcPr>
          <w:p>
            <w:pPr>
              <w:rPr>
                <w:rFonts w:hint="eastAsia" w:ascii="宋体" w:hAnsi="宋体" w:eastAsia="宋体" w:cs="宋体"/>
                <w:i w:val="0"/>
                <w:color w:val="000000"/>
                <w:sz w:val="24"/>
                <w:szCs w:val="24"/>
                <w:u w:val="none"/>
              </w:rPr>
            </w:pPr>
          </w:p>
        </w:tc>
        <w:tc>
          <w:tcPr>
            <w:tcW w:w="1684" w:type="dxa"/>
            <w:shd w:val="clear" w:color="auto" w:fill="auto"/>
            <w:vAlign w:val="center"/>
          </w:tcPr>
          <w:p>
            <w:pPr>
              <w:rPr>
                <w:rFonts w:hint="eastAsia" w:ascii="宋体" w:hAnsi="宋体" w:eastAsia="宋体" w:cs="宋体"/>
                <w:i w:val="0"/>
                <w:color w:val="000000"/>
                <w:sz w:val="24"/>
                <w:szCs w:val="24"/>
                <w:u w:val="none"/>
              </w:rPr>
            </w:pPr>
          </w:p>
        </w:tc>
        <w:tc>
          <w:tcPr>
            <w:tcW w:w="1126" w:type="dxa"/>
            <w:shd w:val="clear" w:color="auto" w:fill="auto"/>
            <w:vAlign w:val="center"/>
          </w:tcPr>
          <w:p>
            <w:pPr>
              <w:rPr>
                <w:rFonts w:hint="eastAsia" w:ascii="宋体" w:hAnsi="宋体" w:eastAsia="宋体" w:cs="宋体"/>
                <w:i w:val="0"/>
                <w:color w:val="000000"/>
                <w:sz w:val="24"/>
                <w:szCs w:val="24"/>
                <w:u w:val="none"/>
              </w:rPr>
            </w:pPr>
          </w:p>
        </w:tc>
        <w:tc>
          <w:tcPr>
            <w:tcW w:w="1121" w:type="dxa"/>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478" w:type="dxa"/>
            <w:gridSpan w:val="9"/>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1121"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62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本年支出合计</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上缴上级支出</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经营支出</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7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7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96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6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9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0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4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7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96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13,011.784641</w:t>
            </w:r>
          </w:p>
        </w:tc>
        <w:tc>
          <w:tcPr>
            <w:tcW w:w="147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1,685.688362</w:t>
            </w:r>
          </w:p>
        </w:tc>
        <w:tc>
          <w:tcPr>
            <w:tcW w:w="15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11,326.096279</w:t>
            </w:r>
          </w:p>
        </w:tc>
        <w:tc>
          <w:tcPr>
            <w:tcW w:w="16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1,364.191629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1,363.687029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0.504600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20103</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政府办公厅（室）及相关机构事务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1,363.687029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1,363.687029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2010301</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1,203.905941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1,203.905941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2010303</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30.431890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30.431890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2010350</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129.349198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129.349198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0.504600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0.504600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2013105</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专项业务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0.504600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0.504600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2.333698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2.333698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130.104880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130.104880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65.052440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65.052440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124.510315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124.510315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11,325.591679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11,325.591679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21303</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水利</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11,325.591679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11,325.591679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2130309</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水利执法监督</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194.246280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194.246280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2130311</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水资源节约管理与保护</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4,114.585493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4,114.585493</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2130314</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防汛</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6,958.628482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6,958.628482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2130399</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其他水利支出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58.131424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58.131424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2"/>
        <w:rPr>
          <w:rFonts w:hint="eastAsia"/>
          <w:lang w:eastAsia="zh-CN"/>
        </w:rPr>
      </w:pPr>
    </w:p>
    <w:p>
      <w:pPr>
        <w:pStyle w:val="2"/>
        <w:rPr>
          <w:rFonts w:hint="eastAsia"/>
          <w:lang w:eastAsia="zh-CN"/>
        </w:rPr>
      </w:pPr>
    </w:p>
    <w:p>
      <w:pPr>
        <w:pStyle w:val="2"/>
        <w:rPr>
          <w:rFonts w:hint="eastAsia"/>
          <w:lang w:eastAsia="zh-CN"/>
        </w:rPr>
      </w:pPr>
    </w:p>
    <w:tbl>
      <w:tblPr>
        <w:tblStyle w:val="11"/>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5"/>
        <w:gridCol w:w="754"/>
        <w:gridCol w:w="755"/>
        <w:gridCol w:w="754"/>
        <w:gridCol w:w="1438"/>
        <w:gridCol w:w="1202"/>
        <w:gridCol w:w="754"/>
        <w:gridCol w:w="755"/>
        <w:gridCol w:w="754"/>
        <w:gridCol w:w="762"/>
        <w:gridCol w:w="1438"/>
        <w:gridCol w:w="1202"/>
        <w:gridCol w:w="821"/>
        <w:gridCol w:w="821"/>
        <w:gridCol w:w="821"/>
        <w:gridCol w:w="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600" w:type="dxa"/>
            <w:gridSpan w:val="16"/>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55" w:type="dxa"/>
            <w:shd w:val="clear" w:color="auto" w:fill="auto"/>
            <w:vAlign w:val="center"/>
          </w:tcPr>
          <w:p>
            <w:pPr>
              <w:rPr>
                <w:rFonts w:hint="eastAsia" w:ascii="宋体" w:hAnsi="宋体" w:eastAsia="宋体" w:cs="宋体"/>
                <w:i w:val="0"/>
                <w:color w:val="000000"/>
                <w:sz w:val="24"/>
                <w:szCs w:val="24"/>
                <w:u w:val="none"/>
              </w:rPr>
            </w:pPr>
          </w:p>
        </w:tc>
        <w:tc>
          <w:tcPr>
            <w:tcW w:w="754" w:type="dxa"/>
            <w:shd w:val="clear" w:color="auto" w:fill="auto"/>
            <w:vAlign w:val="center"/>
          </w:tcPr>
          <w:p>
            <w:pPr>
              <w:rPr>
                <w:rFonts w:hint="eastAsia" w:ascii="宋体" w:hAnsi="宋体" w:eastAsia="宋体" w:cs="宋体"/>
                <w:i w:val="0"/>
                <w:color w:val="000000"/>
                <w:sz w:val="24"/>
                <w:szCs w:val="24"/>
                <w:u w:val="none"/>
              </w:rPr>
            </w:pPr>
          </w:p>
        </w:tc>
        <w:tc>
          <w:tcPr>
            <w:tcW w:w="755" w:type="dxa"/>
            <w:shd w:val="clear" w:color="auto" w:fill="auto"/>
            <w:vAlign w:val="center"/>
          </w:tcPr>
          <w:p>
            <w:pPr>
              <w:rPr>
                <w:rFonts w:hint="eastAsia" w:ascii="宋体" w:hAnsi="宋体" w:eastAsia="宋体" w:cs="宋体"/>
                <w:i w:val="0"/>
                <w:color w:val="000000"/>
                <w:sz w:val="24"/>
                <w:szCs w:val="24"/>
                <w:u w:val="none"/>
              </w:rPr>
            </w:pPr>
          </w:p>
        </w:tc>
        <w:tc>
          <w:tcPr>
            <w:tcW w:w="754" w:type="dxa"/>
            <w:shd w:val="clear" w:color="auto" w:fill="auto"/>
            <w:vAlign w:val="center"/>
          </w:tcPr>
          <w:p>
            <w:pPr>
              <w:rPr>
                <w:rFonts w:hint="eastAsia" w:ascii="宋体" w:hAnsi="宋体" w:eastAsia="宋体" w:cs="宋体"/>
                <w:i w:val="0"/>
                <w:color w:val="000000"/>
                <w:sz w:val="24"/>
                <w:szCs w:val="24"/>
                <w:u w:val="none"/>
              </w:rPr>
            </w:pPr>
          </w:p>
        </w:tc>
        <w:tc>
          <w:tcPr>
            <w:tcW w:w="1438" w:type="dxa"/>
            <w:shd w:val="clear" w:color="auto" w:fill="auto"/>
            <w:vAlign w:val="center"/>
          </w:tcPr>
          <w:p>
            <w:pPr>
              <w:rPr>
                <w:rFonts w:hint="eastAsia" w:ascii="宋体" w:hAnsi="宋体" w:eastAsia="宋体" w:cs="宋体"/>
                <w:i w:val="0"/>
                <w:color w:val="000000"/>
                <w:sz w:val="24"/>
                <w:szCs w:val="24"/>
                <w:u w:val="none"/>
              </w:rPr>
            </w:pPr>
          </w:p>
        </w:tc>
        <w:tc>
          <w:tcPr>
            <w:tcW w:w="1202" w:type="dxa"/>
            <w:shd w:val="clear" w:color="auto" w:fill="auto"/>
            <w:vAlign w:val="center"/>
          </w:tcPr>
          <w:p>
            <w:pPr>
              <w:rPr>
                <w:rFonts w:hint="eastAsia" w:ascii="宋体" w:hAnsi="宋体" w:eastAsia="宋体" w:cs="宋体"/>
                <w:i w:val="0"/>
                <w:color w:val="000000"/>
                <w:sz w:val="24"/>
                <w:szCs w:val="24"/>
                <w:u w:val="none"/>
              </w:rPr>
            </w:pPr>
          </w:p>
        </w:tc>
        <w:tc>
          <w:tcPr>
            <w:tcW w:w="754" w:type="dxa"/>
            <w:shd w:val="clear" w:color="auto" w:fill="auto"/>
            <w:vAlign w:val="center"/>
          </w:tcPr>
          <w:p>
            <w:pPr>
              <w:rPr>
                <w:rFonts w:hint="eastAsia" w:ascii="宋体" w:hAnsi="宋体" w:eastAsia="宋体" w:cs="宋体"/>
                <w:i w:val="0"/>
                <w:color w:val="000000"/>
                <w:sz w:val="24"/>
                <w:szCs w:val="24"/>
                <w:u w:val="none"/>
              </w:rPr>
            </w:pPr>
          </w:p>
        </w:tc>
        <w:tc>
          <w:tcPr>
            <w:tcW w:w="755" w:type="dxa"/>
            <w:shd w:val="clear" w:color="auto" w:fill="auto"/>
            <w:vAlign w:val="center"/>
          </w:tcPr>
          <w:p>
            <w:pPr>
              <w:rPr>
                <w:rFonts w:hint="eastAsia" w:ascii="宋体" w:hAnsi="宋体" w:eastAsia="宋体" w:cs="宋体"/>
                <w:i w:val="0"/>
                <w:color w:val="000000"/>
                <w:sz w:val="24"/>
                <w:szCs w:val="24"/>
                <w:u w:val="none"/>
              </w:rPr>
            </w:pPr>
          </w:p>
        </w:tc>
        <w:tc>
          <w:tcPr>
            <w:tcW w:w="754" w:type="dxa"/>
            <w:shd w:val="clear" w:color="auto" w:fill="auto"/>
            <w:vAlign w:val="center"/>
          </w:tcPr>
          <w:p>
            <w:pPr>
              <w:rPr>
                <w:rFonts w:hint="eastAsia" w:ascii="宋体" w:hAnsi="宋体" w:eastAsia="宋体" w:cs="宋体"/>
                <w:i w:val="0"/>
                <w:color w:val="000000"/>
                <w:sz w:val="24"/>
                <w:szCs w:val="24"/>
                <w:u w:val="none"/>
              </w:rPr>
            </w:pPr>
          </w:p>
        </w:tc>
        <w:tc>
          <w:tcPr>
            <w:tcW w:w="762" w:type="dxa"/>
            <w:shd w:val="clear" w:color="auto" w:fill="auto"/>
            <w:vAlign w:val="center"/>
          </w:tcPr>
          <w:p>
            <w:pPr>
              <w:rPr>
                <w:rFonts w:hint="eastAsia" w:ascii="宋体" w:hAnsi="宋体" w:eastAsia="宋体" w:cs="宋体"/>
                <w:i w:val="0"/>
                <w:color w:val="000000"/>
                <w:sz w:val="24"/>
                <w:szCs w:val="24"/>
                <w:u w:val="none"/>
              </w:rPr>
            </w:pPr>
          </w:p>
        </w:tc>
        <w:tc>
          <w:tcPr>
            <w:tcW w:w="1438" w:type="dxa"/>
            <w:shd w:val="clear" w:color="auto" w:fill="auto"/>
            <w:vAlign w:val="center"/>
          </w:tcPr>
          <w:p>
            <w:pPr>
              <w:rPr>
                <w:rFonts w:hint="eastAsia" w:ascii="宋体" w:hAnsi="宋体" w:eastAsia="宋体" w:cs="宋体"/>
                <w:i w:val="0"/>
                <w:color w:val="000000"/>
                <w:sz w:val="24"/>
                <w:szCs w:val="24"/>
                <w:u w:val="none"/>
              </w:rPr>
            </w:pPr>
          </w:p>
        </w:tc>
        <w:tc>
          <w:tcPr>
            <w:tcW w:w="1202" w:type="dxa"/>
            <w:shd w:val="clear" w:color="auto" w:fill="auto"/>
            <w:vAlign w:val="center"/>
          </w:tcPr>
          <w:p>
            <w:pPr>
              <w:rPr>
                <w:rFonts w:hint="eastAsia" w:ascii="宋体" w:hAnsi="宋体" w:eastAsia="宋体" w:cs="宋体"/>
                <w:i w:val="0"/>
                <w:color w:val="000000"/>
                <w:sz w:val="24"/>
                <w:szCs w:val="24"/>
                <w:u w:val="none"/>
              </w:rPr>
            </w:pPr>
          </w:p>
        </w:tc>
        <w:tc>
          <w:tcPr>
            <w:tcW w:w="821" w:type="dxa"/>
            <w:shd w:val="clear" w:color="auto" w:fill="auto"/>
            <w:vAlign w:val="center"/>
          </w:tcPr>
          <w:p>
            <w:pPr>
              <w:rPr>
                <w:rFonts w:hint="eastAsia" w:ascii="宋体" w:hAnsi="宋体" w:eastAsia="宋体" w:cs="宋体"/>
                <w:i w:val="0"/>
                <w:color w:val="000000"/>
                <w:sz w:val="24"/>
                <w:szCs w:val="24"/>
                <w:u w:val="none"/>
              </w:rPr>
            </w:pPr>
          </w:p>
        </w:tc>
        <w:tc>
          <w:tcPr>
            <w:tcW w:w="821" w:type="dxa"/>
            <w:shd w:val="clear" w:color="auto" w:fill="auto"/>
            <w:vAlign w:val="center"/>
          </w:tcPr>
          <w:p>
            <w:pPr>
              <w:rPr>
                <w:rFonts w:hint="eastAsia" w:ascii="宋体" w:hAnsi="宋体" w:eastAsia="宋体" w:cs="宋体"/>
                <w:i w:val="0"/>
                <w:color w:val="000000"/>
                <w:sz w:val="24"/>
                <w:szCs w:val="24"/>
                <w:u w:val="none"/>
              </w:rPr>
            </w:pPr>
          </w:p>
        </w:tc>
        <w:tc>
          <w:tcPr>
            <w:tcW w:w="821" w:type="dxa"/>
            <w:shd w:val="clear" w:color="auto" w:fill="auto"/>
            <w:vAlign w:val="center"/>
          </w:tcPr>
          <w:p>
            <w:pPr>
              <w:rPr>
                <w:rFonts w:hint="eastAsia" w:ascii="宋体" w:hAnsi="宋体" w:eastAsia="宋体" w:cs="宋体"/>
                <w:i w:val="0"/>
                <w:color w:val="000000"/>
                <w:sz w:val="24"/>
                <w:szCs w:val="24"/>
                <w:u w:val="none"/>
              </w:rPr>
            </w:pPr>
          </w:p>
        </w:tc>
        <w:tc>
          <w:tcPr>
            <w:tcW w:w="814" w:type="dxa"/>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786" w:type="dxa"/>
            <w:gridSpan w:val="15"/>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814"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658"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8942" w:type="dxa"/>
            <w:gridSpan w:val="10"/>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3025"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一般公共预算财政拨款</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政府性基金预算财政拨款</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025"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0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8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8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82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8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6,545.896216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6,108.100664</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1,204.427076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1,364.191629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195.676767</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197.491018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123.379893</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124.510315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5,022.412480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11,325.591679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6,545.896216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6,108.100664</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6,545.896216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13,011.784641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年初财政拨款结转和结余</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6,903.683977</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年末财政拨款结转和结余</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6,903.683977</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0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6,545.896216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13,011.784641</w:t>
            </w:r>
          </w:p>
        </w:tc>
        <w:tc>
          <w:tcPr>
            <w:tcW w:w="302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6,545.896216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13,011.784641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755" w:type="dxa"/>
            <w:shd w:val="clear" w:color="auto" w:fill="auto"/>
            <w:vAlign w:val="center"/>
          </w:tcPr>
          <w:p>
            <w:pPr>
              <w:rPr>
                <w:rFonts w:hint="eastAsia" w:ascii="宋体" w:hAnsi="宋体" w:eastAsia="宋体" w:cs="宋体"/>
                <w:i w:val="0"/>
                <w:color w:val="000000"/>
                <w:sz w:val="24"/>
                <w:szCs w:val="24"/>
                <w:u w:val="none"/>
              </w:rPr>
            </w:pPr>
          </w:p>
        </w:tc>
        <w:tc>
          <w:tcPr>
            <w:tcW w:w="754" w:type="dxa"/>
            <w:shd w:val="clear" w:color="auto" w:fill="auto"/>
            <w:vAlign w:val="center"/>
          </w:tcPr>
          <w:p>
            <w:pPr>
              <w:rPr>
                <w:rFonts w:hint="eastAsia" w:ascii="宋体" w:hAnsi="宋体" w:eastAsia="宋体" w:cs="宋体"/>
                <w:i w:val="0"/>
                <w:color w:val="000000"/>
                <w:sz w:val="24"/>
                <w:szCs w:val="24"/>
                <w:u w:val="none"/>
              </w:rPr>
            </w:pPr>
          </w:p>
        </w:tc>
        <w:tc>
          <w:tcPr>
            <w:tcW w:w="755" w:type="dxa"/>
            <w:shd w:val="clear" w:color="auto" w:fill="auto"/>
            <w:vAlign w:val="center"/>
          </w:tcPr>
          <w:p>
            <w:pPr>
              <w:rPr>
                <w:rFonts w:hint="eastAsia" w:ascii="宋体" w:hAnsi="宋体" w:eastAsia="宋体" w:cs="宋体"/>
                <w:i w:val="0"/>
                <w:color w:val="000000"/>
                <w:sz w:val="24"/>
                <w:szCs w:val="24"/>
                <w:u w:val="none"/>
              </w:rPr>
            </w:pPr>
          </w:p>
        </w:tc>
        <w:tc>
          <w:tcPr>
            <w:tcW w:w="754" w:type="dxa"/>
            <w:shd w:val="clear" w:color="auto" w:fill="auto"/>
            <w:vAlign w:val="center"/>
          </w:tcPr>
          <w:p>
            <w:pPr>
              <w:rPr>
                <w:rFonts w:hint="eastAsia" w:ascii="宋体" w:hAnsi="宋体" w:eastAsia="宋体" w:cs="宋体"/>
                <w:i w:val="0"/>
                <w:color w:val="000000"/>
                <w:sz w:val="24"/>
                <w:szCs w:val="24"/>
                <w:u w:val="none"/>
              </w:rPr>
            </w:pPr>
          </w:p>
        </w:tc>
        <w:tc>
          <w:tcPr>
            <w:tcW w:w="1438" w:type="dxa"/>
            <w:shd w:val="clear" w:color="auto" w:fill="auto"/>
            <w:vAlign w:val="center"/>
          </w:tcPr>
          <w:p>
            <w:pPr>
              <w:rPr>
                <w:rFonts w:hint="eastAsia" w:ascii="宋体" w:hAnsi="宋体" w:eastAsia="宋体" w:cs="宋体"/>
                <w:i w:val="0"/>
                <w:color w:val="000000"/>
                <w:sz w:val="24"/>
                <w:szCs w:val="24"/>
                <w:u w:val="none"/>
              </w:rPr>
            </w:pPr>
          </w:p>
        </w:tc>
        <w:tc>
          <w:tcPr>
            <w:tcW w:w="1202" w:type="dxa"/>
            <w:shd w:val="clear" w:color="auto" w:fill="auto"/>
            <w:vAlign w:val="center"/>
          </w:tcPr>
          <w:p>
            <w:pPr>
              <w:rPr>
                <w:rFonts w:hint="eastAsia" w:ascii="宋体" w:hAnsi="宋体" w:eastAsia="宋体" w:cs="宋体"/>
                <w:i w:val="0"/>
                <w:color w:val="000000"/>
                <w:sz w:val="24"/>
                <w:szCs w:val="24"/>
                <w:u w:val="none"/>
              </w:rPr>
            </w:pPr>
          </w:p>
        </w:tc>
        <w:tc>
          <w:tcPr>
            <w:tcW w:w="754" w:type="dxa"/>
            <w:shd w:val="clear" w:color="auto" w:fill="auto"/>
            <w:vAlign w:val="center"/>
          </w:tcPr>
          <w:p>
            <w:pPr>
              <w:rPr>
                <w:rFonts w:hint="eastAsia" w:ascii="宋体" w:hAnsi="宋体" w:eastAsia="宋体" w:cs="宋体"/>
                <w:i w:val="0"/>
                <w:color w:val="000000"/>
                <w:sz w:val="24"/>
                <w:szCs w:val="24"/>
                <w:u w:val="none"/>
              </w:rPr>
            </w:pPr>
          </w:p>
        </w:tc>
        <w:tc>
          <w:tcPr>
            <w:tcW w:w="755" w:type="dxa"/>
            <w:shd w:val="clear" w:color="auto" w:fill="auto"/>
            <w:vAlign w:val="center"/>
          </w:tcPr>
          <w:p>
            <w:pPr>
              <w:rPr>
                <w:rFonts w:hint="eastAsia" w:ascii="宋体" w:hAnsi="宋体" w:eastAsia="宋体" w:cs="宋体"/>
                <w:i w:val="0"/>
                <w:color w:val="000000"/>
                <w:sz w:val="24"/>
                <w:szCs w:val="24"/>
                <w:u w:val="none"/>
              </w:rPr>
            </w:pPr>
          </w:p>
        </w:tc>
        <w:tc>
          <w:tcPr>
            <w:tcW w:w="754" w:type="dxa"/>
            <w:shd w:val="clear" w:color="auto" w:fill="auto"/>
            <w:vAlign w:val="center"/>
          </w:tcPr>
          <w:p>
            <w:pPr>
              <w:rPr>
                <w:rFonts w:hint="eastAsia" w:ascii="宋体" w:hAnsi="宋体" w:eastAsia="宋体" w:cs="宋体"/>
                <w:i w:val="0"/>
                <w:color w:val="000000"/>
                <w:sz w:val="24"/>
                <w:szCs w:val="24"/>
                <w:u w:val="none"/>
              </w:rPr>
            </w:pPr>
          </w:p>
        </w:tc>
        <w:tc>
          <w:tcPr>
            <w:tcW w:w="762" w:type="dxa"/>
            <w:shd w:val="clear" w:color="auto" w:fill="auto"/>
            <w:vAlign w:val="center"/>
          </w:tcPr>
          <w:p>
            <w:pPr>
              <w:rPr>
                <w:rFonts w:hint="eastAsia" w:ascii="宋体" w:hAnsi="宋体" w:eastAsia="宋体" w:cs="宋体"/>
                <w:i w:val="0"/>
                <w:color w:val="000000"/>
                <w:sz w:val="24"/>
                <w:szCs w:val="24"/>
                <w:u w:val="none"/>
              </w:rPr>
            </w:pPr>
          </w:p>
        </w:tc>
        <w:tc>
          <w:tcPr>
            <w:tcW w:w="1438" w:type="dxa"/>
            <w:shd w:val="clear" w:color="auto" w:fill="auto"/>
            <w:vAlign w:val="center"/>
          </w:tcPr>
          <w:p>
            <w:pPr>
              <w:rPr>
                <w:rFonts w:hint="eastAsia" w:ascii="宋体" w:hAnsi="宋体" w:eastAsia="宋体" w:cs="宋体"/>
                <w:i w:val="0"/>
                <w:color w:val="000000"/>
                <w:sz w:val="24"/>
                <w:szCs w:val="24"/>
                <w:u w:val="none"/>
              </w:rPr>
            </w:pPr>
          </w:p>
        </w:tc>
        <w:tc>
          <w:tcPr>
            <w:tcW w:w="1202" w:type="dxa"/>
            <w:shd w:val="clear" w:color="auto" w:fill="auto"/>
            <w:vAlign w:val="center"/>
          </w:tcPr>
          <w:p>
            <w:pPr>
              <w:rPr>
                <w:rFonts w:hint="eastAsia" w:ascii="宋体" w:hAnsi="宋体" w:eastAsia="宋体" w:cs="宋体"/>
                <w:i w:val="0"/>
                <w:color w:val="000000"/>
                <w:sz w:val="24"/>
                <w:szCs w:val="24"/>
                <w:u w:val="none"/>
              </w:rPr>
            </w:pPr>
          </w:p>
        </w:tc>
        <w:tc>
          <w:tcPr>
            <w:tcW w:w="821" w:type="dxa"/>
            <w:shd w:val="clear" w:color="auto" w:fill="auto"/>
            <w:vAlign w:val="center"/>
          </w:tcPr>
          <w:p>
            <w:pPr>
              <w:rPr>
                <w:rFonts w:hint="eastAsia" w:ascii="宋体" w:hAnsi="宋体" w:eastAsia="宋体" w:cs="宋体"/>
                <w:i w:val="0"/>
                <w:color w:val="000000"/>
                <w:sz w:val="24"/>
                <w:szCs w:val="24"/>
                <w:u w:val="none"/>
              </w:rPr>
            </w:pPr>
          </w:p>
        </w:tc>
        <w:tc>
          <w:tcPr>
            <w:tcW w:w="821" w:type="dxa"/>
            <w:shd w:val="clear" w:color="auto" w:fill="auto"/>
            <w:vAlign w:val="center"/>
          </w:tcPr>
          <w:p>
            <w:pPr>
              <w:rPr>
                <w:rFonts w:hint="eastAsia" w:ascii="宋体" w:hAnsi="宋体" w:eastAsia="宋体" w:cs="宋体"/>
                <w:i w:val="0"/>
                <w:color w:val="000000"/>
                <w:sz w:val="24"/>
                <w:szCs w:val="24"/>
                <w:u w:val="none"/>
              </w:rPr>
            </w:pPr>
          </w:p>
        </w:tc>
        <w:tc>
          <w:tcPr>
            <w:tcW w:w="821" w:type="dxa"/>
            <w:shd w:val="clear" w:color="auto" w:fill="auto"/>
            <w:vAlign w:val="center"/>
          </w:tcPr>
          <w:p>
            <w:pPr>
              <w:rPr>
                <w:rFonts w:hint="eastAsia" w:ascii="宋体" w:hAnsi="宋体" w:eastAsia="宋体" w:cs="宋体"/>
                <w:i w:val="0"/>
                <w:color w:val="000000"/>
                <w:sz w:val="24"/>
                <w:szCs w:val="24"/>
                <w:u w:val="none"/>
              </w:rPr>
            </w:pPr>
          </w:p>
        </w:tc>
        <w:tc>
          <w:tcPr>
            <w:tcW w:w="814" w:type="dxa"/>
            <w:shd w:val="clear" w:color="auto" w:fill="auto"/>
            <w:vAlign w:val="center"/>
          </w:tcPr>
          <w:p>
            <w:pPr>
              <w:rPr>
                <w:rFonts w:hint="eastAsia" w:ascii="宋体" w:hAnsi="宋体" w:eastAsia="宋体" w:cs="宋体"/>
                <w:i w:val="0"/>
                <w:color w:val="000000"/>
                <w:sz w:val="24"/>
                <w:szCs w:val="24"/>
                <w:u w:val="none"/>
              </w:rPr>
            </w:pP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11"/>
        <w:tblW w:w="14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4"/>
        <w:gridCol w:w="331"/>
        <w:gridCol w:w="344"/>
        <w:gridCol w:w="2811"/>
        <w:gridCol w:w="1401"/>
        <w:gridCol w:w="1549"/>
        <w:gridCol w:w="1342"/>
        <w:gridCol w:w="1241"/>
        <w:gridCol w:w="1342"/>
        <w:gridCol w:w="1590"/>
        <w:gridCol w:w="906"/>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550" w:type="dxa"/>
            <w:gridSpan w:val="12"/>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shd w:val="clear" w:color="auto" w:fill="auto"/>
            <w:vAlign w:val="center"/>
          </w:tcPr>
          <w:p>
            <w:pPr>
              <w:rPr>
                <w:rFonts w:hint="eastAsia" w:ascii="宋体" w:hAnsi="宋体" w:eastAsia="宋体" w:cs="宋体"/>
                <w:i w:val="0"/>
                <w:color w:val="000000"/>
                <w:sz w:val="24"/>
                <w:szCs w:val="24"/>
                <w:u w:val="none"/>
              </w:rPr>
            </w:pPr>
          </w:p>
        </w:tc>
        <w:tc>
          <w:tcPr>
            <w:tcW w:w="331" w:type="dxa"/>
            <w:shd w:val="clear" w:color="auto" w:fill="auto"/>
            <w:vAlign w:val="center"/>
          </w:tcPr>
          <w:p>
            <w:pPr>
              <w:rPr>
                <w:rFonts w:hint="eastAsia" w:ascii="宋体" w:hAnsi="宋体" w:eastAsia="宋体" w:cs="宋体"/>
                <w:i w:val="0"/>
                <w:color w:val="000000"/>
                <w:sz w:val="24"/>
                <w:szCs w:val="24"/>
                <w:u w:val="none"/>
              </w:rPr>
            </w:pPr>
          </w:p>
        </w:tc>
        <w:tc>
          <w:tcPr>
            <w:tcW w:w="344" w:type="dxa"/>
            <w:shd w:val="clear" w:color="auto" w:fill="auto"/>
            <w:vAlign w:val="center"/>
          </w:tcPr>
          <w:p>
            <w:pPr>
              <w:rPr>
                <w:rFonts w:hint="eastAsia" w:ascii="宋体" w:hAnsi="宋体" w:eastAsia="宋体" w:cs="宋体"/>
                <w:i w:val="0"/>
                <w:color w:val="000000"/>
                <w:sz w:val="24"/>
                <w:szCs w:val="24"/>
                <w:u w:val="none"/>
              </w:rPr>
            </w:pPr>
          </w:p>
        </w:tc>
        <w:tc>
          <w:tcPr>
            <w:tcW w:w="2811" w:type="dxa"/>
            <w:shd w:val="clear" w:color="auto" w:fill="auto"/>
            <w:vAlign w:val="center"/>
          </w:tcPr>
          <w:p>
            <w:pPr>
              <w:rPr>
                <w:rFonts w:hint="eastAsia" w:ascii="宋体" w:hAnsi="宋体" w:eastAsia="宋体" w:cs="宋体"/>
                <w:i w:val="0"/>
                <w:color w:val="000000"/>
                <w:sz w:val="24"/>
                <w:szCs w:val="24"/>
                <w:u w:val="none"/>
              </w:rPr>
            </w:pPr>
          </w:p>
        </w:tc>
        <w:tc>
          <w:tcPr>
            <w:tcW w:w="1401" w:type="dxa"/>
            <w:shd w:val="clear" w:color="auto" w:fill="auto"/>
            <w:vAlign w:val="center"/>
          </w:tcPr>
          <w:p>
            <w:pPr>
              <w:rPr>
                <w:rFonts w:hint="eastAsia" w:ascii="宋体" w:hAnsi="宋体" w:eastAsia="宋体" w:cs="宋体"/>
                <w:i w:val="0"/>
                <w:color w:val="000000"/>
                <w:sz w:val="24"/>
                <w:szCs w:val="24"/>
                <w:u w:val="none"/>
              </w:rPr>
            </w:pPr>
          </w:p>
        </w:tc>
        <w:tc>
          <w:tcPr>
            <w:tcW w:w="1549" w:type="dxa"/>
            <w:shd w:val="clear" w:color="auto" w:fill="auto"/>
            <w:vAlign w:val="center"/>
          </w:tcPr>
          <w:p>
            <w:pPr>
              <w:rPr>
                <w:rFonts w:hint="eastAsia" w:ascii="宋体" w:hAnsi="宋体" w:eastAsia="宋体" w:cs="宋体"/>
                <w:i w:val="0"/>
                <w:color w:val="000000"/>
                <w:sz w:val="24"/>
                <w:szCs w:val="24"/>
                <w:u w:val="none"/>
              </w:rPr>
            </w:pPr>
          </w:p>
        </w:tc>
        <w:tc>
          <w:tcPr>
            <w:tcW w:w="1342" w:type="dxa"/>
            <w:shd w:val="clear" w:color="auto" w:fill="auto"/>
            <w:vAlign w:val="center"/>
          </w:tcPr>
          <w:p>
            <w:pPr>
              <w:rPr>
                <w:rFonts w:hint="eastAsia" w:ascii="宋体" w:hAnsi="宋体" w:eastAsia="宋体" w:cs="宋体"/>
                <w:i w:val="0"/>
                <w:color w:val="000000"/>
                <w:sz w:val="24"/>
                <w:szCs w:val="24"/>
                <w:u w:val="none"/>
              </w:rPr>
            </w:pPr>
          </w:p>
        </w:tc>
        <w:tc>
          <w:tcPr>
            <w:tcW w:w="1241" w:type="dxa"/>
            <w:shd w:val="clear" w:color="auto" w:fill="auto"/>
            <w:vAlign w:val="center"/>
          </w:tcPr>
          <w:p>
            <w:pPr>
              <w:rPr>
                <w:rFonts w:hint="eastAsia" w:ascii="宋体" w:hAnsi="宋体" w:eastAsia="宋体" w:cs="宋体"/>
                <w:i w:val="0"/>
                <w:color w:val="000000"/>
                <w:sz w:val="24"/>
                <w:szCs w:val="24"/>
                <w:u w:val="none"/>
              </w:rPr>
            </w:pPr>
          </w:p>
        </w:tc>
        <w:tc>
          <w:tcPr>
            <w:tcW w:w="1342" w:type="dxa"/>
            <w:shd w:val="clear" w:color="auto" w:fill="auto"/>
            <w:vAlign w:val="center"/>
          </w:tcPr>
          <w:p>
            <w:pPr>
              <w:rPr>
                <w:rFonts w:hint="eastAsia" w:ascii="宋体" w:hAnsi="宋体" w:eastAsia="宋体" w:cs="宋体"/>
                <w:i w:val="0"/>
                <w:color w:val="000000"/>
                <w:sz w:val="24"/>
                <w:szCs w:val="24"/>
                <w:u w:val="none"/>
              </w:rPr>
            </w:pPr>
          </w:p>
        </w:tc>
        <w:tc>
          <w:tcPr>
            <w:tcW w:w="1590" w:type="dxa"/>
            <w:shd w:val="clear" w:color="auto" w:fill="auto"/>
            <w:vAlign w:val="center"/>
          </w:tcPr>
          <w:p>
            <w:pPr>
              <w:jc w:val="center"/>
              <w:rPr>
                <w:rFonts w:hint="eastAsia" w:ascii="宋体" w:hAnsi="宋体" w:eastAsia="宋体" w:cs="宋体"/>
                <w:b/>
                <w:i w:val="0"/>
                <w:color w:val="000000"/>
                <w:sz w:val="20"/>
                <w:szCs w:val="20"/>
                <w:u w:val="none"/>
              </w:rPr>
            </w:pPr>
          </w:p>
        </w:tc>
        <w:tc>
          <w:tcPr>
            <w:tcW w:w="906" w:type="dxa"/>
            <w:shd w:val="clear" w:color="auto" w:fill="auto"/>
            <w:vAlign w:val="center"/>
          </w:tcPr>
          <w:p>
            <w:pPr>
              <w:rPr>
                <w:rFonts w:hint="eastAsia" w:ascii="宋体" w:hAnsi="宋体" w:eastAsia="宋体" w:cs="宋体"/>
                <w:i w:val="0"/>
                <w:color w:val="000000"/>
                <w:sz w:val="24"/>
                <w:szCs w:val="24"/>
                <w:u w:val="none"/>
              </w:rPr>
            </w:pPr>
          </w:p>
        </w:tc>
        <w:tc>
          <w:tcPr>
            <w:tcW w:w="1349"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705" w:type="dxa"/>
            <w:gridSpan w:val="9"/>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1590" w:type="dxa"/>
            <w:shd w:val="clear" w:color="auto" w:fill="auto"/>
            <w:vAlign w:val="center"/>
          </w:tcPr>
          <w:p>
            <w:pPr>
              <w:rPr>
                <w:rFonts w:hint="eastAsia" w:ascii="宋体" w:hAnsi="宋体" w:eastAsia="宋体" w:cs="宋体"/>
                <w:i w:val="0"/>
                <w:color w:val="000000"/>
                <w:sz w:val="24"/>
                <w:szCs w:val="24"/>
                <w:u w:val="none"/>
              </w:rPr>
            </w:pPr>
          </w:p>
        </w:tc>
        <w:tc>
          <w:tcPr>
            <w:tcW w:w="906" w:type="dxa"/>
            <w:shd w:val="clear" w:color="auto" w:fill="auto"/>
            <w:vAlign w:val="center"/>
          </w:tcPr>
          <w:p>
            <w:pPr>
              <w:rPr>
                <w:rFonts w:hint="eastAsia" w:ascii="宋体" w:hAnsi="宋体" w:eastAsia="宋体" w:cs="宋体"/>
                <w:i w:val="0"/>
                <w:color w:val="000000"/>
                <w:sz w:val="24"/>
                <w:szCs w:val="24"/>
                <w:u w:val="none"/>
              </w:rPr>
            </w:pPr>
          </w:p>
        </w:tc>
        <w:tc>
          <w:tcPr>
            <w:tcW w:w="1349"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83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392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84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28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5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34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28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4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9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34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4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28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6,903.683977</w:t>
            </w:r>
          </w:p>
        </w:tc>
        <w:tc>
          <w:tcPr>
            <w:tcW w:w="154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6,108.100664</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13,011.784641</w:t>
            </w:r>
          </w:p>
        </w:tc>
        <w:tc>
          <w:tcPr>
            <w:tcW w:w="12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1,685.688362</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11,326.096279</w:t>
            </w:r>
          </w:p>
        </w:tc>
        <w:tc>
          <w:tcPr>
            <w:tcW w:w="15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20.257679</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1,343.933950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1,364.191629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1,363.687029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0.504600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20103</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政府办公厅（室）及相关机构事务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20.257679</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1,343.429350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1,363.687029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1,363.687029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2010301</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1,203.905941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1,203.905941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1,203.905941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2010303</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30.431890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30.431890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30.431890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2010350</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20.257679</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109.091519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129.349198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129.349198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0.504600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0.504600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0.504600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2013105</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专项业务</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0.504600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0.504600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0.504600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197.491018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2.333698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2.333698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2.333698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130.104880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130.104880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130.104880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65.052440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65.052440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65.052440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124.510315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124.510315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124.510315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124.510315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6,883.426298</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4,442.165381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11,325.591679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11,325.591679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21303</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水利</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6,883.426298</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4,442.165381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11,325.591679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11,325.591679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2130309</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水利执法监督</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194.246280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194.246280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194.246280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2130311</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水资源节约管理与保护</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24.797816</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4,089.787677</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4,114.585493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4,114.585493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2130314</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防汛</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6,858.628482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6,958.628482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6,958.628482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2130399</w:t>
            </w:r>
          </w:p>
        </w:tc>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其他水利支出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58.131424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58.131424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58.131424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4" w:type="dxa"/>
            <w:shd w:val="clear" w:color="auto" w:fill="auto"/>
            <w:vAlign w:val="center"/>
          </w:tcPr>
          <w:p>
            <w:pPr>
              <w:rPr>
                <w:rFonts w:hint="eastAsia" w:ascii="宋体" w:hAnsi="宋体" w:eastAsia="宋体" w:cs="宋体"/>
                <w:i w:val="0"/>
                <w:color w:val="000000"/>
                <w:sz w:val="24"/>
                <w:szCs w:val="24"/>
                <w:u w:val="none"/>
              </w:rPr>
            </w:pPr>
          </w:p>
        </w:tc>
        <w:tc>
          <w:tcPr>
            <w:tcW w:w="331" w:type="dxa"/>
            <w:shd w:val="clear" w:color="auto" w:fill="auto"/>
            <w:vAlign w:val="center"/>
          </w:tcPr>
          <w:p>
            <w:pPr>
              <w:rPr>
                <w:rFonts w:hint="eastAsia" w:ascii="宋体" w:hAnsi="宋体" w:eastAsia="宋体" w:cs="宋体"/>
                <w:i w:val="0"/>
                <w:color w:val="000000"/>
                <w:sz w:val="24"/>
                <w:szCs w:val="24"/>
                <w:u w:val="none"/>
              </w:rPr>
            </w:pPr>
          </w:p>
        </w:tc>
        <w:tc>
          <w:tcPr>
            <w:tcW w:w="344" w:type="dxa"/>
            <w:shd w:val="clear" w:color="auto" w:fill="auto"/>
            <w:vAlign w:val="center"/>
          </w:tcPr>
          <w:p>
            <w:pPr>
              <w:rPr>
                <w:rFonts w:hint="eastAsia" w:ascii="宋体" w:hAnsi="宋体" w:eastAsia="宋体" w:cs="宋体"/>
                <w:i w:val="0"/>
                <w:color w:val="000000"/>
                <w:sz w:val="24"/>
                <w:szCs w:val="24"/>
                <w:u w:val="none"/>
              </w:rPr>
            </w:pPr>
          </w:p>
        </w:tc>
        <w:tc>
          <w:tcPr>
            <w:tcW w:w="2811" w:type="dxa"/>
            <w:shd w:val="clear" w:color="auto" w:fill="auto"/>
            <w:vAlign w:val="center"/>
          </w:tcPr>
          <w:p>
            <w:pPr>
              <w:rPr>
                <w:rFonts w:hint="eastAsia" w:ascii="宋体" w:hAnsi="宋体" w:eastAsia="宋体" w:cs="宋体"/>
                <w:i w:val="0"/>
                <w:color w:val="000000"/>
                <w:sz w:val="24"/>
                <w:szCs w:val="24"/>
                <w:u w:val="none"/>
              </w:rPr>
            </w:pPr>
          </w:p>
        </w:tc>
        <w:tc>
          <w:tcPr>
            <w:tcW w:w="1401" w:type="dxa"/>
            <w:shd w:val="clear" w:color="auto" w:fill="auto"/>
            <w:vAlign w:val="center"/>
          </w:tcPr>
          <w:p>
            <w:pPr>
              <w:rPr>
                <w:rFonts w:hint="eastAsia" w:ascii="宋体" w:hAnsi="宋体" w:eastAsia="宋体" w:cs="宋体"/>
                <w:i w:val="0"/>
                <w:color w:val="000000"/>
                <w:sz w:val="24"/>
                <w:szCs w:val="24"/>
                <w:u w:val="none"/>
              </w:rPr>
            </w:pPr>
          </w:p>
        </w:tc>
        <w:tc>
          <w:tcPr>
            <w:tcW w:w="1549" w:type="dxa"/>
            <w:shd w:val="clear" w:color="auto" w:fill="auto"/>
            <w:vAlign w:val="center"/>
          </w:tcPr>
          <w:p>
            <w:pPr>
              <w:rPr>
                <w:rFonts w:hint="eastAsia" w:ascii="宋体" w:hAnsi="宋体" w:eastAsia="宋体" w:cs="宋体"/>
                <w:i w:val="0"/>
                <w:color w:val="000000"/>
                <w:sz w:val="24"/>
                <w:szCs w:val="24"/>
                <w:u w:val="none"/>
              </w:rPr>
            </w:pPr>
          </w:p>
        </w:tc>
        <w:tc>
          <w:tcPr>
            <w:tcW w:w="1342" w:type="dxa"/>
            <w:shd w:val="clear" w:color="auto" w:fill="auto"/>
            <w:vAlign w:val="center"/>
          </w:tcPr>
          <w:p>
            <w:pPr>
              <w:rPr>
                <w:rFonts w:hint="eastAsia" w:ascii="宋体" w:hAnsi="宋体" w:eastAsia="宋体" w:cs="宋体"/>
                <w:i w:val="0"/>
                <w:color w:val="000000"/>
                <w:sz w:val="24"/>
                <w:szCs w:val="24"/>
                <w:u w:val="none"/>
              </w:rPr>
            </w:pPr>
          </w:p>
        </w:tc>
        <w:tc>
          <w:tcPr>
            <w:tcW w:w="1241" w:type="dxa"/>
            <w:shd w:val="clear" w:color="auto" w:fill="auto"/>
            <w:vAlign w:val="center"/>
          </w:tcPr>
          <w:p>
            <w:pPr>
              <w:rPr>
                <w:rFonts w:hint="eastAsia" w:ascii="宋体" w:hAnsi="宋体" w:eastAsia="宋体" w:cs="宋体"/>
                <w:i w:val="0"/>
                <w:color w:val="000000"/>
                <w:sz w:val="24"/>
                <w:szCs w:val="24"/>
                <w:u w:val="none"/>
              </w:rPr>
            </w:pPr>
          </w:p>
        </w:tc>
        <w:tc>
          <w:tcPr>
            <w:tcW w:w="1342" w:type="dxa"/>
            <w:shd w:val="clear" w:color="auto" w:fill="auto"/>
            <w:vAlign w:val="center"/>
          </w:tcPr>
          <w:p>
            <w:pPr>
              <w:rPr>
                <w:rFonts w:hint="eastAsia" w:ascii="宋体" w:hAnsi="宋体" w:eastAsia="宋体" w:cs="宋体"/>
                <w:i w:val="0"/>
                <w:color w:val="000000"/>
                <w:sz w:val="24"/>
                <w:szCs w:val="24"/>
                <w:u w:val="none"/>
              </w:rPr>
            </w:pPr>
          </w:p>
        </w:tc>
        <w:tc>
          <w:tcPr>
            <w:tcW w:w="1590" w:type="dxa"/>
            <w:shd w:val="clear" w:color="auto" w:fill="auto"/>
            <w:vAlign w:val="center"/>
          </w:tcPr>
          <w:p>
            <w:pPr>
              <w:rPr>
                <w:rFonts w:hint="eastAsia" w:ascii="宋体" w:hAnsi="宋体" w:eastAsia="宋体" w:cs="宋体"/>
                <w:i w:val="0"/>
                <w:color w:val="000000"/>
                <w:sz w:val="24"/>
                <w:szCs w:val="24"/>
                <w:u w:val="none"/>
              </w:rPr>
            </w:pPr>
          </w:p>
        </w:tc>
        <w:tc>
          <w:tcPr>
            <w:tcW w:w="906" w:type="dxa"/>
            <w:shd w:val="clear" w:color="auto" w:fill="auto"/>
            <w:vAlign w:val="center"/>
          </w:tcPr>
          <w:p>
            <w:pPr>
              <w:rPr>
                <w:rFonts w:hint="eastAsia" w:ascii="宋体" w:hAnsi="宋体" w:eastAsia="宋体" w:cs="宋体"/>
                <w:i w:val="0"/>
                <w:color w:val="000000"/>
                <w:sz w:val="24"/>
                <w:szCs w:val="24"/>
                <w:u w:val="none"/>
              </w:rPr>
            </w:pPr>
          </w:p>
        </w:tc>
        <w:tc>
          <w:tcPr>
            <w:tcW w:w="1349"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344" w:type="dxa"/>
            <w:shd w:val="clear" w:color="auto" w:fill="auto"/>
            <w:vAlign w:val="center"/>
          </w:tcPr>
          <w:p>
            <w:pPr>
              <w:rPr>
                <w:rFonts w:hint="eastAsia" w:ascii="宋体" w:hAnsi="宋体" w:eastAsia="宋体" w:cs="宋体"/>
                <w:i w:val="0"/>
                <w:color w:val="000000"/>
                <w:sz w:val="24"/>
                <w:szCs w:val="24"/>
                <w:u w:val="none"/>
              </w:rPr>
            </w:pPr>
          </w:p>
        </w:tc>
        <w:tc>
          <w:tcPr>
            <w:tcW w:w="331" w:type="dxa"/>
            <w:shd w:val="clear" w:color="auto" w:fill="auto"/>
            <w:vAlign w:val="center"/>
          </w:tcPr>
          <w:p>
            <w:pPr>
              <w:rPr>
                <w:rFonts w:hint="eastAsia" w:ascii="宋体" w:hAnsi="宋体" w:eastAsia="宋体" w:cs="宋体"/>
                <w:i w:val="0"/>
                <w:color w:val="000000"/>
                <w:sz w:val="24"/>
                <w:szCs w:val="24"/>
                <w:u w:val="none"/>
              </w:rPr>
            </w:pPr>
          </w:p>
        </w:tc>
        <w:tc>
          <w:tcPr>
            <w:tcW w:w="344" w:type="dxa"/>
            <w:shd w:val="clear" w:color="auto" w:fill="auto"/>
            <w:vAlign w:val="center"/>
          </w:tcPr>
          <w:p>
            <w:pPr>
              <w:rPr>
                <w:rFonts w:hint="eastAsia" w:ascii="宋体" w:hAnsi="宋体" w:eastAsia="宋体" w:cs="宋体"/>
                <w:i w:val="0"/>
                <w:color w:val="000000"/>
                <w:sz w:val="24"/>
                <w:szCs w:val="24"/>
                <w:u w:val="none"/>
              </w:rPr>
            </w:pPr>
          </w:p>
        </w:tc>
        <w:tc>
          <w:tcPr>
            <w:tcW w:w="2811" w:type="dxa"/>
            <w:shd w:val="clear" w:color="auto" w:fill="auto"/>
            <w:vAlign w:val="center"/>
          </w:tcPr>
          <w:p>
            <w:pPr>
              <w:rPr>
                <w:rFonts w:hint="eastAsia" w:ascii="宋体" w:hAnsi="宋体" w:eastAsia="宋体" w:cs="宋体"/>
                <w:i w:val="0"/>
                <w:color w:val="000000"/>
                <w:sz w:val="24"/>
                <w:szCs w:val="24"/>
                <w:u w:val="none"/>
              </w:rPr>
            </w:pPr>
          </w:p>
        </w:tc>
        <w:tc>
          <w:tcPr>
            <w:tcW w:w="1401" w:type="dxa"/>
            <w:shd w:val="clear" w:color="auto" w:fill="auto"/>
            <w:vAlign w:val="center"/>
          </w:tcPr>
          <w:p>
            <w:pPr>
              <w:rPr>
                <w:rFonts w:hint="eastAsia" w:ascii="宋体" w:hAnsi="宋体" w:eastAsia="宋体" w:cs="宋体"/>
                <w:i w:val="0"/>
                <w:color w:val="000000"/>
                <w:sz w:val="24"/>
                <w:szCs w:val="24"/>
                <w:u w:val="none"/>
              </w:rPr>
            </w:pPr>
          </w:p>
        </w:tc>
        <w:tc>
          <w:tcPr>
            <w:tcW w:w="1549" w:type="dxa"/>
            <w:shd w:val="clear" w:color="auto" w:fill="auto"/>
            <w:vAlign w:val="center"/>
          </w:tcPr>
          <w:p>
            <w:pPr>
              <w:rPr>
                <w:rFonts w:hint="eastAsia" w:ascii="宋体" w:hAnsi="宋体" w:eastAsia="宋体" w:cs="宋体"/>
                <w:i w:val="0"/>
                <w:color w:val="000000"/>
                <w:sz w:val="24"/>
                <w:szCs w:val="24"/>
                <w:u w:val="none"/>
              </w:rPr>
            </w:pPr>
          </w:p>
        </w:tc>
        <w:tc>
          <w:tcPr>
            <w:tcW w:w="1342" w:type="dxa"/>
            <w:shd w:val="clear" w:color="auto" w:fill="auto"/>
            <w:vAlign w:val="center"/>
          </w:tcPr>
          <w:p>
            <w:pPr>
              <w:rPr>
                <w:rFonts w:hint="eastAsia" w:ascii="宋体" w:hAnsi="宋体" w:eastAsia="宋体" w:cs="宋体"/>
                <w:i w:val="0"/>
                <w:color w:val="000000"/>
                <w:sz w:val="24"/>
                <w:szCs w:val="24"/>
                <w:u w:val="none"/>
              </w:rPr>
            </w:pPr>
          </w:p>
        </w:tc>
        <w:tc>
          <w:tcPr>
            <w:tcW w:w="1241" w:type="dxa"/>
            <w:shd w:val="clear" w:color="auto" w:fill="auto"/>
            <w:vAlign w:val="center"/>
          </w:tcPr>
          <w:p>
            <w:pPr>
              <w:rPr>
                <w:rFonts w:hint="eastAsia" w:ascii="宋体" w:hAnsi="宋体" w:eastAsia="宋体" w:cs="宋体"/>
                <w:i w:val="0"/>
                <w:color w:val="000000"/>
                <w:sz w:val="24"/>
                <w:szCs w:val="24"/>
                <w:u w:val="none"/>
              </w:rPr>
            </w:pPr>
          </w:p>
        </w:tc>
        <w:tc>
          <w:tcPr>
            <w:tcW w:w="1342" w:type="dxa"/>
            <w:shd w:val="clear" w:color="auto" w:fill="auto"/>
            <w:vAlign w:val="center"/>
          </w:tcPr>
          <w:p>
            <w:pPr>
              <w:rPr>
                <w:rFonts w:hint="eastAsia" w:ascii="宋体" w:hAnsi="宋体" w:eastAsia="宋体" w:cs="宋体"/>
                <w:i w:val="0"/>
                <w:color w:val="000000"/>
                <w:sz w:val="24"/>
                <w:szCs w:val="24"/>
                <w:u w:val="none"/>
              </w:rPr>
            </w:pPr>
          </w:p>
        </w:tc>
        <w:tc>
          <w:tcPr>
            <w:tcW w:w="1590" w:type="dxa"/>
            <w:shd w:val="clear" w:color="auto" w:fill="auto"/>
            <w:vAlign w:val="center"/>
          </w:tcPr>
          <w:p>
            <w:pPr>
              <w:rPr>
                <w:rFonts w:hint="eastAsia" w:ascii="宋体" w:hAnsi="宋体" w:eastAsia="宋体" w:cs="宋体"/>
                <w:i w:val="0"/>
                <w:color w:val="000000"/>
                <w:sz w:val="24"/>
                <w:szCs w:val="24"/>
                <w:u w:val="none"/>
              </w:rPr>
            </w:pPr>
          </w:p>
        </w:tc>
        <w:tc>
          <w:tcPr>
            <w:tcW w:w="906" w:type="dxa"/>
            <w:shd w:val="clear" w:color="auto" w:fill="auto"/>
            <w:vAlign w:val="center"/>
          </w:tcPr>
          <w:p>
            <w:pPr>
              <w:rPr>
                <w:rFonts w:hint="eastAsia" w:ascii="宋体" w:hAnsi="宋体" w:eastAsia="宋体" w:cs="宋体"/>
                <w:i w:val="0"/>
                <w:color w:val="000000"/>
                <w:sz w:val="24"/>
                <w:szCs w:val="24"/>
                <w:u w:val="none"/>
              </w:rPr>
            </w:pPr>
          </w:p>
        </w:tc>
        <w:tc>
          <w:tcPr>
            <w:tcW w:w="1349" w:type="dxa"/>
            <w:shd w:val="clear" w:color="auto" w:fill="auto"/>
            <w:vAlign w:val="center"/>
          </w:tcPr>
          <w:p>
            <w:pPr>
              <w:rPr>
                <w:rFonts w:hint="eastAsia" w:ascii="宋体" w:hAnsi="宋体" w:eastAsia="宋体" w:cs="宋体"/>
                <w:i w:val="0"/>
                <w:color w:val="000000"/>
                <w:sz w:val="24"/>
                <w:szCs w:val="24"/>
                <w:u w:val="none"/>
              </w:rPr>
            </w:pPr>
          </w:p>
        </w:tc>
      </w:tr>
    </w:tbl>
    <w:p>
      <w:pPr>
        <w:pStyle w:val="2"/>
        <w:rPr>
          <w:rFonts w:hint="eastAsia"/>
          <w:lang w:eastAsia="zh-CN"/>
        </w:rPr>
      </w:pPr>
    </w:p>
    <w:p>
      <w:pPr>
        <w:pStyle w:val="2"/>
        <w:rPr>
          <w:rFonts w:hint="eastAsia"/>
          <w:lang w:eastAsia="zh-CN"/>
        </w:rPr>
      </w:pPr>
    </w:p>
    <w:p>
      <w:pPr>
        <w:pStyle w:val="2"/>
        <w:rPr>
          <w:rFonts w:hint="eastAsia"/>
          <w:lang w:eastAsia="zh-CN"/>
        </w:rPr>
      </w:pPr>
    </w:p>
    <w:tbl>
      <w:tblPr>
        <w:tblStyle w:val="11"/>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3"/>
        <w:gridCol w:w="1304"/>
        <w:gridCol w:w="637"/>
        <w:gridCol w:w="4629"/>
        <w:gridCol w:w="1304"/>
        <w:gridCol w:w="2428"/>
        <w:gridCol w:w="1833"/>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599" w:type="dxa"/>
            <w:gridSpan w:val="8"/>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83" w:type="dxa"/>
            <w:shd w:val="clear" w:color="auto" w:fill="auto"/>
            <w:vAlign w:val="center"/>
          </w:tcPr>
          <w:p>
            <w:pPr>
              <w:rPr>
                <w:rFonts w:hint="eastAsia" w:ascii="宋体" w:hAnsi="宋体" w:eastAsia="宋体" w:cs="宋体"/>
                <w:i w:val="0"/>
                <w:color w:val="000000"/>
                <w:sz w:val="24"/>
                <w:szCs w:val="24"/>
                <w:u w:val="none"/>
              </w:rPr>
            </w:pPr>
          </w:p>
        </w:tc>
        <w:tc>
          <w:tcPr>
            <w:tcW w:w="1304" w:type="dxa"/>
            <w:shd w:val="clear" w:color="auto" w:fill="auto"/>
            <w:vAlign w:val="center"/>
          </w:tcPr>
          <w:p>
            <w:pPr>
              <w:rPr>
                <w:rFonts w:hint="eastAsia" w:ascii="宋体" w:hAnsi="宋体" w:eastAsia="宋体" w:cs="宋体"/>
                <w:i w:val="0"/>
                <w:color w:val="000000"/>
                <w:sz w:val="24"/>
                <w:szCs w:val="24"/>
                <w:u w:val="none"/>
              </w:rPr>
            </w:pPr>
          </w:p>
        </w:tc>
        <w:tc>
          <w:tcPr>
            <w:tcW w:w="637" w:type="dxa"/>
            <w:shd w:val="clear" w:color="auto" w:fill="auto"/>
            <w:vAlign w:val="center"/>
          </w:tcPr>
          <w:p>
            <w:pPr>
              <w:rPr>
                <w:rFonts w:hint="eastAsia" w:ascii="宋体" w:hAnsi="宋体" w:eastAsia="宋体" w:cs="宋体"/>
                <w:i w:val="0"/>
                <w:color w:val="000000"/>
                <w:sz w:val="24"/>
                <w:szCs w:val="24"/>
                <w:u w:val="none"/>
              </w:rPr>
            </w:pPr>
          </w:p>
        </w:tc>
        <w:tc>
          <w:tcPr>
            <w:tcW w:w="4629" w:type="dxa"/>
            <w:shd w:val="clear" w:color="auto" w:fill="auto"/>
            <w:vAlign w:val="center"/>
          </w:tcPr>
          <w:p>
            <w:pPr>
              <w:rPr>
                <w:rFonts w:hint="eastAsia" w:ascii="宋体" w:hAnsi="宋体" w:eastAsia="宋体" w:cs="宋体"/>
                <w:i w:val="0"/>
                <w:color w:val="000000"/>
                <w:sz w:val="24"/>
                <w:szCs w:val="24"/>
                <w:u w:val="none"/>
              </w:rPr>
            </w:pPr>
          </w:p>
        </w:tc>
        <w:tc>
          <w:tcPr>
            <w:tcW w:w="1304" w:type="dxa"/>
            <w:shd w:val="clear" w:color="auto" w:fill="auto"/>
            <w:vAlign w:val="center"/>
          </w:tcPr>
          <w:p>
            <w:pPr>
              <w:rPr>
                <w:rFonts w:hint="eastAsia" w:ascii="宋体" w:hAnsi="宋体" w:eastAsia="宋体" w:cs="宋体"/>
                <w:i w:val="0"/>
                <w:color w:val="000000"/>
                <w:sz w:val="24"/>
                <w:szCs w:val="24"/>
                <w:u w:val="none"/>
              </w:rPr>
            </w:pPr>
          </w:p>
        </w:tc>
        <w:tc>
          <w:tcPr>
            <w:tcW w:w="2428" w:type="dxa"/>
            <w:shd w:val="clear" w:color="auto" w:fill="auto"/>
            <w:vAlign w:val="center"/>
          </w:tcPr>
          <w:p>
            <w:pPr>
              <w:rPr>
                <w:rFonts w:hint="eastAsia" w:ascii="宋体" w:hAnsi="宋体" w:eastAsia="宋体" w:cs="宋体"/>
                <w:i w:val="0"/>
                <w:color w:val="000000"/>
                <w:sz w:val="24"/>
                <w:szCs w:val="24"/>
                <w:u w:val="none"/>
              </w:rPr>
            </w:pPr>
          </w:p>
        </w:tc>
        <w:tc>
          <w:tcPr>
            <w:tcW w:w="1833" w:type="dxa"/>
            <w:shd w:val="clear" w:color="auto" w:fill="auto"/>
            <w:vAlign w:val="center"/>
          </w:tcPr>
          <w:p>
            <w:pPr>
              <w:rPr>
                <w:rFonts w:hint="eastAsia" w:ascii="宋体" w:hAnsi="宋体" w:eastAsia="宋体" w:cs="宋体"/>
                <w:i w:val="0"/>
                <w:color w:val="000000"/>
                <w:sz w:val="24"/>
                <w:szCs w:val="24"/>
                <w:u w:val="none"/>
              </w:rPr>
            </w:pPr>
          </w:p>
        </w:tc>
        <w:tc>
          <w:tcPr>
            <w:tcW w:w="1981" w:type="dxa"/>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618" w:type="dxa"/>
            <w:gridSpan w:val="7"/>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1981"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705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单位名称</w:t>
            </w:r>
          </w:p>
        </w:tc>
        <w:tc>
          <w:tcPr>
            <w:tcW w:w="242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98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42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46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24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98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42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46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3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24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8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9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3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46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3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24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13,011.784641</w:t>
            </w:r>
          </w:p>
        </w:tc>
        <w:tc>
          <w:tcPr>
            <w:tcW w:w="18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1,685.688362</w:t>
            </w:r>
          </w:p>
        </w:tc>
        <w:tc>
          <w:tcPr>
            <w:tcW w:w="198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11,326.096279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一般公共服务支出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1,364.191629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1,363.687029</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0.504600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20103</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政府办公厅（室）及相关机构事务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1,363.687029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1,363.687029</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2010301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行政运行</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1,203.905941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1,203.905941</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2010303</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机关服务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30.431890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30.431890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2010350</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事业运行</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129.349198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129.349198</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20131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党委办公厅（室）及相关机构事务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0.504600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0.504600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2013105</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专项业务</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0.504600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0.504600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社会保障和就业支出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197.491018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197.491018</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20805</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行政事业单位养老支出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197.491018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197.491018</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行政单位离退休</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2.333698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2.333698</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130.104880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130.104880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65.052440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65.052440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卫生健康支出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124.510315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124.510315</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21011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行政事业单位医疗</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124.510315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124.510315</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行政单位医疗</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124.510315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124.510315</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农林水支出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11,325.591679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11,325.591679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21303</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水利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Arial" w:hAnsi="Arial" w:eastAsia="宋体" w:cs="Arial"/>
                <w:b/>
                <w:i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11,325.591679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11,325.591679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2130309</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水利执法监督</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194.246280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194.246280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2130311</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水资源节约管理与保护</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4,114.585493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4,114.585493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2130314</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防汛</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6,958.628482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6,958.628482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2130399</w:t>
            </w:r>
          </w:p>
        </w:tc>
        <w:tc>
          <w:tcPr>
            <w:tcW w:w="4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其他水利支出</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北京市密云区密云水库综合执法大队（本级）</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58.131424</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58.131424</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11"/>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6"/>
        <w:gridCol w:w="1076"/>
        <w:gridCol w:w="1075"/>
        <w:gridCol w:w="1076"/>
        <w:gridCol w:w="1467"/>
        <w:gridCol w:w="1076"/>
        <w:gridCol w:w="1076"/>
        <w:gridCol w:w="1076"/>
        <w:gridCol w:w="1076"/>
        <w:gridCol w:w="1467"/>
        <w:gridCol w:w="399"/>
        <w:gridCol w:w="398"/>
        <w:gridCol w:w="398"/>
        <w:gridCol w:w="398"/>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600" w:type="dxa"/>
            <w:gridSpan w:val="15"/>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5"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467"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467" w:type="dxa"/>
            <w:shd w:val="clear" w:color="auto" w:fill="auto"/>
            <w:vAlign w:val="center"/>
          </w:tcPr>
          <w:p>
            <w:pPr>
              <w:rPr>
                <w:rFonts w:hint="eastAsia" w:ascii="宋体" w:hAnsi="宋体" w:eastAsia="宋体" w:cs="宋体"/>
                <w:i w:val="0"/>
                <w:color w:val="000000"/>
                <w:sz w:val="24"/>
                <w:szCs w:val="24"/>
                <w:u w:val="none"/>
              </w:rPr>
            </w:pPr>
          </w:p>
        </w:tc>
        <w:tc>
          <w:tcPr>
            <w:tcW w:w="399" w:type="dxa"/>
            <w:shd w:val="clear" w:color="auto" w:fill="auto"/>
            <w:vAlign w:val="center"/>
          </w:tcPr>
          <w:p>
            <w:pPr>
              <w:rPr>
                <w:rFonts w:hint="eastAsia" w:ascii="宋体" w:hAnsi="宋体" w:eastAsia="宋体" w:cs="宋体"/>
                <w:i w:val="0"/>
                <w:color w:val="000000"/>
                <w:sz w:val="24"/>
                <w:szCs w:val="24"/>
                <w:u w:val="none"/>
              </w:rPr>
            </w:pPr>
          </w:p>
        </w:tc>
        <w:tc>
          <w:tcPr>
            <w:tcW w:w="398" w:type="dxa"/>
            <w:shd w:val="clear" w:color="auto" w:fill="auto"/>
            <w:vAlign w:val="center"/>
          </w:tcPr>
          <w:p>
            <w:pPr>
              <w:rPr>
                <w:rFonts w:hint="eastAsia" w:ascii="宋体" w:hAnsi="宋体" w:eastAsia="宋体" w:cs="宋体"/>
                <w:i w:val="0"/>
                <w:color w:val="000000"/>
                <w:sz w:val="24"/>
                <w:szCs w:val="24"/>
                <w:u w:val="none"/>
              </w:rPr>
            </w:pPr>
          </w:p>
        </w:tc>
        <w:tc>
          <w:tcPr>
            <w:tcW w:w="398" w:type="dxa"/>
            <w:shd w:val="clear" w:color="auto" w:fill="auto"/>
            <w:vAlign w:val="center"/>
          </w:tcPr>
          <w:p>
            <w:pPr>
              <w:rPr>
                <w:rFonts w:hint="eastAsia" w:ascii="宋体" w:hAnsi="宋体" w:eastAsia="宋体" w:cs="宋体"/>
                <w:i w:val="0"/>
                <w:color w:val="000000"/>
                <w:sz w:val="24"/>
                <w:szCs w:val="24"/>
                <w:u w:val="none"/>
              </w:rPr>
            </w:pPr>
          </w:p>
        </w:tc>
        <w:tc>
          <w:tcPr>
            <w:tcW w:w="398" w:type="dxa"/>
            <w:shd w:val="clear" w:color="auto" w:fill="auto"/>
            <w:vAlign w:val="center"/>
          </w:tcPr>
          <w:p>
            <w:pPr>
              <w:rPr>
                <w:rFonts w:hint="eastAsia" w:ascii="宋体" w:hAnsi="宋体" w:eastAsia="宋体" w:cs="宋体"/>
                <w:i w:val="0"/>
                <w:color w:val="000000"/>
                <w:sz w:val="24"/>
                <w:szCs w:val="24"/>
                <w:u w:val="none"/>
              </w:rPr>
            </w:pPr>
          </w:p>
        </w:tc>
        <w:tc>
          <w:tcPr>
            <w:tcW w:w="1466" w:type="dxa"/>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134" w:type="dxa"/>
            <w:gridSpan w:val="14"/>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1466"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1,580.405418</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102.249246</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616.596190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3.810540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381.119288</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86.561528</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46.049946</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0.856500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130.104880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14.119770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65.052440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2.134417</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124.510315</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2.387031</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1.549446</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128.023800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3.493040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2.333698</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0.438800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1.088600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2.333698</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5.570300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12.113263</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19.935180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28.631890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1.207500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43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1,582.739116</w:t>
            </w:r>
          </w:p>
        </w:tc>
        <w:tc>
          <w:tcPr>
            <w:tcW w:w="7364"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102.949246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5"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467"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076" w:type="dxa"/>
            <w:shd w:val="clear" w:color="auto" w:fill="auto"/>
            <w:vAlign w:val="center"/>
          </w:tcPr>
          <w:p>
            <w:pPr>
              <w:rPr>
                <w:rFonts w:hint="eastAsia" w:ascii="宋体" w:hAnsi="宋体" w:eastAsia="宋体" w:cs="宋体"/>
                <w:i w:val="0"/>
                <w:color w:val="000000"/>
                <w:sz w:val="24"/>
                <w:szCs w:val="24"/>
                <w:u w:val="none"/>
              </w:rPr>
            </w:pPr>
          </w:p>
        </w:tc>
        <w:tc>
          <w:tcPr>
            <w:tcW w:w="1467" w:type="dxa"/>
            <w:shd w:val="clear" w:color="auto" w:fill="auto"/>
            <w:vAlign w:val="center"/>
          </w:tcPr>
          <w:p>
            <w:pPr>
              <w:rPr>
                <w:rFonts w:hint="eastAsia" w:ascii="宋体" w:hAnsi="宋体" w:eastAsia="宋体" w:cs="宋体"/>
                <w:i w:val="0"/>
                <w:color w:val="000000"/>
                <w:sz w:val="24"/>
                <w:szCs w:val="24"/>
                <w:u w:val="none"/>
              </w:rPr>
            </w:pPr>
          </w:p>
        </w:tc>
        <w:tc>
          <w:tcPr>
            <w:tcW w:w="399" w:type="dxa"/>
            <w:shd w:val="clear" w:color="auto" w:fill="auto"/>
            <w:vAlign w:val="center"/>
          </w:tcPr>
          <w:p>
            <w:pPr>
              <w:rPr>
                <w:rFonts w:hint="eastAsia" w:ascii="宋体" w:hAnsi="宋体" w:eastAsia="宋体" w:cs="宋体"/>
                <w:i w:val="0"/>
                <w:color w:val="000000"/>
                <w:sz w:val="24"/>
                <w:szCs w:val="24"/>
                <w:u w:val="none"/>
              </w:rPr>
            </w:pPr>
          </w:p>
        </w:tc>
        <w:tc>
          <w:tcPr>
            <w:tcW w:w="398" w:type="dxa"/>
            <w:shd w:val="clear" w:color="auto" w:fill="auto"/>
            <w:vAlign w:val="center"/>
          </w:tcPr>
          <w:p>
            <w:pPr>
              <w:rPr>
                <w:rFonts w:hint="eastAsia" w:ascii="宋体" w:hAnsi="宋体" w:eastAsia="宋体" w:cs="宋体"/>
                <w:i w:val="0"/>
                <w:color w:val="000000"/>
                <w:sz w:val="24"/>
                <w:szCs w:val="24"/>
                <w:u w:val="none"/>
              </w:rPr>
            </w:pPr>
          </w:p>
        </w:tc>
        <w:tc>
          <w:tcPr>
            <w:tcW w:w="398" w:type="dxa"/>
            <w:shd w:val="clear" w:color="auto" w:fill="auto"/>
            <w:vAlign w:val="center"/>
          </w:tcPr>
          <w:p>
            <w:pPr>
              <w:rPr>
                <w:rFonts w:hint="eastAsia" w:ascii="宋体" w:hAnsi="宋体" w:eastAsia="宋体" w:cs="宋体"/>
                <w:i w:val="0"/>
                <w:color w:val="000000"/>
                <w:sz w:val="24"/>
                <w:szCs w:val="24"/>
                <w:u w:val="none"/>
              </w:rPr>
            </w:pPr>
          </w:p>
        </w:tc>
        <w:tc>
          <w:tcPr>
            <w:tcW w:w="398" w:type="dxa"/>
            <w:shd w:val="clear" w:color="auto" w:fill="auto"/>
            <w:vAlign w:val="center"/>
          </w:tcPr>
          <w:p>
            <w:pPr>
              <w:rPr>
                <w:rFonts w:hint="eastAsia" w:ascii="宋体" w:hAnsi="宋体" w:eastAsia="宋体" w:cs="宋体"/>
                <w:i w:val="0"/>
                <w:color w:val="000000"/>
                <w:sz w:val="24"/>
                <w:szCs w:val="24"/>
                <w:u w:val="none"/>
              </w:rPr>
            </w:pPr>
          </w:p>
        </w:tc>
        <w:tc>
          <w:tcPr>
            <w:tcW w:w="1466" w:type="dxa"/>
            <w:shd w:val="clear" w:color="auto" w:fill="auto"/>
            <w:vAlign w:val="center"/>
          </w:tcPr>
          <w:p>
            <w:pPr>
              <w:rPr>
                <w:rFonts w:hint="eastAsia" w:ascii="宋体" w:hAnsi="宋体" w:eastAsia="宋体" w:cs="宋体"/>
                <w:i w:val="0"/>
                <w:color w:val="000000"/>
                <w:sz w:val="24"/>
                <w:szCs w:val="24"/>
                <w:u w:val="none"/>
              </w:rPr>
            </w:pPr>
          </w:p>
        </w:tc>
      </w:tr>
    </w:tbl>
    <w:p>
      <w:pPr>
        <w:pStyle w:val="2"/>
        <w:rPr>
          <w:rFonts w:hint="eastAsia"/>
          <w:lang w:eastAsia="zh-CN"/>
        </w:rPr>
      </w:pPr>
    </w:p>
    <w:p>
      <w:pPr>
        <w:pStyle w:val="2"/>
        <w:rPr>
          <w:rFonts w:hint="eastAsia"/>
          <w:lang w:eastAsia="zh-CN"/>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rPr>
          <w:rFonts w:ascii="仿宋_GB2312" w:eastAsia="仿宋_GB2312"/>
          <w:b/>
          <w:sz w:val="32"/>
          <w:szCs w:val="32"/>
        </w:rPr>
      </w:pPr>
    </w:p>
    <w:tbl>
      <w:tblPr>
        <w:tblStyle w:val="11"/>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9"/>
        <w:gridCol w:w="852"/>
        <w:gridCol w:w="359"/>
        <w:gridCol w:w="3084"/>
        <w:gridCol w:w="1383"/>
        <w:gridCol w:w="1552"/>
        <w:gridCol w:w="916"/>
        <w:gridCol w:w="916"/>
        <w:gridCol w:w="916"/>
        <w:gridCol w:w="1694"/>
        <w:gridCol w:w="916"/>
        <w:gridCol w:w="1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600" w:type="dxa"/>
            <w:gridSpan w:val="12"/>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319" w:type="dxa"/>
            <w:shd w:val="clear" w:color="auto" w:fill="auto"/>
            <w:vAlign w:val="center"/>
          </w:tcPr>
          <w:p>
            <w:pPr>
              <w:rPr>
                <w:rFonts w:hint="eastAsia" w:ascii="宋体" w:hAnsi="宋体" w:eastAsia="宋体" w:cs="宋体"/>
                <w:i w:val="0"/>
                <w:color w:val="000000"/>
                <w:sz w:val="24"/>
                <w:szCs w:val="24"/>
                <w:u w:val="none"/>
              </w:rPr>
            </w:pPr>
          </w:p>
        </w:tc>
        <w:tc>
          <w:tcPr>
            <w:tcW w:w="852" w:type="dxa"/>
            <w:shd w:val="clear" w:color="auto" w:fill="auto"/>
            <w:vAlign w:val="center"/>
          </w:tcPr>
          <w:p>
            <w:pPr>
              <w:rPr>
                <w:rFonts w:hint="eastAsia" w:ascii="宋体" w:hAnsi="宋体" w:eastAsia="宋体" w:cs="宋体"/>
                <w:i w:val="0"/>
                <w:color w:val="000000"/>
                <w:sz w:val="24"/>
                <w:szCs w:val="24"/>
                <w:u w:val="none"/>
              </w:rPr>
            </w:pPr>
          </w:p>
        </w:tc>
        <w:tc>
          <w:tcPr>
            <w:tcW w:w="359" w:type="dxa"/>
            <w:shd w:val="clear" w:color="auto" w:fill="auto"/>
            <w:vAlign w:val="center"/>
          </w:tcPr>
          <w:p>
            <w:pPr>
              <w:rPr>
                <w:rFonts w:hint="eastAsia" w:ascii="宋体" w:hAnsi="宋体" w:eastAsia="宋体" w:cs="宋体"/>
                <w:i w:val="0"/>
                <w:color w:val="000000"/>
                <w:sz w:val="24"/>
                <w:szCs w:val="24"/>
                <w:u w:val="none"/>
              </w:rPr>
            </w:pPr>
          </w:p>
        </w:tc>
        <w:tc>
          <w:tcPr>
            <w:tcW w:w="3084" w:type="dxa"/>
            <w:shd w:val="clear" w:color="auto" w:fill="auto"/>
            <w:vAlign w:val="center"/>
          </w:tcPr>
          <w:p>
            <w:pPr>
              <w:rPr>
                <w:rFonts w:hint="eastAsia" w:ascii="宋体" w:hAnsi="宋体" w:eastAsia="宋体" w:cs="宋体"/>
                <w:i w:val="0"/>
                <w:color w:val="000000"/>
                <w:sz w:val="24"/>
                <w:szCs w:val="24"/>
                <w:u w:val="none"/>
              </w:rPr>
            </w:pPr>
          </w:p>
        </w:tc>
        <w:tc>
          <w:tcPr>
            <w:tcW w:w="1383" w:type="dxa"/>
            <w:shd w:val="clear" w:color="auto" w:fill="auto"/>
            <w:vAlign w:val="center"/>
          </w:tcPr>
          <w:p>
            <w:pPr>
              <w:rPr>
                <w:rFonts w:hint="eastAsia" w:ascii="宋体" w:hAnsi="宋体" w:eastAsia="宋体" w:cs="宋体"/>
                <w:i w:val="0"/>
                <w:color w:val="000000"/>
                <w:sz w:val="24"/>
                <w:szCs w:val="24"/>
                <w:u w:val="none"/>
              </w:rPr>
            </w:pPr>
          </w:p>
        </w:tc>
        <w:tc>
          <w:tcPr>
            <w:tcW w:w="1552" w:type="dxa"/>
            <w:shd w:val="clear" w:color="auto" w:fill="auto"/>
            <w:vAlign w:val="center"/>
          </w:tcPr>
          <w:p>
            <w:pPr>
              <w:rPr>
                <w:rFonts w:hint="eastAsia" w:ascii="宋体" w:hAnsi="宋体" w:eastAsia="宋体" w:cs="宋体"/>
                <w:i w:val="0"/>
                <w:color w:val="000000"/>
                <w:sz w:val="24"/>
                <w:szCs w:val="24"/>
                <w:u w:val="none"/>
              </w:rPr>
            </w:pPr>
          </w:p>
        </w:tc>
        <w:tc>
          <w:tcPr>
            <w:tcW w:w="916" w:type="dxa"/>
            <w:shd w:val="clear" w:color="auto" w:fill="auto"/>
            <w:vAlign w:val="center"/>
          </w:tcPr>
          <w:p>
            <w:pPr>
              <w:rPr>
                <w:rFonts w:hint="eastAsia" w:ascii="宋体" w:hAnsi="宋体" w:eastAsia="宋体" w:cs="宋体"/>
                <w:i w:val="0"/>
                <w:color w:val="000000"/>
                <w:sz w:val="24"/>
                <w:szCs w:val="24"/>
                <w:u w:val="none"/>
              </w:rPr>
            </w:pPr>
          </w:p>
        </w:tc>
        <w:tc>
          <w:tcPr>
            <w:tcW w:w="916" w:type="dxa"/>
            <w:shd w:val="clear" w:color="auto" w:fill="auto"/>
            <w:vAlign w:val="center"/>
          </w:tcPr>
          <w:p>
            <w:pPr>
              <w:rPr>
                <w:rFonts w:hint="eastAsia" w:ascii="宋体" w:hAnsi="宋体" w:eastAsia="宋体" w:cs="宋体"/>
                <w:i w:val="0"/>
                <w:color w:val="000000"/>
                <w:sz w:val="24"/>
                <w:szCs w:val="24"/>
                <w:u w:val="none"/>
              </w:rPr>
            </w:pPr>
          </w:p>
        </w:tc>
        <w:tc>
          <w:tcPr>
            <w:tcW w:w="916" w:type="dxa"/>
            <w:shd w:val="clear" w:color="auto" w:fill="auto"/>
            <w:vAlign w:val="center"/>
          </w:tcPr>
          <w:p>
            <w:pPr>
              <w:rPr>
                <w:rFonts w:hint="eastAsia" w:ascii="宋体" w:hAnsi="宋体" w:eastAsia="宋体" w:cs="宋体"/>
                <w:i w:val="0"/>
                <w:color w:val="000000"/>
                <w:sz w:val="24"/>
                <w:szCs w:val="24"/>
                <w:u w:val="none"/>
              </w:rPr>
            </w:pPr>
          </w:p>
        </w:tc>
        <w:tc>
          <w:tcPr>
            <w:tcW w:w="1694" w:type="dxa"/>
            <w:shd w:val="clear" w:color="auto" w:fill="auto"/>
            <w:vAlign w:val="center"/>
          </w:tcPr>
          <w:p>
            <w:pPr>
              <w:jc w:val="center"/>
              <w:rPr>
                <w:rFonts w:hint="eastAsia" w:ascii="宋体" w:hAnsi="宋体" w:eastAsia="宋体" w:cs="宋体"/>
                <w:b/>
                <w:i w:val="0"/>
                <w:color w:val="000000"/>
                <w:sz w:val="20"/>
                <w:szCs w:val="20"/>
                <w:u w:val="none"/>
              </w:rPr>
            </w:pPr>
          </w:p>
        </w:tc>
        <w:tc>
          <w:tcPr>
            <w:tcW w:w="916" w:type="dxa"/>
            <w:shd w:val="clear" w:color="auto" w:fill="auto"/>
            <w:vAlign w:val="center"/>
          </w:tcPr>
          <w:p>
            <w:pPr>
              <w:rPr>
                <w:rFonts w:hint="eastAsia" w:ascii="宋体" w:hAnsi="宋体" w:eastAsia="宋体" w:cs="宋体"/>
                <w:i w:val="0"/>
                <w:color w:val="000000"/>
                <w:sz w:val="24"/>
                <w:szCs w:val="24"/>
                <w:u w:val="none"/>
              </w:rPr>
            </w:pPr>
          </w:p>
        </w:tc>
        <w:tc>
          <w:tcPr>
            <w:tcW w:w="1693" w:type="dxa"/>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297" w:type="dxa"/>
            <w:gridSpan w:val="9"/>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1694" w:type="dxa"/>
            <w:shd w:val="clear" w:color="auto" w:fill="auto"/>
            <w:vAlign w:val="center"/>
          </w:tcPr>
          <w:p>
            <w:pPr>
              <w:rPr>
                <w:rFonts w:hint="eastAsia" w:ascii="宋体" w:hAnsi="宋体" w:eastAsia="宋体" w:cs="宋体"/>
                <w:i w:val="0"/>
                <w:color w:val="000000"/>
                <w:sz w:val="24"/>
                <w:szCs w:val="24"/>
                <w:u w:val="none"/>
              </w:rPr>
            </w:pPr>
          </w:p>
        </w:tc>
        <w:tc>
          <w:tcPr>
            <w:tcW w:w="916" w:type="dxa"/>
            <w:shd w:val="clear" w:color="auto" w:fill="auto"/>
            <w:vAlign w:val="center"/>
          </w:tcPr>
          <w:p>
            <w:pPr>
              <w:rPr>
                <w:rFonts w:hint="eastAsia" w:ascii="宋体" w:hAnsi="宋体" w:eastAsia="宋体" w:cs="宋体"/>
                <w:i w:val="0"/>
                <w:color w:val="000000"/>
                <w:sz w:val="24"/>
                <w:szCs w:val="24"/>
                <w:u w:val="none"/>
              </w:rPr>
            </w:pPr>
          </w:p>
        </w:tc>
        <w:tc>
          <w:tcPr>
            <w:tcW w:w="1693"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61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2748"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430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530"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0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6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6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53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0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3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6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31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8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0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3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5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19" w:type="dxa"/>
            <w:shd w:val="clear" w:color="auto" w:fill="auto"/>
            <w:vAlign w:val="center"/>
          </w:tcPr>
          <w:p>
            <w:pPr>
              <w:rPr>
                <w:rFonts w:hint="eastAsia" w:ascii="宋体" w:hAnsi="宋体" w:eastAsia="宋体" w:cs="宋体"/>
                <w:i w:val="0"/>
                <w:color w:val="000000"/>
                <w:sz w:val="24"/>
                <w:szCs w:val="24"/>
                <w:u w:val="none"/>
              </w:rPr>
            </w:pPr>
          </w:p>
        </w:tc>
        <w:tc>
          <w:tcPr>
            <w:tcW w:w="852" w:type="dxa"/>
            <w:shd w:val="clear" w:color="auto" w:fill="auto"/>
            <w:vAlign w:val="center"/>
          </w:tcPr>
          <w:p>
            <w:pPr>
              <w:rPr>
                <w:rFonts w:hint="eastAsia" w:ascii="宋体" w:hAnsi="宋体" w:eastAsia="宋体" w:cs="宋体"/>
                <w:i w:val="0"/>
                <w:color w:val="000000"/>
                <w:sz w:val="24"/>
                <w:szCs w:val="24"/>
                <w:u w:val="none"/>
              </w:rPr>
            </w:pPr>
          </w:p>
        </w:tc>
        <w:tc>
          <w:tcPr>
            <w:tcW w:w="359" w:type="dxa"/>
            <w:shd w:val="clear" w:color="auto" w:fill="auto"/>
            <w:vAlign w:val="center"/>
          </w:tcPr>
          <w:p>
            <w:pPr>
              <w:rPr>
                <w:rFonts w:hint="eastAsia" w:ascii="宋体" w:hAnsi="宋体" w:eastAsia="宋体" w:cs="宋体"/>
                <w:i w:val="0"/>
                <w:color w:val="000000"/>
                <w:sz w:val="24"/>
                <w:szCs w:val="24"/>
                <w:u w:val="none"/>
              </w:rPr>
            </w:pPr>
          </w:p>
        </w:tc>
        <w:tc>
          <w:tcPr>
            <w:tcW w:w="3084" w:type="dxa"/>
            <w:shd w:val="clear" w:color="auto" w:fill="auto"/>
            <w:vAlign w:val="center"/>
          </w:tcPr>
          <w:p>
            <w:pPr>
              <w:rPr>
                <w:rFonts w:hint="eastAsia" w:ascii="宋体" w:hAnsi="宋体" w:eastAsia="宋体" w:cs="宋体"/>
                <w:i w:val="0"/>
                <w:color w:val="000000"/>
                <w:sz w:val="24"/>
                <w:szCs w:val="24"/>
                <w:u w:val="none"/>
              </w:rPr>
            </w:pPr>
          </w:p>
        </w:tc>
        <w:tc>
          <w:tcPr>
            <w:tcW w:w="1383" w:type="dxa"/>
            <w:shd w:val="clear" w:color="auto" w:fill="auto"/>
            <w:vAlign w:val="center"/>
          </w:tcPr>
          <w:p>
            <w:pPr>
              <w:rPr>
                <w:rFonts w:hint="eastAsia" w:ascii="宋体" w:hAnsi="宋体" w:eastAsia="宋体" w:cs="宋体"/>
                <w:i w:val="0"/>
                <w:color w:val="000000"/>
                <w:sz w:val="24"/>
                <w:szCs w:val="24"/>
                <w:u w:val="none"/>
              </w:rPr>
            </w:pPr>
          </w:p>
        </w:tc>
        <w:tc>
          <w:tcPr>
            <w:tcW w:w="1552" w:type="dxa"/>
            <w:shd w:val="clear" w:color="auto" w:fill="auto"/>
            <w:vAlign w:val="center"/>
          </w:tcPr>
          <w:p>
            <w:pPr>
              <w:rPr>
                <w:rFonts w:hint="eastAsia" w:ascii="宋体" w:hAnsi="宋体" w:eastAsia="宋体" w:cs="宋体"/>
                <w:i w:val="0"/>
                <w:color w:val="000000"/>
                <w:sz w:val="24"/>
                <w:szCs w:val="24"/>
                <w:u w:val="none"/>
              </w:rPr>
            </w:pPr>
          </w:p>
        </w:tc>
        <w:tc>
          <w:tcPr>
            <w:tcW w:w="916" w:type="dxa"/>
            <w:shd w:val="clear" w:color="auto" w:fill="auto"/>
            <w:vAlign w:val="center"/>
          </w:tcPr>
          <w:p>
            <w:pPr>
              <w:rPr>
                <w:rFonts w:hint="eastAsia" w:ascii="宋体" w:hAnsi="宋体" w:eastAsia="宋体" w:cs="宋体"/>
                <w:i w:val="0"/>
                <w:color w:val="000000"/>
                <w:sz w:val="24"/>
                <w:szCs w:val="24"/>
                <w:u w:val="none"/>
              </w:rPr>
            </w:pPr>
          </w:p>
        </w:tc>
        <w:tc>
          <w:tcPr>
            <w:tcW w:w="916" w:type="dxa"/>
            <w:shd w:val="clear" w:color="auto" w:fill="auto"/>
            <w:vAlign w:val="center"/>
          </w:tcPr>
          <w:p>
            <w:pPr>
              <w:rPr>
                <w:rFonts w:hint="eastAsia" w:ascii="宋体" w:hAnsi="宋体" w:eastAsia="宋体" w:cs="宋体"/>
                <w:i w:val="0"/>
                <w:color w:val="000000"/>
                <w:sz w:val="24"/>
                <w:szCs w:val="24"/>
                <w:u w:val="none"/>
              </w:rPr>
            </w:pPr>
          </w:p>
        </w:tc>
        <w:tc>
          <w:tcPr>
            <w:tcW w:w="916" w:type="dxa"/>
            <w:shd w:val="clear" w:color="auto" w:fill="auto"/>
            <w:vAlign w:val="center"/>
          </w:tcPr>
          <w:p>
            <w:pPr>
              <w:rPr>
                <w:rFonts w:hint="eastAsia" w:ascii="宋体" w:hAnsi="宋体" w:eastAsia="宋体" w:cs="宋体"/>
                <w:i w:val="0"/>
                <w:color w:val="000000"/>
                <w:sz w:val="24"/>
                <w:szCs w:val="24"/>
                <w:u w:val="none"/>
              </w:rPr>
            </w:pPr>
          </w:p>
        </w:tc>
        <w:tc>
          <w:tcPr>
            <w:tcW w:w="1694" w:type="dxa"/>
            <w:shd w:val="clear" w:color="auto" w:fill="auto"/>
            <w:vAlign w:val="center"/>
          </w:tcPr>
          <w:p>
            <w:pPr>
              <w:rPr>
                <w:rFonts w:hint="eastAsia" w:ascii="宋体" w:hAnsi="宋体" w:eastAsia="宋体" w:cs="宋体"/>
                <w:i w:val="0"/>
                <w:color w:val="000000"/>
                <w:sz w:val="24"/>
                <w:szCs w:val="24"/>
                <w:u w:val="none"/>
              </w:rPr>
            </w:pPr>
          </w:p>
        </w:tc>
        <w:tc>
          <w:tcPr>
            <w:tcW w:w="916" w:type="dxa"/>
            <w:shd w:val="clear" w:color="auto" w:fill="auto"/>
            <w:vAlign w:val="center"/>
          </w:tcPr>
          <w:p>
            <w:pPr>
              <w:rPr>
                <w:rFonts w:hint="eastAsia" w:ascii="宋体" w:hAnsi="宋体" w:eastAsia="宋体" w:cs="宋体"/>
                <w:i w:val="0"/>
                <w:color w:val="000000"/>
                <w:sz w:val="24"/>
                <w:szCs w:val="24"/>
                <w:u w:val="none"/>
              </w:rPr>
            </w:pPr>
          </w:p>
        </w:tc>
        <w:tc>
          <w:tcPr>
            <w:tcW w:w="1693" w:type="dxa"/>
            <w:shd w:val="clear" w:color="auto" w:fill="auto"/>
            <w:vAlign w:val="center"/>
          </w:tcPr>
          <w:p>
            <w:pPr>
              <w:rPr>
                <w:rFonts w:hint="eastAsia" w:ascii="宋体" w:hAnsi="宋体" w:eastAsia="宋体" w:cs="宋体"/>
                <w:i w:val="0"/>
                <w:color w:val="000000"/>
                <w:sz w:val="24"/>
                <w:szCs w:val="24"/>
                <w:u w:val="none"/>
              </w:rPr>
            </w:pPr>
          </w:p>
        </w:tc>
      </w:tr>
    </w:tbl>
    <w:p>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r>
        <w:rPr>
          <w:rFonts w:hint="eastAsia" w:ascii="仿宋_GB2312" w:hAnsi="仿宋_GB2312" w:eastAsia="仿宋_GB2312" w:cs="仿宋_GB2312"/>
          <w:sz w:val="32"/>
          <w:szCs w:val="32"/>
          <w:highlight w:val="none"/>
          <w:lang w:val="en-US" w:eastAsia="zh-CN"/>
        </w:rPr>
        <w:t>我单位无此项支出</w:t>
      </w:r>
    </w:p>
    <w:tbl>
      <w:tblPr>
        <w:tblStyle w:val="11"/>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03"/>
        <w:gridCol w:w="1467"/>
        <w:gridCol w:w="4303"/>
        <w:gridCol w:w="1467"/>
        <w:gridCol w:w="1593"/>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600" w:type="dxa"/>
            <w:gridSpan w:val="6"/>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133" w:type="dxa"/>
            <w:gridSpan w:val="5"/>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1467"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736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tabs>
          <w:tab w:val="center" w:pos="6979"/>
        </w:tabs>
        <w:jc w:val="center"/>
        <w:rPr>
          <w:rFonts w:hint="eastAsia"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r>
        <w:rPr>
          <w:rFonts w:hint="eastAsia" w:ascii="仿宋_GB2312" w:hAnsi="仿宋_GB2312" w:eastAsia="仿宋_GB2312" w:cs="仿宋_GB2312"/>
          <w:sz w:val="32"/>
          <w:szCs w:val="32"/>
          <w:highlight w:val="none"/>
          <w:lang w:val="en-US" w:eastAsia="zh-CN"/>
        </w:rPr>
        <w:t>我单位无此项支出</w:t>
      </w:r>
    </w:p>
    <w:p>
      <w:pPr>
        <w:tabs>
          <w:tab w:val="center" w:pos="6979"/>
        </w:tabs>
        <w:jc w:val="center"/>
        <w:rPr>
          <w:rFonts w:ascii="宋体" w:hAnsi="宋体" w:cs="宋体"/>
          <w:b/>
          <w:bCs/>
          <w:kern w:val="0"/>
          <w:sz w:val="28"/>
          <w:szCs w:val="28"/>
        </w:rPr>
      </w:pPr>
    </w:p>
    <w:tbl>
      <w:tblPr>
        <w:tblStyle w:val="11"/>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1"/>
        <w:gridCol w:w="1362"/>
        <w:gridCol w:w="1363"/>
        <w:gridCol w:w="4929"/>
        <w:gridCol w:w="2484"/>
        <w:gridCol w:w="1467"/>
        <w:gridCol w:w="2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599" w:type="dxa"/>
            <w:gridSpan w:val="7"/>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11" w:type="dxa"/>
            <w:shd w:val="clear" w:color="auto" w:fill="auto"/>
            <w:vAlign w:val="center"/>
          </w:tcPr>
          <w:p>
            <w:pPr>
              <w:rPr>
                <w:rFonts w:hint="eastAsia" w:ascii="宋体" w:hAnsi="宋体" w:eastAsia="宋体" w:cs="宋体"/>
                <w:i w:val="0"/>
                <w:color w:val="000000"/>
                <w:sz w:val="24"/>
                <w:szCs w:val="24"/>
                <w:u w:val="none"/>
              </w:rPr>
            </w:pPr>
          </w:p>
        </w:tc>
        <w:tc>
          <w:tcPr>
            <w:tcW w:w="1362" w:type="dxa"/>
            <w:shd w:val="clear" w:color="auto" w:fill="auto"/>
            <w:vAlign w:val="center"/>
          </w:tcPr>
          <w:p>
            <w:pPr>
              <w:rPr>
                <w:rFonts w:hint="eastAsia" w:ascii="宋体" w:hAnsi="宋体" w:eastAsia="宋体" w:cs="宋体"/>
                <w:i w:val="0"/>
                <w:color w:val="000000"/>
                <w:sz w:val="24"/>
                <w:szCs w:val="24"/>
                <w:u w:val="none"/>
              </w:rPr>
            </w:pPr>
          </w:p>
        </w:tc>
        <w:tc>
          <w:tcPr>
            <w:tcW w:w="1363" w:type="dxa"/>
            <w:shd w:val="clear" w:color="auto" w:fill="auto"/>
            <w:vAlign w:val="center"/>
          </w:tcPr>
          <w:p>
            <w:pPr>
              <w:rPr>
                <w:rFonts w:hint="eastAsia" w:ascii="宋体" w:hAnsi="宋体" w:eastAsia="宋体" w:cs="宋体"/>
                <w:i w:val="0"/>
                <w:color w:val="000000"/>
                <w:sz w:val="24"/>
                <w:szCs w:val="24"/>
                <w:u w:val="none"/>
              </w:rPr>
            </w:pPr>
          </w:p>
        </w:tc>
        <w:tc>
          <w:tcPr>
            <w:tcW w:w="4929" w:type="dxa"/>
            <w:shd w:val="clear" w:color="auto" w:fill="auto"/>
            <w:vAlign w:val="center"/>
          </w:tcPr>
          <w:p>
            <w:pPr>
              <w:rPr>
                <w:rFonts w:hint="eastAsia" w:ascii="宋体" w:hAnsi="宋体" w:eastAsia="宋体" w:cs="宋体"/>
                <w:i w:val="0"/>
                <w:color w:val="000000"/>
                <w:sz w:val="24"/>
                <w:szCs w:val="24"/>
                <w:u w:val="none"/>
              </w:rPr>
            </w:pPr>
          </w:p>
        </w:tc>
        <w:tc>
          <w:tcPr>
            <w:tcW w:w="2484" w:type="dxa"/>
            <w:shd w:val="clear" w:color="auto" w:fill="auto"/>
            <w:vAlign w:val="center"/>
          </w:tcPr>
          <w:p>
            <w:pPr>
              <w:rPr>
                <w:rFonts w:hint="eastAsia" w:ascii="宋体" w:hAnsi="宋体" w:eastAsia="宋体" w:cs="宋体"/>
                <w:i w:val="0"/>
                <w:color w:val="000000"/>
                <w:sz w:val="24"/>
                <w:szCs w:val="24"/>
                <w:u w:val="none"/>
              </w:rPr>
            </w:pPr>
          </w:p>
        </w:tc>
        <w:tc>
          <w:tcPr>
            <w:tcW w:w="1467" w:type="dxa"/>
            <w:shd w:val="clear" w:color="auto" w:fill="auto"/>
            <w:vAlign w:val="center"/>
          </w:tcPr>
          <w:p>
            <w:pPr>
              <w:rPr>
                <w:rFonts w:hint="eastAsia" w:ascii="宋体" w:hAnsi="宋体" w:eastAsia="宋体" w:cs="宋体"/>
                <w:i w:val="0"/>
                <w:color w:val="000000"/>
                <w:sz w:val="24"/>
                <w:szCs w:val="24"/>
                <w:u w:val="none"/>
              </w:rPr>
            </w:pPr>
          </w:p>
        </w:tc>
        <w:tc>
          <w:tcPr>
            <w:tcW w:w="2483" w:type="dxa"/>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2116" w:type="dxa"/>
            <w:gridSpan w:val="6"/>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2483"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81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643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323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49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323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5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36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49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11" w:type="dxa"/>
            <w:shd w:val="clear" w:color="auto" w:fill="auto"/>
            <w:vAlign w:val="center"/>
          </w:tcPr>
          <w:p>
            <w:pPr>
              <w:rPr>
                <w:rFonts w:hint="eastAsia" w:ascii="宋体" w:hAnsi="宋体" w:eastAsia="宋体" w:cs="宋体"/>
                <w:i w:val="0"/>
                <w:color w:val="000000"/>
                <w:sz w:val="24"/>
                <w:szCs w:val="24"/>
                <w:u w:val="none"/>
              </w:rPr>
            </w:pPr>
          </w:p>
        </w:tc>
        <w:tc>
          <w:tcPr>
            <w:tcW w:w="1362" w:type="dxa"/>
            <w:shd w:val="clear" w:color="auto" w:fill="auto"/>
            <w:vAlign w:val="center"/>
          </w:tcPr>
          <w:p>
            <w:pPr>
              <w:rPr>
                <w:rFonts w:hint="eastAsia" w:ascii="宋体" w:hAnsi="宋体" w:eastAsia="宋体" w:cs="宋体"/>
                <w:i w:val="0"/>
                <w:color w:val="000000"/>
                <w:sz w:val="24"/>
                <w:szCs w:val="24"/>
                <w:u w:val="none"/>
              </w:rPr>
            </w:pPr>
          </w:p>
        </w:tc>
        <w:tc>
          <w:tcPr>
            <w:tcW w:w="1363" w:type="dxa"/>
            <w:shd w:val="clear" w:color="auto" w:fill="auto"/>
            <w:vAlign w:val="center"/>
          </w:tcPr>
          <w:p>
            <w:pPr>
              <w:rPr>
                <w:rFonts w:hint="eastAsia" w:ascii="宋体" w:hAnsi="宋体" w:eastAsia="宋体" w:cs="宋体"/>
                <w:i w:val="0"/>
                <w:color w:val="000000"/>
                <w:sz w:val="24"/>
                <w:szCs w:val="24"/>
                <w:u w:val="none"/>
              </w:rPr>
            </w:pPr>
          </w:p>
        </w:tc>
        <w:tc>
          <w:tcPr>
            <w:tcW w:w="4929" w:type="dxa"/>
            <w:shd w:val="clear" w:color="auto" w:fill="auto"/>
            <w:vAlign w:val="center"/>
          </w:tcPr>
          <w:p>
            <w:pPr>
              <w:rPr>
                <w:rFonts w:hint="eastAsia" w:ascii="宋体" w:hAnsi="宋体" w:eastAsia="宋体" w:cs="宋体"/>
                <w:i w:val="0"/>
                <w:color w:val="000000"/>
                <w:sz w:val="24"/>
                <w:szCs w:val="24"/>
                <w:u w:val="none"/>
              </w:rPr>
            </w:pPr>
          </w:p>
        </w:tc>
        <w:tc>
          <w:tcPr>
            <w:tcW w:w="2484" w:type="dxa"/>
            <w:shd w:val="clear" w:color="auto" w:fill="auto"/>
            <w:vAlign w:val="center"/>
          </w:tcPr>
          <w:p>
            <w:pPr>
              <w:rPr>
                <w:rFonts w:hint="eastAsia" w:ascii="宋体" w:hAnsi="宋体" w:eastAsia="宋体" w:cs="宋体"/>
                <w:i w:val="0"/>
                <w:color w:val="000000"/>
                <w:sz w:val="24"/>
                <w:szCs w:val="24"/>
                <w:u w:val="none"/>
              </w:rPr>
            </w:pPr>
          </w:p>
        </w:tc>
        <w:tc>
          <w:tcPr>
            <w:tcW w:w="1467" w:type="dxa"/>
            <w:shd w:val="clear" w:color="auto" w:fill="auto"/>
            <w:vAlign w:val="center"/>
          </w:tcPr>
          <w:p>
            <w:pPr>
              <w:rPr>
                <w:rFonts w:hint="eastAsia" w:ascii="宋体" w:hAnsi="宋体" w:eastAsia="宋体" w:cs="宋体"/>
                <w:i w:val="0"/>
                <w:color w:val="000000"/>
                <w:sz w:val="24"/>
                <w:szCs w:val="24"/>
                <w:u w:val="none"/>
              </w:rPr>
            </w:pPr>
          </w:p>
        </w:tc>
        <w:tc>
          <w:tcPr>
            <w:tcW w:w="2483" w:type="dxa"/>
            <w:shd w:val="clear" w:color="auto" w:fill="auto"/>
            <w:vAlign w:val="center"/>
          </w:tcPr>
          <w:p>
            <w:pPr>
              <w:rPr>
                <w:rFonts w:hint="eastAsia" w:ascii="宋体" w:hAnsi="宋体" w:eastAsia="宋体" w:cs="宋体"/>
                <w:i w:val="0"/>
                <w:color w:val="000000"/>
                <w:sz w:val="24"/>
                <w:szCs w:val="24"/>
                <w:u w:val="none"/>
              </w:rPr>
            </w:pPr>
          </w:p>
        </w:tc>
      </w:tr>
    </w:tbl>
    <w:p>
      <w:pPr>
        <w:jc w:val="center"/>
        <w:rPr>
          <w:rFonts w:ascii="仿宋_GB2312" w:eastAsia="仿宋_GB2312"/>
          <w:sz w:val="32"/>
          <w:szCs w:val="32"/>
        </w:rPr>
      </w:pPr>
      <w:r>
        <w:rPr>
          <w:rFonts w:hint="eastAsia" w:ascii="仿宋_GB2312" w:hAnsi="仿宋_GB2312" w:eastAsia="仿宋_GB2312" w:cs="仿宋_GB2312"/>
          <w:sz w:val="32"/>
          <w:szCs w:val="32"/>
          <w:highlight w:val="none"/>
          <w:lang w:val="en-US" w:eastAsia="zh-CN"/>
        </w:rPr>
        <w:t>我单位无此项支出</w:t>
      </w:r>
    </w:p>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tbl>
      <w:tblPr>
        <w:tblStyle w:val="11"/>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9"/>
        <w:gridCol w:w="1418"/>
        <w:gridCol w:w="1307"/>
        <w:gridCol w:w="1307"/>
        <w:gridCol w:w="1307"/>
        <w:gridCol w:w="1307"/>
        <w:gridCol w:w="1307"/>
        <w:gridCol w:w="1307"/>
        <w:gridCol w:w="1307"/>
        <w:gridCol w:w="1307"/>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600" w:type="dxa"/>
            <w:gridSpan w:val="11"/>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419" w:type="dxa"/>
            <w:shd w:val="clear" w:color="auto" w:fill="auto"/>
            <w:vAlign w:val="center"/>
          </w:tcPr>
          <w:p>
            <w:pPr>
              <w:rPr>
                <w:rFonts w:hint="eastAsia" w:ascii="宋体" w:hAnsi="宋体" w:eastAsia="宋体" w:cs="宋体"/>
                <w:i w:val="0"/>
                <w:color w:val="000000"/>
                <w:sz w:val="24"/>
                <w:szCs w:val="24"/>
                <w:u w:val="none"/>
              </w:rPr>
            </w:pPr>
          </w:p>
        </w:tc>
        <w:tc>
          <w:tcPr>
            <w:tcW w:w="1418"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3293" w:type="dxa"/>
            <w:gridSpan w:val="10"/>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1307"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7"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“三公”经费财政拨款合计</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因公出国（境）费用</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公务接待费</w:t>
            </w:r>
          </w:p>
        </w:tc>
        <w:tc>
          <w:tcPr>
            <w:tcW w:w="7842"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283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公务用车购置费</w:t>
            </w:r>
          </w:p>
        </w:tc>
        <w:tc>
          <w:tcPr>
            <w:tcW w:w="6535"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小计</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公务用车加油</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公务用车维修</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公务用车保险</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2023年预算</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28.939200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28.939200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11.810000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6.729200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2023年决算</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28.631890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28.631890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12.700000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12.086264</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2.931462</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0.914164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trPr>
        <w:tc>
          <w:tcPr>
            <w:tcW w:w="1419" w:type="dxa"/>
            <w:shd w:val="clear" w:color="auto" w:fill="auto"/>
            <w:vAlign w:val="center"/>
          </w:tcPr>
          <w:p>
            <w:pPr>
              <w:rPr>
                <w:rFonts w:hint="eastAsia" w:ascii="宋体" w:hAnsi="宋体" w:eastAsia="宋体" w:cs="宋体"/>
                <w:i w:val="0"/>
                <w:color w:val="000000"/>
                <w:sz w:val="24"/>
                <w:szCs w:val="24"/>
                <w:u w:val="none"/>
              </w:rPr>
            </w:pPr>
          </w:p>
        </w:tc>
        <w:tc>
          <w:tcPr>
            <w:tcW w:w="1418"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c>
          <w:tcPr>
            <w:tcW w:w="1307" w:type="dxa"/>
            <w:shd w:val="clear" w:color="auto" w:fill="auto"/>
            <w:vAlign w:val="center"/>
          </w:tcPr>
          <w:p>
            <w:pPr>
              <w:rPr>
                <w:rFonts w:hint="eastAsia" w:ascii="宋体" w:hAnsi="宋体" w:eastAsia="宋体" w:cs="宋体"/>
                <w:i w:val="0"/>
                <w:color w:val="000000"/>
                <w:sz w:val="24"/>
                <w:szCs w:val="24"/>
                <w:u w:val="none"/>
              </w:rPr>
            </w:pPr>
          </w:p>
        </w:tc>
      </w:tr>
    </w:tbl>
    <w:p>
      <w:pPr>
        <w:spacing w:line="560" w:lineRule="exact"/>
        <w:ind w:firstLine="560" w:firstLineChars="200"/>
        <w:rPr>
          <w:rFonts w:hint="eastAsia" w:ascii="仿宋_GB2312" w:eastAsia="仿宋_GB2312"/>
          <w:sz w:val="28"/>
          <w:szCs w:val="28"/>
        </w:rPr>
      </w:pP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注：“三公”经费财政拨款决算数，反映当年财政拨款和年初结转结余资金实际支出数（包含一般公共预算拨款和政府性基金预算拨款）。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11"/>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00"/>
        <w:gridCol w:w="2200"/>
        <w:gridCol w:w="2201"/>
        <w:gridCol w:w="2261"/>
        <w:gridCol w:w="5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4600" w:type="dxa"/>
            <w:gridSpan w:val="5"/>
            <w:shd w:val="clear" w:color="auto" w:fill="auto"/>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00" w:type="dxa"/>
            <w:shd w:val="clear" w:color="auto" w:fill="auto"/>
            <w:vAlign w:val="center"/>
          </w:tcPr>
          <w:p>
            <w:pPr>
              <w:rPr>
                <w:rFonts w:hint="eastAsia" w:ascii="宋体" w:hAnsi="宋体" w:eastAsia="宋体" w:cs="宋体"/>
                <w:i w:val="0"/>
                <w:color w:val="000000"/>
                <w:sz w:val="24"/>
                <w:szCs w:val="24"/>
                <w:u w:val="none"/>
              </w:rPr>
            </w:pPr>
          </w:p>
        </w:tc>
        <w:tc>
          <w:tcPr>
            <w:tcW w:w="2200" w:type="dxa"/>
            <w:shd w:val="clear" w:color="auto" w:fill="auto"/>
            <w:vAlign w:val="center"/>
          </w:tcPr>
          <w:p>
            <w:pPr>
              <w:rPr>
                <w:rFonts w:hint="eastAsia" w:ascii="宋体" w:hAnsi="宋体" w:eastAsia="宋体" w:cs="宋体"/>
                <w:i w:val="0"/>
                <w:color w:val="000000"/>
                <w:sz w:val="24"/>
                <w:szCs w:val="24"/>
                <w:u w:val="none"/>
              </w:rPr>
            </w:pPr>
          </w:p>
        </w:tc>
        <w:tc>
          <w:tcPr>
            <w:tcW w:w="2201" w:type="dxa"/>
            <w:shd w:val="clear" w:color="auto" w:fill="auto"/>
            <w:vAlign w:val="center"/>
          </w:tcPr>
          <w:p>
            <w:pPr>
              <w:rPr>
                <w:rFonts w:hint="eastAsia" w:ascii="宋体" w:hAnsi="宋体" w:eastAsia="宋体" w:cs="宋体"/>
                <w:i w:val="0"/>
                <w:color w:val="000000"/>
                <w:sz w:val="24"/>
                <w:szCs w:val="24"/>
                <w:u w:val="none"/>
              </w:rPr>
            </w:pPr>
          </w:p>
        </w:tc>
        <w:tc>
          <w:tcPr>
            <w:tcW w:w="2261" w:type="dxa"/>
            <w:shd w:val="clear" w:color="auto" w:fill="auto"/>
            <w:vAlign w:val="center"/>
          </w:tcPr>
          <w:p>
            <w:pPr>
              <w:rPr>
                <w:rFonts w:hint="eastAsia" w:ascii="宋体" w:hAnsi="宋体" w:eastAsia="宋体" w:cs="宋体"/>
                <w:i w:val="0"/>
                <w:color w:val="000000"/>
                <w:sz w:val="24"/>
                <w:szCs w:val="24"/>
                <w:u w:val="none"/>
              </w:rPr>
            </w:pPr>
          </w:p>
        </w:tc>
        <w:tc>
          <w:tcPr>
            <w:tcW w:w="5738" w:type="dxa"/>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2" w:type="dxa"/>
            <w:gridSpan w:val="4"/>
            <w:shd w:val="clear" w:color="auto" w:fill="auto"/>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5738" w:type="dxa"/>
            <w:shd w:val="clear" w:color="auto" w:fill="auto"/>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57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政府采购支出信息</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（一）政府采购支出合计</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1．政府采购货物支出</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2．政府采购工程支出</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3．政府采购服务支出</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（二）政府采购授予中小企业合同金额</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其中：授予小微企业合同金额</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r>
        <w:rPr>
          <w:rFonts w:hint="eastAsia" w:ascii="仿宋_GB2312" w:hAnsi="仿宋_GB2312" w:eastAsia="仿宋_GB2312" w:cs="仿宋_GB2312"/>
          <w:sz w:val="32"/>
          <w:szCs w:val="32"/>
          <w:highlight w:val="none"/>
          <w:lang w:val="en-US" w:eastAsia="zh-CN"/>
        </w:rPr>
        <w:t>我单位无此项支出</w:t>
      </w:r>
    </w:p>
    <w:tbl>
      <w:tblPr>
        <w:tblStyle w:val="11"/>
        <w:tblW w:w="8780" w:type="dxa"/>
        <w:tblInd w:w="28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5"/>
        <w:gridCol w:w="1376"/>
        <w:gridCol w:w="1376"/>
        <w:gridCol w:w="4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8780" w:type="dxa"/>
            <w:gridSpan w:val="4"/>
            <w:tcBorders>
              <w:top w:val="nil"/>
              <w:left w:val="nil"/>
              <w:bottom w:val="nil"/>
              <w:right w:val="nil"/>
            </w:tcBorders>
            <w:vAlign w:val="center"/>
          </w:tcPr>
          <w:p>
            <w:pPr>
              <w:widowControl/>
              <w:jc w:val="center"/>
              <w:textAlignment w:val="center"/>
              <w:rPr>
                <w:rFonts w:ascii="宋体" w:hAnsi="宋体" w:cs="Arial"/>
                <w:b/>
                <w:bCs/>
                <w:color w:val="000000"/>
                <w:kern w:val="0"/>
                <w:sz w:val="28"/>
                <w:szCs w:val="28"/>
              </w:rPr>
            </w:pPr>
            <w:r>
              <w:rPr>
                <w:rFonts w:hint="eastAsia" w:ascii="宋体" w:hAnsi="宋体" w:eastAsia="宋体" w:cs="宋体"/>
                <w:b/>
                <w:i w:val="0"/>
                <w:color w:val="000000"/>
                <w:kern w:val="0"/>
                <w:sz w:val="28"/>
                <w:szCs w:val="28"/>
                <w:u w:val="none"/>
                <w:lang w:val="en-US" w:eastAsia="zh-CN" w:bidi="ar-SA"/>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475" w:type="dxa"/>
            <w:tcBorders>
              <w:top w:val="nil"/>
              <w:left w:val="nil"/>
              <w:bottom w:val="nil"/>
              <w:right w:val="nil"/>
            </w:tcBorders>
            <w:vAlign w:val="center"/>
          </w:tcPr>
          <w:p>
            <w:pPr>
              <w:rPr>
                <w:rFonts w:hint="eastAsia" w:ascii="宋体" w:hAnsi="宋体" w:cs="Arial"/>
                <w:color w:val="000000"/>
                <w:kern w:val="0"/>
                <w:sz w:val="18"/>
                <w:szCs w:val="18"/>
              </w:rPr>
            </w:pPr>
          </w:p>
        </w:tc>
        <w:tc>
          <w:tcPr>
            <w:tcW w:w="1376" w:type="dxa"/>
            <w:tcBorders>
              <w:top w:val="nil"/>
              <w:left w:val="nil"/>
              <w:bottom w:val="nil"/>
              <w:right w:val="nil"/>
            </w:tcBorders>
            <w:vAlign w:val="center"/>
          </w:tcPr>
          <w:p/>
        </w:tc>
        <w:tc>
          <w:tcPr>
            <w:tcW w:w="1376" w:type="dxa"/>
            <w:tcBorders>
              <w:top w:val="nil"/>
              <w:left w:val="nil"/>
              <w:bottom w:val="nil"/>
              <w:right w:val="nil"/>
            </w:tcBorders>
            <w:vAlign w:val="center"/>
          </w:tcPr>
          <w:p/>
        </w:tc>
        <w:tc>
          <w:tcPr>
            <w:tcW w:w="4553" w:type="dxa"/>
            <w:tcBorders>
              <w:top w:val="nil"/>
              <w:left w:val="nil"/>
              <w:bottom w:val="nil"/>
              <w:right w:val="nil"/>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227" w:type="dxa"/>
            <w:gridSpan w:val="3"/>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hint="eastAsia" w:ascii="宋体" w:hAnsi="宋体" w:cs="Arial"/>
                <w:color w:val="000000"/>
                <w:kern w:val="0"/>
                <w:sz w:val="18"/>
                <w:szCs w:val="18"/>
              </w:rPr>
            </w:pPr>
            <w:r>
              <w:rPr>
                <w:rFonts w:hint="eastAsia" w:ascii="宋体" w:hAnsi="宋体" w:eastAsia="宋体" w:cs="宋体"/>
                <w:b/>
                <w:i w:val="0"/>
                <w:color w:val="000000"/>
                <w:kern w:val="0"/>
                <w:sz w:val="20"/>
                <w:szCs w:val="20"/>
                <w:u w:val="none"/>
                <w:lang w:val="en-US" w:eastAsia="zh-CN" w:bidi="ar-SA"/>
              </w:rPr>
              <w:t>单位名称：北京市密云区密云水库综合执法大队（本级）</w:t>
            </w:r>
          </w:p>
        </w:tc>
        <w:tc>
          <w:tcPr>
            <w:tcW w:w="4553"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宋体" w:hAnsi="宋体" w:cs="Arial"/>
                <w:color w:val="000000"/>
                <w:kern w:val="0"/>
                <w:sz w:val="18"/>
                <w:szCs w:val="18"/>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475" w:type="dxa"/>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cs="Arial"/>
                <w:color w:val="000000"/>
                <w:kern w:val="0"/>
                <w:sz w:val="18"/>
                <w:szCs w:val="18"/>
              </w:rPr>
            </w:pPr>
            <w:r>
              <w:rPr>
                <w:rFonts w:hint="eastAsia" w:ascii="宋体" w:hAnsi="宋体" w:eastAsia="宋体" w:cs="宋体"/>
                <w:b/>
                <w:i w:val="0"/>
                <w:color w:val="000000"/>
                <w:kern w:val="0"/>
                <w:sz w:val="18"/>
                <w:szCs w:val="18"/>
                <w:u w:val="none"/>
                <w:lang w:val="en-US" w:eastAsia="zh-CN" w:bidi="ar-SA"/>
              </w:rPr>
              <w:t>一级目录</w:t>
            </w:r>
          </w:p>
        </w:tc>
        <w:tc>
          <w:tcPr>
            <w:tcW w:w="2752" w:type="dxa"/>
            <w:gridSpan w:val="2"/>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b/>
                <w:i w:val="0"/>
                <w:color w:val="000000"/>
                <w:kern w:val="0"/>
                <w:sz w:val="18"/>
                <w:szCs w:val="18"/>
                <w:u w:val="none"/>
                <w:lang w:val="en-US" w:eastAsia="zh-CN" w:bidi="ar-SA"/>
              </w:rPr>
              <w:t>二级目录</w:t>
            </w:r>
          </w:p>
        </w:tc>
        <w:tc>
          <w:tcPr>
            <w:tcW w:w="4553" w:type="dxa"/>
            <w:tcBorders>
              <w:top w:val="nil"/>
              <w:left w:val="nil"/>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cs="Arial"/>
                <w:color w:val="000000"/>
                <w:kern w:val="0"/>
                <w:sz w:val="18"/>
                <w:szCs w:val="18"/>
              </w:rPr>
            </w:pPr>
            <w:r>
              <w:rPr>
                <w:rFonts w:hint="eastAsia" w:ascii="宋体" w:hAnsi="宋体" w:eastAsia="宋体" w:cs="宋体"/>
                <w:b/>
                <w:i w:val="0"/>
                <w:color w:val="000000"/>
                <w:kern w:val="0"/>
                <w:sz w:val="18"/>
                <w:szCs w:val="18"/>
                <w:u w:val="none"/>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227" w:type="dxa"/>
            <w:gridSpan w:val="3"/>
            <w:tcBorders>
              <w:top w:val="nil"/>
              <w:left w:val="single" w:color="000000" w:sz="4" w:space="0"/>
              <w:right w:val="single" w:color="000000" w:sz="4" w:space="0"/>
            </w:tcBorders>
            <w:shd w:val="clear" w:color="auto" w:fill="C0C0C0"/>
            <w:vAlign w:val="center"/>
          </w:tcPr>
          <w:p>
            <w:pPr>
              <w:widowControl/>
              <w:jc w:val="center"/>
              <w:textAlignment w:val="center"/>
              <w:rPr>
                <w:rFonts w:hint="eastAsia" w:ascii="宋体" w:hAnsi="宋体" w:cs="Arial"/>
                <w:color w:val="000000"/>
                <w:kern w:val="0"/>
                <w:sz w:val="18"/>
                <w:szCs w:val="18"/>
              </w:rPr>
            </w:pPr>
            <w:r>
              <w:rPr>
                <w:rFonts w:hint="eastAsia" w:ascii="宋体" w:hAnsi="宋体" w:eastAsia="宋体" w:cs="宋体"/>
                <w:b/>
                <w:i w:val="0"/>
                <w:color w:val="000000"/>
                <w:kern w:val="0"/>
                <w:sz w:val="18"/>
                <w:szCs w:val="18"/>
                <w:u w:val="none"/>
                <w:lang w:val="en-US" w:eastAsia="zh-CN" w:bidi="ar-SA"/>
              </w:rPr>
              <w:t>合    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5" w:type="dxa"/>
            <w:vMerge w:val="restart"/>
            <w:tcBorders>
              <w:left w:val="single" w:color="000000" w:sz="4" w:space="0"/>
              <w:right w:val="single" w:color="000000" w:sz="4" w:space="0"/>
            </w:tcBorders>
            <w:shd w:val="clear" w:color="auto" w:fill="C0C0C0"/>
            <w:vAlign w:val="center"/>
          </w:tcPr>
          <w:p>
            <w:pPr>
              <w:widowControl/>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公共服务</w:t>
            </w:r>
          </w:p>
        </w:tc>
        <w:tc>
          <w:tcPr>
            <w:tcW w:w="2752" w:type="dxa"/>
            <w:gridSpan w:val="2"/>
            <w:tcBorders>
              <w:left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小计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75" w:type="dxa"/>
            <w:vMerge w:val="continue"/>
            <w:tcBorders>
              <w:left w:val="single" w:color="000000" w:sz="4" w:space="0"/>
              <w:right w:val="single" w:color="000000" w:sz="4" w:space="0"/>
            </w:tcBorders>
            <w:shd w:val="clear" w:color="auto" w:fill="C0C0C0"/>
            <w:vAlign w:val="center"/>
          </w:tcPr>
          <w:p>
            <w:pPr>
              <w:jc w:val="center"/>
              <w:rPr>
                <w:rFonts w:ascii="宋体" w:hAnsi="宋体" w:cs="Arial"/>
                <w:color w:val="000000"/>
                <w:kern w:val="0"/>
                <w:sz w:val="18"/>
                <w:szCs w:val="18"/>
              </w:rPr>
            </w:pPr>
          </w:p>
        </w:tc>
        <w:tc>
          <w:tcPr>
            <w:tcW w:w="2752" w:type="dxa"/>
            <w:gridSpan w:val="2"/>
            <w:tcBorders>
              <w:left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公共安全服务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475" w:type="dxa"/>
            <w:vMerge w:val="continue"/>
            <w:tcBorders>
              <w:left w:val="single" w:color="000000" w:sz="4" w:space="0"/>
              <w:right w:val="single" w:color="000000" w:sz="4" w:space="0"/>
            </w:tcBorders>
            <w:shd w:val="clear" w:color="auto" w:fill="C0C0C0"/>
            <w:vAlign w:val="center"/>
          </w:tcPr>
          <w:p>
            <w:pPr>
              <w:jc w:val="center"/>
              <w:rPr>
                <w:rFonts w:ascii="宋体" w:hAnsi="宋体" w:cs="Arial"/>
                <w:color w:val="000000"/>
                <w:kern w:val="0"/>
                <w:sz w:val="18"/>
                <w:szCs w:val="18"/>
              </w:rPr>
            </w:pPr>
          </w:p>
        </w:tc>
        <w:tc>
          <w:tcPr>
            <w:tcW w:w="2752" w:type="dxa"/>
            <w:gridSpan w:val="2"/>
            <w:tcBorders>
              <w:left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教育公共服务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475" w:type="dxa"/>
            <w:vMerge w:val="continue"/>
            <w:tcBorders>
              <w:left w:val="single" w:color="000000" w:sz="4" w:space="0"/>
              <w:right w:val="single" w:color="000000" w:sz="4" w:space="0"/>
            </w:tcBorders>
            <w:shd w:val="clear" w:color="auto" w:fill="C0C0C0"/>
            <w:vAlign w:val="center"/>
          </w:tcPr>
          <w:p>
            <w:pPr>
              <w:jc w:val="center"/>
              <w:rPr>
                <w:rFonts w:ascii="宋体" w:hAnsi="宋体" w:cs="Arial"/>
                <w:color w:val="000000"/>
                <w:kern w:val="0"/>
                <w:sz w:val="18"/>
                <w:szCs w:val="18"/>
              </w:rPr>
            </w:pPr>
          </w:p>
        </w:tc>
        <w:tc>
          <w:tcPr>
            <w:tcW w:w="2752" w:type="dxa"/>
            <w:gridSpan w:val="2"/>
            <w:tcBorders>
              <w:left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就业公共服务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475"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ascii="宋体" w:hAnsi="宋体" w:cs="Arial"/>
                <w:color w:val="000000"/>
                <w:kern w:val="0"/>
                <w:sz w:val="18"/>
                <w:szCs w:val="18"/>
              </w:rPr>
            </w:pPr>
          </w:p>
        </w:tc>
        <w:tc>
          <w:tcPr>
            <w:tcW w:w="2752" w:type="dxa"/>
            <w:gridSpan w:val="2"/>
            <w:tcBorders>
              <w:left w:val="single" w:color="000000" w:sz="4"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社会保障服务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47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cs="Arial"/>
                <w:color w:val="000000"/>
                <w:kern w:val="0"/>
                <w:sz w:val="18"/>
                <w:szCs w:val="18"/>
              </w:rPr>
            </w:pPr>
          </w:p>
        </w:tc>
        <w:tc>
          <w:tcPr>
            <w:tcW w:w="2752" w:type="dxa"/>
            <w:gridSpan w:val="2"/>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卫生健康公共服务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7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cs="Arial"/>
                <w:color w:val="000000"/>
                <w:kern w:val="0"/>
                <w:sz w:val="18"/>
                <w:szCs w:val="18"/>
              </w:rPr>
            </w:pPr>
          </w:p>
        </w:tc>
        <w:tc>
          <w:tcPr>
            <w:tcW w:w="2752" w:type="dxa"/>
            <w:gridSpan w:val="2"/>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生态保护和环境治理服务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47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cs="Arial"/>
                <w:color w:val="000000"/>
                <w:kern w:val="0"/>
                <w:sz w:val="18"/>
                <w:szCs w:val="18"/>
              </w:rPr>
            </w:pPr>
          </w:p>
        </w:tc>
        <w:tc>
          <w:tcPr>
            <w:tcW w:w="2752" w:type="dxa"/>
            <w:gridSpan w:val="2"/>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科技公共服务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47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cs="Arial"/>
                <w:color w:val="000000"/>
                <w:kern w:val="0"/>
                <w:sz w:val="18"/>
                <w:szCs w:val="18"/>
              </w:rPr>
            </w:pPr>
          </w:p>
        </w:tc>
        <w:tc>
          <w:tcPr>
            <w:tcW w:w="2752" w:type="dxa"/>
            <w:gridSpan w:val="2"/>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文化公共服务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47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cs="Arial"/>
                <w:color w:val="000000"/>
                <w:kern w:val="0"/>
                <w:sz w:val="18"/>
                <w:szCs w:val="18"/>
              </w:rPr>
            </w:pPr>
          </w:p>
        </w:tc>
        <w:tc>
          <w:tcPr>
            <w:tcW w:w="2752" w:type="dxa"/>
            <w:gridSpan w:val="2"/>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体育公共服务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47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cs="Arial"/>
                <w:color w:val="000000"/>
                <w:kern w:val="0"/>
                <w:sz w:val="18"/>
                <w:szCs w:val="18"/>
              </w:rPr>
            </w:pPr>
          </w:p>
        </w:tc>
        <w:tc>
          <w:tcPr>
            <w:tcW w:w="2752" w:type="dxa"/>
            <w:gridSpan w:val="2"/>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pPr>
            <w:r>
              <w:rPr>
                <w:rFonts w:hint="eastAsia" w:ascii="宋体" w:hAnsi="宋体" w:eastAsia="宋体" w:cs="宋体"/>
                <w:i w:val="0"/>
                <w:color w:val="000000"/>
                <w:kern w:val="0"/>
                <w:sz w:val="18"/>
                <w:szCs w:val="18"/>
                <w:u w:val="none"/>
                <w:lang w:val="en-US" w:eastAsia="zh-CN" w:bidi="ar-SA"/>
              </w:rPr>
              <w:t>社会治理服务</w:t>
            </w:r>
          </w:p>
        </w:tc>
        <w:tc>
          <w:tcPr>
            <w:tcW w:w="4553" w:type="dxa"/>
            <w:tcBorders>
              <w:top w:val="nil"/>
              <w:left w:val="nil"/>
              <w:bottom w:val="single" w:color="000000" w:sz="4" w:space="0"/>
              <w:right w:val="single" w:color="000000" w:sz="4" w:space="0"/>
            </w:tcBorders>
            <w:vAlign w:val="center"/>
          </w:tcPr>
          <w:p>
            <w:pPr>
              <w:widowControl/>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SA"/>
              </w:rPr>
              <w:t>0.000000</w:t>
            </w:r>
          </w:p>
        </w:tc>
      </w:tr>
    </w:tbl>
    <w:p>
      <w:pPr>
        <w:tabs>
          <w:tab w:val="center" w:pos="6979"/>
        </w:tabs>
        <w:spacing w:before="156" w:beforeLines="50" w:after="156" w:afterLines="50"/>
        <w:jc w:val="center"/>
        <w:rPr>
          <w:rFonts w:hint="eastAsia"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r>
        <w:rPr>
          <w:rFonts w:hint="eastAsia" w:ascii="仿宋_GB2312" w:hAnsi="仿宋_GB2312" w:eastAsia="仿宋_GB2312" w:cs="仿宋_GB2312"/>
          <w:sz w:val="32"/>
          <w:szCs w:val="32"/>
          <w:highlight w:val="none"/>
          <w:lang w:val="en-US" w:eastAsia="zh-CN"/>
        </w:rPr>
        <w:t>我单位无此项支出</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密云水库综合执法大队贯彻落实密云区委区政府关于水源保护工作的方针政策和决策部署，在履行职责过程中坚持加强党对水源保护工作的集中统-领导。主要职责是：</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(一)负责密云区保水委员会办公室日常工作，研究制定密云水库水源保护工作规划和政策措施并组织实施，统筹协调密云水库流域水源保护工作。</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(二)贯彻落实水源保护方面的法律、法规、规章。根据市政府授权，在管理范围内集中行使区级农业、环保、城管3个部门131项行政处罚权以及与上述行政处罚权相关的行政检查权。</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(三)负责统一组织、调度密云水库综合执法队伍开展重大专项执法行动。</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(四)负责统筹协调市区相关部门、库区周边镇开展密云水库涉水领域联合执法和专项整治行动，建立健全行刑衔接机制，共同查处重大案件。</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(五)负责密云水库涉水领域行政执法资格、执法证件和执法标识管理。负责处理执法过程中发生的行政听证、行政复议、行政诉讼等事项。</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(六)负责完善区、镇、村三级保水体系，持续深化密云水库保水体制机制改革，推进执法与管护协调统一。</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(七)负责建立健全水源保护制度。完善监督考核办法，督导检查各部门、各相关镇保水工作落实和完成情况。</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(八)负责落实水源保护网格化管理，构建智能监控系统，完善人防、物防、技防相结合的监管体系。</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(九)负责开展水源保护宣传教育活动，对执法人员、执法辅助人员、管护队员等进行业务指导和培训。面向社会开展法制宣传教育活动，营造依法保水的社会氛围;建立公众参与平台，定期发布保水工作信息。</w:t>
      </w:r>
    </w:p>
    <w:p>
      <w:pPr>
        <w:widowControl w:val="0"/>
        <w:tabs>
          <w:tab w:val="center" w:pos="6979"/>
        </w:tabs>
        <w:wordWrap/>
        <w:adjustRightInd/>
        <w:snapToGrid/>
        <w:spacing w:line="560" w:lineRule="exact"/>
        <w:ind w:left="0" w:leftChars="0" w:right="0" w:firstLine="560" w:firstLineChars="200"/>
        <w:jc w:val="both"/>
        <w:textAlignment w:val="auto"/>
        <w:outlineLvl w:val="9"/>
        <w:rPr>
          <w:rFonts w:hint="eastAsia" w:ascii="仿宋_GB2312" w:eastAsia="仿宋_GB2312"/>
          <w:kern w:val="0"/>
          <w:sz w:val="28"/>
          <w:szCs w:val="28"/>
        </w:rPr>
      </w:pPr>
      <w:r>
        <w:rPr>
          <w:rFonts w:hint="eastAsia" w:ascii="仿宋_GB2312" w:eastAsia="仿宋_GB2312"/>
          <w:kern w:val="0"/>
          <w:sz w:val="28"/>
          <w:szCs w:val="28"/>
        </w:rPr>
        <w:t>我单位机关共有4个科室，下辖8个执法分队</w:t>
      </w:r>
      <w:r>
        <w:rPr>
          <w:rFonts w:hint="eastAsia" w:ascii="仿宋_GB2312" w:eastAsia="仿宋_GB2312"/>
          <w:kern w:val="0"/>
          <w:sz w:val="28"/>
          <w:szCs w:val="28"/>
          <w:lang w:eastAsia="zh-CN"/>
        </w:rPr>
        <w:t>。</w:t>
      </w:r>
    </w:p>
    <w:p>
      <w:pPr>
        <w:widowControl w:val="0"/>
        <w:tabs>
          <w:tab w:val="center" w:pos="6979"/>
        </w:tabs>
        <w:wordWrap/>
        <w:adjustRightInd/>
        <w:snapToGrid/>
        <w:spacing w:line="560" w:lineRule="exact"/>
        <w:ind w:left="0" w:leftChars="0" w:right="0" w:firstLine="560" w:firstLineChars="200"/>
        <w:jc w:val="both"/>
        <w:textAlignment w:val="auto"/>
        <w:outlineLvl w:val="9"/>
        <w:rPr>
          <w:rFonts w:ascii="仿宋_GB2312" w:eastAsia="仿宋_GB2312"/>
          <w:kern w:val="0"/>
          <w:sz w:val="28"/>
          <w:szCs w:val="28"/>
        </w:rPr>
      </w:pPr>
      <w:r>
        <w:rPr>
          <w:rFonts w:hint="eastAsia" w:ascii="仿宋_GB2312" w:eastAsia="仿宋_GB2312"/>
          <w:kern w:val="0"/>
          <w:sz w:val="28"/>
          <w:szCs w:val="28"/>
        </w:rPr>
        <w:t>（二）人员构成情况</w:t>
      </w:r>
    </w:p>
    <w:p>
      <w:pPr>
        <w:tabs>
          <w:tab w:val="center" w:pos="6979"/>
        </w:tabs>
        <w:spacing w:line="580" w:lineRule="exact"/>
        <w:rPr>
          <w:rFonts w:hint="eastAsia" w:ascii="仿宋_GB2312" w:eastAsia="仿宋_GB2312"/>
          <w:b w:val="0"/>
          <w:bCs/>
          <w:sz w:val="32"/>
          <w:szCs w:val="32"/>
        </w:rPr>
      </w:pP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截止202</w:t>
      </w:r>
      <w:r>
        <w:rPr>
          <w:rFonts w:hint="eastAsia" w:ascii="仿宋_GB2312" w:eastAsia="仿宋_GB2312"/>
          <w:kern w:val="0"/>
          <w:sz w:val="28"/>
          <w:szCs w:val="28"/>
          <w:lang w:val="en-US" w:eastAsia="zh-CN"/>
        </w:rPr>
        <w:t>3</w:t>
      </w:r>
      <w:r>
        <w:rPr>
          <w:rFonts w:hint="eastAsia" w:ascii="仿宋_GB2312" w:eastAsia="仿宋_GB2312"/>
          <w:kern w:val="0"/>
          <w:sz w:val="28"/>
          <w:szCs w:val="28"/>
        </w:rPr>
        <w:t>年底实有人员</w:t>
      </w:r>
      <w:r>
        <w:rPr>
          <w:rFonts w:hint="eastAsia" w:ascii="仿宋_GB2312" w:eastAsia="仿宋_GB2312"/>
          <w:kern w:val="0"/>
          <w:sz w:val="28"/>
          <w:szCs w:val="28"/>
          <w:lang w:val="en-US" w:eastAsia="zh-CN"/>
        </w:rPr>
        <w:t>76</w:t>
      </w:r>
      <w:r>
        <w:rPr>
          <w:rFonts w:hint="eastAsia" w:ascii="仿宋_GB2312" w:eastAsia="仿宋_GB2312"/>
          <w:kern w:val="0"/>
          <w:sz w:val="28"/>
          <w:szCs w:val="28"/>
        </w:rPr>
        <w:t>人，其中公务员</w:t>
      </w:r>
      <w:r>
        <w:rPr>
          <w:rFonts w:hint="eastAsia" w:ascii="仿宋_GB2312" w:eastAsia="仿宋_GB2312"/>
          <w:kern w:val="0"/>
          <w:sz w:val="28"/>
          <w:szCs w:val="28"/>
          <w:lang w:val="en-US" w:eastAsia="zh-CN"/>
        </w:rPr>
        <w:t>编制55人，实有49</w:t>
      </w:r>
      <w:r>
        <w:rPr>
          <w:rFonts w:hint="eastAsia" w:ascii="仿宋_GB2312" w:eastAsia="仿宋_GB2312"/>
          <w:kern w:val="0"/>
          <w:sz w:val="28"/>
          <w:szCs w:val="28"/>
        </w:rPr>
        <w:t>人</w:t>
      </w:r>
      <w:r>
        <w:rPr>
          <w:rFonts w:hint="eastAsia" w:ascii="仿宋_GB2312" w:eastAsia="仿宋_GB2312"/>
          <w:kern w:val="0"/>
          <w:sz w:val="28"/>
          <w:szCs w:val="28"/>
          <w:lang w:eastAsia="zh-CN"/>
        </w:rPr>
        <w:t>；</w:t>
      </w:r>
      <w:r>
        <w:rPr>
          <w:rFonts w:hint="eastAsia" w:ascii="仿宋_GB2312" w:eastAsia="仿宋_GB2312"/>
          <w:kern w:val="0"/>
          <w:sz w:val="28"/>
          <w:szCs w:val="28"/>
        </w:rPr>
        <w:t>事业编制</w:t>
      </w:r>
      <w:r>
        <w:rPr>
          <w:rFonts w:hint="eastAsia" w:ascii="仿宋_GB2312" w:eastAsia="仿宋_GB2312"/>
          <w:kern w:val="0"/>
          <w:sz w:val="28"/>
          <w:szCs w:val="28"/>
          <w:lang w:val="en-US" w:eastAsia="zh-CN"/>
        </w:rPr>
        <w:t>6</w:t>
      </w:r>
      <w:r>
        <w:rPr>
          <w:rFonts w:hint="eastAsia" w:ascii="仿宋_GB2312" w:eastAsia="仿宋_GB2312"/>
          <w:kern w:val="0"/>
          <w:sz w:val="28"/>
          <w:szCs w:val="28"/>
        </w:rPr>
        <w:t>人，</w:t>
      </w:r>
      <w:r>
        <w:rPr>
          <w:rFonts w:hint="eastAsia" w:ascii="仿宋_GB2312" w:eastAsia="仿宋_GB2312"/>
          <w:kern w:val="0"/>
          <w:sz w:val="28"/>
          <w:szCs w:val="28"/>
          <w:lang w:val="en-US" w:eastAsia="zh-CN"/>
        </w:rPr>
        <w:t>实有6人；</w:t>
      </w:r>
      <w:r>
        <w:rPr>
          <w:rFonts w:hint="eastAsia" w:ascii="仿宋_GB2312" w:eastAsia="仿宋_GB2312"/>
          <w:kern w:val="0"/>
          <w:sz w:val="28"/>
          <w:szCs w:val="28"/>
        </w:rPr>
        <w:t>派遣辅警 20人，劳务派遣1人</w:t>
      </w:r>
      <w:r>
        <w:rPr>
          <w:rFonts w:hint="eastAsia" w:ascii="仿宋_GB2312" w:eastAsia="仿宋_GB2312"/>
          <w:kern w:val="0"/>
          <w:sz w:val="28"/>
          <w:szCs w:val="28"/>
          <w:lang w:eastAsia="zh-CN"/>
        </w:rPr>
        <w:t>。</w:t>
      </w:r>
      <w:r>
        <w:rPr>
          <w:rFonts w:hint="eastAsia" w:ascii="仿宋_GB2312" w:eastAsia="仿宋_GB2312"/>
          <w:b/>
          <w:sz w:val="32"/>
          <w:szCs w:val="32"/>
        </w:rPr>
        <w:t xml:space="preserve">  </w:t>
      </w:r>
      <w:r>
        <w:rPr>
          <w:rFonts w:hint="eastAsia" w:ascii="仿宋_GB2312" w:eastAsia="仿宋_GB2312"/>
          <w:b w:val="0"/>
          <w:bCs/>
          <w:sz w:val="32"/>
          <w:szCs w:val="32"/>
        </w:rPr>
        <w:t xml:space="preserve"> </w:t>
      </w:r>
    </w:p>
    <w:p>
      <w:pPr>
        <w:tabs>
          <w:tab w:val="center" w:pos="6979"/>
        </w:tabs>
        <w:spacing w:line="580" w:lineRule="exact"/>
        <w:jc w:val="center"/>
        <w:rPr>
          <w:rFonts w:hint="eastAsia" w:ascii="黑体" w:eastAsia="黑体"/>
          <w:b w:val="0"/>
          <w:bCs/>
          <w:sz w:val="28"/>
          <w:szCs w:val="28"/>
        </w:rPr>
      </w:pP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总计13814.91万元，</w:t>
      </w:r>
      <w:r>
        <w:rPr>
          <w:rFonts w:ascii="仿宋_GB2312" w:eastAsia="仿宋_GB2312"/>
          <w:sz w:val="28"/>
          <w:szCs w:val="28"/>
        </w:rPr>
        <w:t>比上年增加</w:t>
      </w:r>
      <w:r>
        <w:rPr>
          <w:rFonts w:hint="eastAsia" w:ascii="仿宋_GB2312" w:eastAsia="仿宋_GB2312"/>
          <w:sz w:val="28"/>
          <w:szCs w:val="28"/>
          <w:lang w:val="en-US" w:eastAsia="zh-CN"/>
        </w:rPr>
        <w:t>6658.94</w:t>
      </w:r>
      <w:r>
        <w:rPr>
          <w:rFonts w:hint="eastAsia" w:ascii="仿宋_GB2312" w:eastAsia="仿宋_GB2312"/>
          <w:sz w:val="28"/>
          <w:szCs w:val="28"/>
        </w:rPr>
        <w:t>万元，增长</w:t>
      </w:r>
      <w:r>
        <w:rPr>
          <w:rFonts w:hint="eastAsia" w:ascii="仿宋_GB2312" w:eastAsia="仿宋_GB2312"/>
          <w:sz w:val="28"/>
          <w:szCs w:val="28"/>
          <w:lang w:val="en-US" w:eastAsia="zh-CN"/>
        </w:rPr>
        <w:t>93.05</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hint="eastAsia" w:ascii="仿宋_GB2312" w:eastAsia="仿宋_GB2312"/>
          <w:sz w:val="28"/>
          <w:szCs w:val="28"/>
          <w:lang w:val="en-US" w:eastAsia="zh-CN"/>
        </w:rPr>
        <w:t>6108.1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87.42</w:t>
      </w:r>
      <w:r>
        <w:rPr>
          <w:rFonts w:hint="eastAsia" w:ascii="仿宋_GB2312" w:eastAsia="仿宋_GB2312"/>
          <w:sz w:val="28"/>
          <w:szCs w:val="28"/>
        </w:rPr>
        <w:t>万元，增长</w:t>
      </w:r>
      <w:r>
        <w:rPr>
          <w:rFonts w:hint="eastAsia" w:ascii="仿宋_GB2312" w:eastAsia="仿宋_GB2312"/>
          <w:sz w:val="28"/>
          <w:szCs w:val="28"/>
          <w:lang w:val="en-US" w:eastAsia="zh-CN"/>
        </w:rPr>
        <w:t>1.45</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hint="eastAsia" w:ascii="仿宋_GB2312" w:eastAsia="仿宋_GB2312"/>
          <w:sz w:val="28"/>
          <w:szCs w:val="28"/>
          <w:lang w:val="en-US" w:eastAsia="zh-CN"/>
        </w:rPr>
        <w:t>6108.1</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%。其中：一般公共预算财政拨款收入</w:t>
      </w:r>
      <w:r>
        <w:rPr>
          <w:rFonts w:hint="eastAsia" w:ascii="仿宋_GB2312" w:eastAsia="仿宋_GB2312"/>
          <w:sz w:val="28"/>
          <w:szCs w:val="28"/>
          <w:lang w:val="en-US" w:eastAsia="zh-CN"/>
        </w:rPr>
        <w:t>6108.1</w:t>
      </w:r>
      <w:r>
        <w:rPr>
          <w:rFonts w:hint="eastAsia" w:ascii="仿宋_GB2312" w:eastAsia="仿宋_GB2312"/>
          <w:sz w:val="28"/>
          <w:szCs w:val="28"/>
        </w:rPr>
        <w:t>万元，占收入合计的</w:t>
      </w:r>
      <w:r>
        <w:rPr>
          <w:rFonts w:hint="eastAsia" w:ascii="仿宋_GB2312" w:eastAsia="仿宋_GB2312"/>
          <w:sz w:val="28"/>
          <w:szCs w:val="28"/>
          <w:lang w:val="en-US" w:eastAsia="zh-CN"/>
        </w:rPr>
        <w:t>10</w:t>
      </w:r>
      <w:r>
        <w:rPr>
          <w:rFonts w:ascii="仿宋_GB2312" w:eastAsia="仿宋_GB2312"/>
          <w:sz w:val="28"/>
          <w:szCs w:val="28"/>
        </w:rPr>
        <w:t>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jc w:val="center"/>
        <w:rPr>
          <w:rFonts w:hint="eastAsia"/>
          <w:lang w:val="en-US" w:eastAsia="zh-CN"/>
        </w:rPr>
      </w:pPr>
      <w:r>
        <w:rPr>
          <w:rFonts w:ascii="Times New Roman" w:hAnsi="Times New Roman" w:eastAsia="宋体" w:cs="Times New Roman"/>
          <w:kern w:val="2"/>
          <w:sz w:val="21"/>
          <w:szCs w:val="24"/>
          <w:lang w:val="en-US" w:eastAsia="zh-CN" w:bidi="ar-SA"/>
        </w:rPr>
        <w:pict>
          <v:shape id="_x0000_i1025" o:spt="75" type="#_x0000_t75" style="height:243.7pt;width:516.7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年度本年支出合计13011.7</w:t>
      </w:r>
      <w:r>
        <w:rPr>
          <w:rFonts w:hint="eastAsia" w:ascii="仿宋_GB2312" w:eastAsia="仿宋_GB2312"/>
          <w:sz w:val="28"/>
          <w:szCs w:val="28"/>
          <w:lang w:val="en-US" w:eastAsia="zh-CN"/>
        </w:rPr>
        <w:t>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6658.94</w:t>
      </w:r>
      <w:r>
        <w:rPr>
          <w:rFonts w:hint="eastAsia" w:ascii="仿宋_GB2312" w:eastAsia="仿宋_GB2312"/>
          <w:sz w:val="28"/>
          <w:szCs w:val="28"/>
        </w:rPr>
        <w:t>万元，增长</w:t>
      </w:r>
      <w:r>
        <w:rPr>
          <w:rFonts w:hint="eastAsia" w:ascii="仿宋_GB2312" w:eastAsia="仿宋_GB2312"/>
          <w:sz w:val="28"/>
          <w:szCs w:val="28"/>
          <w:lang w:val="en-US" w:eastAsia="zh-CN"/>
        </w:rPr>
        <w:t>104.82</w:t>
      </w:r>
      <w:r>
        <w:rPr>
          <w:rFonts w:hint="eastAsia" w:ascii="仿宋_GB2312" w:eastAsia="仿宋_GB2312"/>
          <w:sz w:val="28"/>
          <w:szCs w:val="28"/>
        </w:rPr>
        <w:t>%，其中：基本支出</w:t>
      </w:r>
      <w:r>
        <w:rPr>
          <w:rFonts w:hint="eastAsia" w:ascii="仿宋_GB2312" w:eastAsia="仿宋_GB2312"/>
          <w:sz w:val="28"/>
          <w:szCs w:val="28"/>
          <w:lang w:val="en-US" w:eastAsia="zh-CN"/>
        </w:rPr>
        <w:t>1685.69</w:t>
      </w:r>
      <w:r>
        <w:rPr>
          <w:rFonts w:hint="eastAsia" w:ascii="仿宋_GB2312" w:eastAsia="仿宋_GB2312"/>
          <w:sz w:val="28"/>
          <w:szCs w:val="28"/>
        </w:rPr>
        <w:t>万元，占支出合计的</w:t>
      </w:r>
      <w:r>
        <w:rPr>
          <w:rFonts w:hint="eastAsia" w:ascii="仿宋_GB2312" w:eastAsia="仿宋_GB2312"/>
          <w:sz w:val="28"/>
          <w:szCs w:val="28"/>
          <w:lang w:val="en-US" w:eastAsia="zh-CN"/>
        </w:rPr>
        <w:t>13</w:t>
      </w:r>
      <w:r>
        <w:rPr>
          <w:rFonts w:hint="eastAsia" w:ascii="仿宋_GB2312" w:eastAsia="仿宋_GB2312"/>
          <w:sz w:val="28"/>
          <w:szCs w:val="28"/>
        </w:rPr>
        <w:t>%；项目支出</w:t>
      </w:r>
      <w:r>
        <w:rPr>
          <w:rFonts w:hint="eastAsia" w:ascii="仿宋_GB2312" w:eastAsia="仿宋_GB2312"/>
          <w:sz w:val="28"/>
          <w:szCs w:val="28"/>
          <w:lang w:val="en-US" w:eastAsia="zh-CN"/>
        </w:rPr>
        <w:t>11326.10</w:t>
      </w:r>
      <w:r>
        <w:rPr>
          <w:rFonts w:hint="eastAsia" w:ascii="仿宋_GB2312" w:eastAsia="仿宋_GB2312"/>
          <w:sz w:val="28"/>
          <w:szCs w:val="28"/>
        </w:rPr>
        <w:t>万元，占支出合计的</w:t>
      </w:r>
      <w:r>
        <w:rPr>
          <w:rFonts w:hint="eastAsia" w:ascii="仿宋_GB2312" w:eastAsia="仿宋_GB2312"/>
          <w:sz w:val="28"/>
          <w:szCs w:val="28"/>
          <w:lang w:val="en-US" w:eastAsia="zh-CN"/>
        </w:rPr>
        <w:t>87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rPr>
          <w:rFonts w:ascii="Times New Roman" w:hAnsi="Times New Roman" w:eastAsia="宋体" w:cs="Times New Roman"/>
          <w:kern w:val="2"/>
          <w:sz w:val="21"/>
          <w:szCs w:val="24"/>
          <w:lang w:val="en-US" w:eastAsia="zh-CN" w:bidi="ar-SA"/>
        </w:rPr>
        <w:pict>
          <v:shape id="_x0000_i1026" o:spt="75" type="#_x0000_t75" style="height:243.7pt;width:577.4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13011.78</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6799.36</w:t>
      </w:r>
      <w:r>
        <w:rPr>
          <w:rFonts w:hint="eastAsia" w:ascii="仿宋_GB2312" w:eastAsia="仿宋_GB2312"/>
          <w:sz w:val="28"/>
          <w:szCs w:val="28"/>
        </w:rPr>
        <w:t>万元，增长</w:t>
      </w:r>
      <w:r>
        <w:rPr>
          <w:rFonts w:hint="eastAsia" w:ascii="仿宋_GB2312" w:eastAsia="仿宋_GB2312"/>
          <w:sz w:val="28"/>
          <w:szCs w:val="28"/>
          <w:lang w:val="en-US" w:eastAsia="zh-CN"/>
        </w:rPr>
        <w:t>108.78</w:t>
      </w:r>
      <w:r>
        <w:rPr>
          <w:rFonts w:hint="eastAsia" w:ascii="仿宋_GB2312" w:eastAsia="仿宋_GB2312"/>
          <w:sz w:val="28"/>
          <w:szCs w:val="28"/>
        </w:rPr>
        <w:t>%。主要原因：</w:t>
      </w:r>
      <w:r>
        <w:rPr>
          <w:rFonts w:hint="eastAsia" w:ascii="仿宋_GB2312" w:hAnsi="仿宋" w:eastAsia="仿宋_GB2312"/>
          <w:sz w:val="32"/>
          <w:szCs w:val="32"/>
          <w:highlight w:val="none"/>
          <w:u w:val="none"/>
          <w:lang w:eastAsia="zh-CN"/>
        </w:rPr>
        <w:t>高水位运行项目进入实施阶段，项目资金支出增加，资金体量比较大</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13011.78</w:t>
      </w:r>
      <w:r>
        <w:rPr>
          <w:rFonts w:hint="eastAsia" w:ascii="仿宋_GB2312" w:eastAsia="仿宋_GB2312"/>
          <w:sz w:val="28"/>
          <w:szCs w:val="28"/>
        </w:rPr>
        <w:t>万元，主要用于以下方面（按大类）：一般公共服务支出1364.19万元，占本年财政拨款支出</w:t>
      </w:r>
      <w:r>
        <w:rPr>
          <w:rFonts w:hint="eastAsia" w:ascii="仿宋_GB2312" w:eastAsia="仿宋_GB2312"/>
          <w:sz w:val="28"/>
          <w:szCs w:val="28"/>
          <w:lang w:val="en-US" w:eastAsia="zh-CN"/>
        </w:rPr>
        <w:t>10.48</w:t>
      </w:r>
      <w:r>
        <w:rPr>
          <w:rFonts w:hint="eastAsia" w:ascii="仿宋_GB2312" w:eastAsia="仿宋_GB2312"/>
          <w:sz w:val="28"/>
          <w:szCs w:val="28"/>
        </w:rPr>
        <w:t>%；社会保障和就业支出</w:t>
      </w:r>
      <w:r>
        <w:rPr>
          <w:rFonts w:hint="eastAsia" w:ascii="仿宋_GB2312" w:eastAsia="仿宋_GB2312"/>
          <w:sz w:val="28"/>
          <w:szCs w:val="28"/>
          <w:lang w:val="en-US" w:eastAsia="zh-CN"/>
        </w:rPr>
        <w:t>197.49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1.52</w:t>
      </w:r>
      <w:r>
        <w:rPr>
          <w:rFonts w:hint="eastAsia" w:ascii="仿宋_GB2312" w:eastAsia="仿宋_GB2312"/>
          <w:sz w:val="28"/>
          <w:szCs w:val="28"/>
        </w:rPr>
        <w:t>%；卫生健康支出</w:t>
      </w:r>
      <w:r>
        <w:rPr>
          <w:rFonts w:hint="eastAsia" w:ascii="仿宋_GB2312" w:eastAsia="仿宋_GB2312"/>
          <w:sz w:val="28"/>
          <w:szCs w:val="28"/>
          <w:lang w:val="en-US" w:eastAsia="zh-CN"/>
        </w:rPr>
        <w:t>124.51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0.96</w:t>
      </w:r>
      <w:r>
        <w:rPr>
          <w:rFonts w:hint="eastAsia" w:ascii="仿宋_GB2312" w:eastAsia="仿宋_GB2312"/>
          <w:sz w:val="28"/>
          <w:szCs w:val="28"/>
        </w:rPr>
        <w:t>%；农林水支出</w:t>
      </w:r>
      <w:r>
        <w:rPr>
          <w:rFonts w:hint="eastAsia" w:ascii="仿宋_GB2312" w:eastAsia="仿宋_GB2312"/>
          <w:sz w:val="28"/>
          <w:szCs w:val="28"/>
          <w:lang w:val="en-US" w:eastAsia="zh-CN"/>
        </w:rPr>
        <w:t>11325.59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87.04</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年度决算1364.19万元，比202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159.76</w:t>
      </w:r>
      <w:r>
        <w:rPr>
          <w:rFonts w:hint="eastAsia" w:ascii="仿宋_GB2312" w:eastAsia="仿宋_GB2312"/>
          <w:sz w:val="28"/>
          <w:szCs w:val="28"/>
        </w:rPr>
        <w:t>万元，增长</w:t>
      </w:r>
      <w:r>
        <w:rPr>
          <w:rFonts w:hint="eastAsia" w:ascii="仿宋_GB2312" w:eastAsia="仿宋_GB2312"/>
          <w:sz w:val="28"/>
          <w:szCs w:val="28"/>
          <w:lang w:val="en-US" w:eastAsia="zh-CN"/>
        </w:rPr>
        <w:t>13.26</w:t>
      </w:r>
      <w:r>
        <w:rPr>
          <w:rFonts w:hint="eastAsia" w:ascii="仿宋_GB2312" w:eastAsia="仿宋_GB2312"/>
          <w:sz w:val="28"/>
          <w:szCs w:val="28"/>
        </w:rPr>
        <w:t>%。其中：“政府办公厅（室）及相关机构事务”（款，下同）202</w:t>
      </w:r>
      <w:r>
        <w:rPr>
          <w:rFonts w:hint="eastAsia" w:ascii="仿宋_GB2312" w:eastAsia="仿宋_GB2312"/>
          <w:sz w:val="28"/>
          <w:szCs w:val="28"/>
          <w:lang w:val="en-US" w:eastAsia="zh-CN"/>
        </w:rPr>
        <w:t>3</w:t>
      </w:r>
      <w:r>
        <w:rPr>
          <w:rFonts w:hint="eastAsia" w:ascii="仿宋_GB2312" w:eastAsia="仿宋_GB2312"/>
          <w:sz w:val="28"/>
          <w:szCs w:val="28"/>
        </w:rPr>
        <w:t>年度决算1364.19万元，比202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159.76</w:t>
      </w:r>
      <w:r>
        <w:rPr>
          <w:rFonts w:hint="eastAsia" w:ascii="仿宋_GB2312" w:eastAsia="仿宋_GB2312"/>
          <w:sz w:val="28"/>
          <w:szCs w:val="28"/>
        </w:rPr>
        <w:t>万元，增长</w:t>
      </w:r>
      <w:r>
        <w:rPr>
          <w:rFonts w:hint="eastAsia" w:ascii="仿宋_GB2312" w:eastAsia="仿宋_GB2312"/>
          <w:sz w:val="28"/>
          <w:szCs w:val="28"/>
          <w:lang w:val="en-US" w:eastAsia="zh-CN"/>
        </w:rPr>
        <w:t>13.26</w:t>
      </w:r>
      <w:r>
        <w:rPr>
          <w:rFonts w:hint="eastAsia" w:ascii="仿宋_GB2312" w:eastAsia="仿宋_GB2312"/>
          <w:sz w:val="28"/>
          <w:szCs w:val="28"/>
        </w:rPr>
        <w:t>%。主要原因：</w:t>
      </w:r>
      <w:r>
        <w:rPr>
          <w:rFonts w:hint="eastAsia" w:ascii="仿宋_GB2312" w:eastAsia="仿宋_GB2312"/>
          <w:sz w:val="28"/>
          <w:szCs w:val="28"/>
          <w:lang w:eastAsia="zh-CN"/>
        </w:rPr>
        <w:t>人员工资调标</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197.49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1.81</w:t>
      </w:r>
      <w:r>
        <w:rPr>
          <w:rFonts w:hint="eastAsia" w:ascii="仿宋_GB2312" w:eastAsia="仿宋_GB2312"/>
          <w:sz w:val="28"/>
          <w:szCs w:val="28"/>
        </w:rPr>
        <w:t>万元，增长</w:t>
      </w:r>
      <w:r>
        <w:rPr>
          <w:rFonts w:hint="eastAsia" w:ascii="仿宋_GB2312" w:eastAsia="仿宋_GB2312"/>
          <w:sz w:val="28"/>
          <w:szCs w:val="28"/>
          <w:lang w:val="en-US" w:eastAsia="zh-CN"/>
        </w:rPr>
        <w:t>0.92</w:t>
      </w:r>
      <w:r>
        <w:rPr>
          <w:rFonts w:hint="eastAsia" w:ascii="仿宋_GB2312" w:eastAsia="仿宋_GB2312"/>
          <w:sz w:val="28"/>
          <w:szCs w:val="28"/>
        </w:rPr>
        <w:t>%。其中：“行政事业单位养老支出”（款）202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197.49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1.81</w:t>
      </w:r>
      <w:r>
        <w:rPr>
          <w:rFonts w:hint="eastAsia" w:ascii="仿宋_GB2312" w:eastAsia="仿宋_GB2312"/>
          <w:sz w:val="28"/>
          <w:szCs w:val="28"/>
        </w:rPr>
        <w:t>万元，增长</w:t>
      </w:r>
      <w:r>
        <w:rPr>
          <w:rFonts w:hint="eastAsia" w:ascii="仿宋_GB2312" w:eastAsia="仿宋_GB2312"/>
          <w:sz w:val="28"/>
          <w:szCs w:val="28"/>
          <w:lang w:val="en-US" w:eastAsia="zh-CN"/>
        </w:rPr>
        <w:t>0.92</w:t>
      </w:r>
      <w:r>
        <w:rPr>
          <w:rFonts w:hint="eastAsia" w:ascii="仿宋_GB2312" w:eastAsia="仿宋_GB2312"/>
          <w:sz w:val="28"/>
          <w:szCs w:val="28"/>
        </w:rPr>
        <w:t>%。主要原因：</w:t>
      </w:r>
      <w:r>
        <w:rPr>
          <w:rFonts w:hint="eastAsia" w:ascii="仿宋_GB2312" w:eastAsia="仿宋_GB2312"/>
          <w:sz w:val="28"/>
          <w:szCs w:val="28"/>
          <w:lang w:val="en-US" w:eastAsia="zh-CN"/>
        </w:rPr>
        <w:t>年中保险基数调整。</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124.51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1.13</w:t>
      </w:r>
      <w:r>
        <w:rPr>
          <w:rFonts w:hint="eastAsia" w:ascii="仿宋_GB2312" w:eastAsia="仿宋_GB2312"/>
          <w:sz w:val="28"/>
          <w:szCs w:val="28"/>
        </w:rPr>
        <w:t>万元，增长</w:t>
      </w:r>
      <w:r>
        <w:rPr>
          <w:rFonts w:hint="eastAsia" w:ascii="仿宋_GB2312" w:eastAsia="仿宋_GB2312"/>
          <w:sz w:val="28"/>
          <w:szCs w:val="28"/>
          <w:lang w:val="en-US" w:eastAsia="zh-CN"/>
        </w:rPr>
        <w:t>0.92</w:t>
      </w:r>
      <w:r>
        <w:rPr>
          <w:rFonts w:hint="eastAsia" w:ascii="仿宋_GB2312" w:eastAsia="仿宋_GB2312"/>
          <w:sz w:val="28"/>
          <w:szCs w:val="28"/>
        </w:rPr>
        <w:t>%。其中：</w:t>
      </w:r>
    </w:p>
    <w:p>
      <w:pPr>
        <w:spacing w:line="580" w:lineRule="exact"/>
        <w:rPr>
          <w:rFonts w:ascii="仿宋_GB2312" w:eastAsia="仿宋_GB2312"/>
          <w:sz w:val="28"/>
          <w:szCs w:val="28"/>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124.51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1.13</w:t>
      </w:r>
      <w:r>
        <w:rPr>
          <w:rFonts w:hint="eastAsia" w:ascii="仿宋_GB2312" w:eastAsia="仿宋_GB2312"/>
          <w:sz w:val="28"/>
          <w:szCs w:val="28"/>
        </w:rPr>
        <w:t>万元，增长</w:t>
      </w:r>
      <w:r>
        <w:rPr>
          <w:rFonts w:hint="eastAsia" w:ascii="仿宋_GB2312" w:eastAsia="仿宋_GB2312"/>
          <w:sz w:val="28"/>
          <w:szCs w:val="28"/>
          <w:lang w:val="en-US" w:eastAsia="zh-CN"/>
        </w:rPr>
        <w:t>0.92</w:t>
      </w:r>
      <w:r>
        <w:rPr>
          <w:rFonts w:hint="eastAsia" w:ascii="仿宋_GB2312" w:eastAsia="仿宋_GB2312"/>
          <w:sz w:val="28"/>
          <w:szCs w:val="28"/>
        </w:rPr>
        <w:t>%。主要原因：</w:t>
      </w:r>
      <w:r>
        <w:rPr>
          <w:rFonts w:hint="eastAsia" w:ascii="仿宋_GB2312" w:eastAsia="仿宋_GB2312"/>
          <w:sz w:val="28"/>
          <w:szCs w:val="28"/>
          <w:lang w:val="en-US" w:eastAsia="zh-CN"/>
        </w:rPr>
        <w:t>年中保险基数调整</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“农林水支出”(类)202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11325.59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6303.18</w:t>
      </w:r>
      <w:r>
        <w:rPr>
          <w:rFonts w:hint="eastAsia" w:ascii="仿宋_GB2312" w:eastAsia="仿宋_GB2312"/>
          <w:sz w:val="28"/>
          <w:szCs w:val="28"/>
        </w:rPr>
        <w:t>万元，增长</w:t>
      </w:r>
      <w:r>
        <w:rPr>
          <w:rFonts w:hint="eastAsia" w:ascii="仿宋_GB2312" w:eastAsia="仿宋_GB2312"/>
          <w:sz w:val="28"/>
          <w:szCs w:val="28"/>
          <w:lang w:val="en-US" w:eastAsia="zh-CN"/>
        </w:rPr>
        <w:t>125.5</w:t>
      </w:r>
      <w:r>
        <w:rPr>
          <w:rFonts w:hint="eastAsia" w:ascii="仿宋_GB2312" w:eastAsia="仿宋_GB2312"/>
          <w:sz w:val="28"/>
          <w:szCs w:val="28"/>
        </w:rPr>
        <w:t>%。其中：“</w:t>
      </w:r>
      <w:r>
        <w:rPr>
          <w:rFonts w:hint="eastAsia" w:ascii="仿宋_GB2312" w:eastAsia="仿宋_GB2312"/>
          <w:sz w:val="28"/>
          <w:szCs w:val="28"/>
          <w:lang w:val="en-US" w:eastAsia="zh-CN"/>
        </w:rPr>
        <w:t>水利</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11325.59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6303.18</w:t>
      </w:r>
      <w:r>
        <w:rPr>
          <w:rFonts w:hint="eastAsia" w:ascii="仿宋_GB2312" w:eastAsia="仿宋_GB2312"/>
          <w:sz w:val="28"/>
          <w:szCs w:val="28"/>
        </w:rPr>
        <w:t>万元，增长</w:t>
      </w:r>
      <w:r>
        <w:rPr>
          <w:rFonts w:hint="eastAsia" w:ascii="仿宋_GB2312" w:eastAsia="仿宋_GB2312"/>
          <w:sz w:val="28"/>
          <w:szCs w:val="28"/>
          <w:lang w:val="en-US" w:eastAsia="zh-CN"/>
        </w:rPr>
        <w:t>125.5</w:t>
      </w:r>
      <w:r>
        <w:rPr>
          <w:rFonts w:hint="eastAsia" w:ascii="仿宋_GB2312" w:eastAsia="仿宋_GB2312"/>
          <w:sz w:val="28"/>
          <w:szCs w:val="28"/>
        </w:rPr>
        <w:t>%。主要原因：</w:t>
      </w:r>
      <w:r>
        <w:rPr>
          <w:rFonts w:hint="eastAsia" w:ascii="仿宋_GB2312" w:eastAsia="仿宋_GB2312"/>
          <w:sz w:val="28"/>
          <w:szCs w:val="28"/>
          <w:lang w:eastAsia="zh-CN"/>
        </w:rPr>
        <w:t>高水位运行项目进入实施阶段，项目资金支出增加，资金体量比较大，项目资金是财政国库集中支付结余资金，决算时纳入支出，不计收入</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年度无此项支出</w:t>
      </w:r>
      <w:r>
        <w:rPr>
          <w:rFonts w:hint="eastAsia" w:ascii="仿宋_GB2312" w:eastAsia="仿宋_GB2312"/>
          <w:sz w:val="28"/>
          <w:szCs w:val="28"/>
          <w:lang w:eastAsia="zh-CN"/>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年度无此项支出。</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hint="eastAsia" w:ascii="仿宋_GB2312" w:eastAsia="仿宋_GB2312"/>
          <w:sz w:val="28"/>
          <w:szCs w:val="28"/>
          <w:lang w:val="en-US" w:eastAsia="zh-CN"/>
        </w:rPr>
        <w:t>1685.69</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sz w:val="28"/>
          <w:szCs w:val="28"/>
          <w:lang w:val="en-US" w:eastAsia="zh-CN"/>
        </w:rPr>
        <w:t>1</w:t>
      </w:r>
      <w:r>
        <w:rPr>
          <w:rFonts w:hint="eastAsia" w:ascii="仿宋_GB2312" w:eastAsia="仿宋_GB2312"/>
          <w:sz w:val="28"/>
          <w:szCs w:val="28"/>
        </w:rPr>
        <w:t>个行政单位。202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hint="eastAsia" w:ascii="仿宋_GB2312" w:eastAsia="仿宋_GB2312"/>
          <w:sz w:val="28"/>
          <w:szCs w:val="28"/>
          <w:lang w:val="en-US" w:eastAsia="zh-CN"/>
        </w:rPr>
        <w:t>28.63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年度“三公”经费财政拨款年初预算28.94万元减少</w:t>
      </w:r>
      <w:r>
        <w:rPr>
          <w:rFonts w:hint="eastAsia" w:ascii="仿宋_GB2312" w:eastAsia="仿宋_GB2312"/>
          <w:sz w:val="28"/>
          <w:szCs w:val="28"/>
          <w:lang w:val="en-US" w:eastAsia="zh-CN"/>
        </w:rPr>
        <w:t>0.31</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1.因公出国（境）费用。本年度无此项支出。</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2.公务接待费。本年度无此项支出。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28.63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年度年初预算数28.94万元减少</w:t>
      </w:r>
      <w:r>
        <w:rPr>
          <w:rFonts w:hint="eastAsia" w:ascii="仿宋_GB2312" w:eastAsia="仿宋_GB2312"/>
          <w:sz w:val="28"/>
          <w:szCs w:val="28"/>
          <w:lang w:val="en-US" w:eastAsia="zh-CN"/>
        </w:rPr>
        <w:t>0.31</w:t>
      </w:r>
      <w:r>
        <w:rPr>
          <w:rFonts w:hint="eastAsia" w:ascii="仿宋_GB2312" w:eastAsia="仿宋_GB2312"/>
          <w:sz w:val="28"/>
          <w:szCs w:val="28"/>
        </w:rPr>
        <w:t>万元。</w:t>
      </w:r>
    </w:p>
    <w:p>
      <w:pPr>
        <w:spacing w:line="560" w:lineRule="exact"/>
        <w:rPr>
          <w:rFonts w:hint="eastAsia" w:ascii="仿宋_GB2312" w:eastAsia="仿宋_GB2312"/>
          <w:sz w:val="28"/>
          <w:szCs w:val="28"/>
        </w:rPr>
      </w:pPr>
      <w:r>
        <w:rPr>
          <w:rFonts w:hint="eastAsia" w:ascii="仿宋_GB2312" w:eastAsia="仿宋_GB2312"/>
          <w:sz w:val="28"/>
          <w:szCs w:val="28"/>
        </w:rPr>
        <w:t>其中，公务用车运行维护费202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highlight w:val="none"/>
          <w:lang w:val="en-US" w:eastAsia="zh-CN"/>
        </w:rPr>
        <w:t>28.63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highlight w:val="none"/>
          <w:lang w:val="en-US" w:eastAsia="zh-CN"/>
        </w:rPr>
        <w:t>28.94</w:t>
      </w:r>
      <w:r>
        <w:rPr>
          <w:rFonts w:hint="eastAsia" w:ascii="仿宋_GB2312" w:eastAsia="仿宋_GB2312"/>
          <w:sz w:val="28"/>
          <w:szCs w:val="28"/>
        </w:rPr>
        <w:t>万元减少</w:t>
      </w:r>
      <w:r>
        <w:rPr>
          <w:rFonts w:hint="eastAsia" w:ascii="仿宋_GB2312" w:eastAsia="仿宋_GB2312"/>
          <w:sz w:val="28"/>
          <w:szCs w:val="28"/>
          <w:lang w:val="en-US" w:eastAsia="zh-CN"/>
        </w:rPr>
        <w:t>0.31</w:t>
      </w:r>
      <w:r>
        <w:rPr>
          <w:rFonts w:hint="eastAsia" w:ascii="仿宋_GB2312" w:eastAsia="仿宋_GB2312"/>
          <w:sz w:val="28"/>
          <w:szCs w:val="28"/>
        </w:rPr>
        <w:t>万元</w:t>
      </w:r>
      <w:r>
        <w:rPr>
          <w:rFonts w:hint="eastAsia" w:ascii="仿宋_GB2312" w:eastAsia="仿宋_GB2312"/>
          <w:sz w:val="28"/>
          <w:szCs w:val="28"/>
          <w:lang w:eastAsia="zh-CN"/>
        </w:rPr>
        <w:t>，公车购置</w:t>
      </w:r>
      <w:r>
        <w:rPr>
          <w:rFonts w:hint="eastAsia" w:ascii="仿宋_GB2312" w:eastAsia="仿宋_GB2312"/>
          <w:sz w:val="28"/>
          <w:szCs w:val="28"/>
          <w:lang w:val="en-US" w:eastAsia="zh-CN"/>
        </w:rPr>
        <w:t>0万元。</w:t>
      </w:r>
      <w:bookmarkStart w:id="0" w:name="_GoBack"/>
      <w:bookmarkEnd w:id="0"/>
      <w:r>
        <w:rPr>
          <w:rFonts w:hint="eastAsia" w:ascii="仿宋_GB2312" w:eastAsia="仿宋_GB2312"/>
          <w:sz w:val="28"/>
          <w:szCs w:val="28"/>
        </w:rPr>
        <w:t>主要原因：</w:t>
      </w:r>
      <w:r>
        <w:rPr>
          <w:rFonts w:hint="eastAsia" w:ascii="仿宋_GB2312" w:eastAsia="仿宋_GB2312"/>
          <w:sz w:val="28"/>
          <w:szCs w:val="28"/>
          <w:lang w:val="en-US" w:eastAsia="zh-CN"/>
        </w:rPr>
        <w:t>大队机关严格执行公车运行管理制度，牢固树立过紧日子思想，减少不必要的公车出行</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highlight w:val="none"/>
          <w:lang w:val="en-US" w:eastAsia="zh-CN"/>
        </w:rPr>
        <w:t>12.7</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12.09</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2.93</w:t>
      </w:r>
      <w:r>
        <w:rPr>
          <w:rFonts w:hint="eastAsia" w:ascii="仿宋_GB2312" w:eastAsia="仿宋_GB2312"/>
          <w:sz w:val="28"/>
          <w:szCs w:val="28"/>
        </w:rPr>
        <w:t>万元，公务用车其他支出</w:t>
      </w:r>
      <w:r>
        <w:rPr>
          <w:rFonts w:hint="eastAsia" w:ascii="仿宋_GB2312" w:eastAsia="仿宋_GB2312"/>
          <w:sz w:val="28"/>
          <w:szCs w:val="28"/>
          <w:highlight w:val="none"/>
          <w:lang w:val="en-US" w:eastAsia="zh-CN"/>
        </w:rPr>
        <w:t>0.91</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15</w:t>
      </w:r>
      <w:r>
        <w:rPr>
          <w:rFonts w:hint="eastAsia" w:ascii="仿宋_GB2312" w:eastAsia="仿宋_GB2312"/>
          <w:sz w:val="28"/>
          <w:szCs w:val="28"/>
        </w:rPr>
        <w:t>辆，车均运行维护费</w:t>
      </w:r>
      <w:r>
        <w:rPr>
          <w:rFonts w:hint="eastAsia" w:ascii="仿宋_GB2312" w:eastAsia="仿宋_GB2312"/>
          <w:sz w:val="28"/>
          <w:szCs w:val="28"/>
          <w:lang w:val="en-US" w:eastAsia="zh-CN"/>
        </w:rPr>
        <w:t>1.91</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102.25</w:t>
      </w:r>
      <w:r>
        <w:rPr>
          <w:rFonts w:hint="eastAsia" w:ascii="仿宋_GB2312" w:eastAsia="仿宋_GB2312"/>
          <w:sz w:val="28"/>
          <w:szCs w:val="28"/>
        </w:rPr>
        <w:t>万元，比上年减少</w:t>
      </w:r>
      <w:r>
        <w:rPr>
          <w:rFonts w:hint="eastAsia" w:ascii="仿宋_GB2312" w:eastAsia="仿宋_GB2312"/>
          <w:sz w:val="28"/>
          <w:szCs w:val="28"/>
          <w:lang w:val="en-US" w:eastAsia="zh-CN"/>
        </w:rPr>
        <w:t>25.13</w:t>
      </w:r>
      <w:r>
        <w:rPr>
          <w:rFonts w:hint="eastAsia" w:ascii="仿宋_GB2312" w:eastAsia="仿宋_GB2312"/>
          <w:sz w:val="28"/>
          <w:szCs w:val="28"/>
        </w:rPr>
        <w:t>万元，减少原因：</w:t>
      </w:r>
      <w:r>
        <w:rPr>
          <w:rFonts w:hint="eastAsia" w:ascii="仿宋_GB2312" w:eastAsia="仿宋_GB2312"/>
          <w:sz w:val="28"/>
          <w:szCs w:val="28"/>
          <w:lang w:eastAsia="zh-CN"/>
        </w:rPr>
        <w:t>将其他交通费划归到</w:t>
      </w:r>
      <w:r>
        <w:rPr>
          <w:rFonts w:hint="eastAsia" w:ascii="仿宋_GB2312" w:eastAsia="仿宋_GB2312"/>
          <w:sz w:val="28"/>
          <w:szCs w:val="28"/>
          <w:lang w:val="en-US" w:eastAsia="zh-CN"/>
        </w:rPr>
        <w:t>人员</w:t>
      </w:r>
      <w:r>
        <w:rPr>
          <w:rFonts w:hint="eastAsia" w:ascii="仿宋_GB2312" w:eastAsia="仿宋_GB2312"/>
          <w:sz w:val="28"/>
          <w:szCs w:val="28"/>
          <w:lang w:eastAsia="zh-CN"/>
        </w:rPr>
        <w:t>经费支出中决算</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0</w:t>
      </w:r>
      <w:r>
        <w:rPr>
          <w:rFonts w:hint="eastAsia" w:ascii="仿宋_GB2312" w:eastAsia="仿宋_GB2312"/>
          <w:sz w:val="28"/>
          <w:szCs w:val="28"/>
        </w:rPr>
        <w:t>万元。</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w:t>
      </w:r>
      <w:r>
        <w:rPr>
          <w:rFonts w:hint="eastAsia" w:ascii="仿宋_GB2312" w:eastAsia="仿宋_GB2312"/>
          <w:sz w:val="28"/>
          <w:szCs w:val="28"/>
        </w:rPr>
        <w:t>年度本部门车辆</w:t>
      </w:r>
      <w:r>
        <w:rPr>
          <w:rFonts w:hint="eastAsia" w:ascii="仿宋_GB2312" w:eastAsia="仿宋_GB2312"/>
          <w:sz w:val="28"/>
          <w:szCs w:val="28"/>
          <w:lang w:val="en-US" w:eastAsia="zh-CN"/>
        </w:rPr>
        <w:t>15</w:t>
      </w:r>
      <w:r>
        <w:rPr>
          <w:rFonts w:hint="eastAsia" w:ascii="仿宋_GB2312" w:eastAsia="仿宋_GB2312"/>
          <w:sz w:val="28"/>
          <w:szCs w:val="28"/>
        </w:rPr>
        <w:t>台，</w:t>
      </w:r>
      <w:r>
        <w:rPr>
          <w:rFonts w:hint="eastAsia" w:ascii="仿宋_GB2312" w:eastAsia="仿宋_GB2312"/>
          <w:sz w:val="28"/>
          <w:szCs w:val="28"/>
          <w:lang w:val="en-US" w:eastAsia="zh-CN"/>
        </w:rPr>
        <w:t>244.08</w:t>
      </w:r>
      <w:r>
        <w:rPr>
          <w:rFonts w:hint="eastAsia" w:ascii="仿宋_GB2312" w:eastAsia="仿宋_GB2312"/>
          <w:sz w:val="28"/>
          <w:szCs w:val="28"/>
        </w:rPr>
        <w:t>万元；单位价值</w:t>
      </w:r>
      <w:r>
        <w:rPr>
          <w:rFonts w:ascii="仿宋_GB2312" w:eastAsia="仿宋_GB2312"/>
          <w:sz w:val="28"/>
          <w:szCs w:val="28"/>
        </w:rPr>
        <w:t>100</w:t>
      </w:r>
      <w:r>
        <w:rPr>
          <w:rFonts w:hint="eastAsia" w:ascii="仿宋_GB2312" w:eastAsia="仿宋_GB2312"/>
          <w:sz w:val="28"/>
          <w:szCs w:val="28"/>
        </w:rPr>
        <w:t>万元（含）以上的设备</w:t>
      </w:r>
      <w:r>
        <w:rPr>
          <w:rFonts w:hint="eastAsia" w:ascii="仿宋_GB2312" w:eastAsia="仿宋_GB2312"/>
          <w:sz w:val="28"/>
          <w:szCs w:val="28"/>
          <w:lang w:val="en-US" w:eastAsia="zh-CN"/>
        </w:rPr>
        <w:t>2</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pPr>
        <w:ind w:firstLine="560" w:firstLineChars="200"/>
        <w:rPr>
          <w:rFonts w:hint="eastAsia" w:ascii="黑体" w:eastAsia="黑体"/>
          <w:sz w:val="28"/>
          <w:szCs w:val="28"/>
          <w:highlight w:val="yellow"/>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密云水库综合执法大队为了确保项目的顺利实施，成立了项目领导小组，确定了由大队长为组长的绩效跟踪工作领导小组，由党政办牵头，项目科室负责人和财务人员具体负责，确保项目绩效跟踪组织机构完善有效。在项目申报时对项目的涵盖内容，资金使用等问题做了详细的计划。在项目实施过程中，严格遵照预算申报书中的规定进行支出。制订了财务管理规定及密云水库综合执法大队项目资金管理办法（试行）,纳入密云水库综合执法大队资金管理制度进行管理，项目资金管理制度建设较为完善。</w:t>
      </w:r>
    </w:p>
    <w:p>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(一)完成密云区保水委员会办公室日常工作，研究制定密云水库水源保护工作规划和政策措施并组织实施，统筹协调密云水库流域水源保护工作。</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(二)贯彻落实水源保护方面的法律、法规、规章。根据市政府授权，在管理范围内集中行使区级农业、环保、城管3个部门131项行政处罚权以及与上述行政处罚权相关的行政检查权。</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(三)完成统一组织、调度密云水库综合执法队伍开展重大专项执法行动。</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(四)完成统筹协调市区相关部门、库区周边镇开展密云水库涉水领域联合执法和专项整治行动，建立健全行刑衔接机制，共同查处重大案件。</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(五)完成密云水库涉水领域行政执法资格、执法证件和执法标识管理。完成处理执法过程中发生的行政听证、行政复议、行政诉讼等事项。</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(六)完成完善区、镇、村三级保水体系，持续深化密云水库保水体制机制改革，推进执法与管护协调统一。</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(七)完成建立健全水源保护制度。完善监督考核办法，督导检查各部门、各相关镇保水工作落实和完成情况。</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(八)完成落实水源保护网格化管理，构建智能监控系统，完善人防、物防、技防相结合的监管体系。</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(九)完成开展水源保护宣传教育活动，对执法人员、执法辅助人员、管护队员等进行业务指导和培训。面向社会开展法制宣传教育活动，营造依法保水的社会氛围;建立公众参与平台，定期发布保水工作信息。</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2023年全年预算数6545.90万元，其中，基本支出预算数1523.49万元，项目支出预算数5022.41万元，其他支出预算数0万元。资金总体支出13011.79万元，其中，基本支出1685.69万元，项目支出11326.1万元，其他支出0万元。预算执行率为198.78%。</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确保职工的工资福利及时发放，单位办公运转正常有序；将密云水库一级保护区区管范围及潮河白河上游主河道划分为160个网格，其中一级区120个网格，河道40个网格，确保水质达到地表水Ⅱ类标准达标值，农民个人年补助收入1.8万元；执法工作正常开展，码头和执法船只正常运转。</w:t>
      </w:r>
    </w:p>
    <w:p>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全年职工工资保险按时缴纳，办公运转费用足额支付，网格化管理网格管理覆盖率和网格事件整改率均为100%，网格员上岗率99.5%。执法人员执法保障按时完成，保障率100%。</w:t>
      </w:r>
    </w:p>
    <w:p>
      <w:pPr>
        <w:numPr>
          <w:ilvl w:val="0"/>
          <w:numId w:val="2"/>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进度</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全年各项预算执行均按进度进行。 </w:t>
      </w:r>
    </w:p>
    <w:p>
      <w:pPr>
        <w:numPr>
          <w:ilvl w:val="0"/>
          <w:numId w:val="2"/>
        </w:num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全年机关运行成本控制在预算范围以内，完成了压缩开支，压减经费的目标。      </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1.社会效益：参与到网格化管理的农民个人年补助收入1.8万元，助力农民增收。</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2.环境效益：确保密云水库水质达到地表水Ⅱ类标准达标值。</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3.服务对象满意度：服务对象的满意率达到90%。</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1.财务管理制度健全性：不断健全我单位财务管理制度，及时更新内控流程，将项目资金纳入密云水库综合执法大队资金管理制度进行管理，项目资金管理制度建设较为完善。</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2.资金使用合规性和安全性：更新内控流程，针对风险点位和环节，强化监督，确保资金使用合规安全。</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3.会计基础信息完善性：及时整理完善财务档案，不断详实基础信息。</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（二）资产管理</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依据相关政策法规，加强对单位的资产管理工作，新购入，调拨资产及时入账，符合处置标准的资产按规定流程启动处置流程。</w:t>
      </w:r>
    </w:p>
    <w:p>
      <w:pPr>
        <w:numPr>
          <w:ilvl w:val="0"/>
          <w:numId w:val="3"/>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widowControl w:val="0"/>
        <w:wordWrap/>
        <w:adjustRightInd/>
        <w:snapToGrid/>
        <w:spacing w:line="600" w:lineRule="exact"/>
        <w:ind w:left="105" w:leftChars="50" w:right="0" w:firstLine="640" w:firstLineChars="200"/>
        <w:jc w:val="both"/>
        <w:textAlignment w:val="auto"/>
        <w:outlineLvl w:val="9"/>
        <w:rPr>
          <w:rFonts w:ascii="楷体_GB2312" w:eastAsia="楷体_GB2312"/>
          <w:sz w:val="32"/>
          <w:szCs w:val="32"/>
        </w:rPr>
      </w:pPr>
      <w:r>
        <w:rPr>
          <w:rFonts w:hint="eastAsia" w:ascii="仿宋_GB2312" w:hAnsi="宋体" w:eastAsia="仿宋_GB2312" w:cs="宋体"/>
          <w:color w:val="000000"/>
          <w:kern w:val="0"/>
          <w:sz w:val="32"/>
          <w:szCs w:val="32"/>
          <w:lang w:val="en-US" w:eastAsia="zh-CN"/>
        </w:rPr>
        <w:t>密云水库综合执法大队为了确保项目的顺利实施，成立了项目领导小组，确定了由大队长为组长的绩效跟踪工作领导小组，由党政办牵头，项目科室负责人和财务人员具体负责，确保项目绩效跟踪组织机构完善有效。</w:t>
      </w:r>
    </w:p>
    <w:p>
      <w:pPr>
        <w:numPr>
          <w:ilvl w:val="0"/>
          <w:numId w:val="3"/>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结转结余率</w:t>
      </w:r>
    </w:p>
    <w:p>
      <w:pPr>
        <w:spacing w:line="600" w:lineRule="exact"/>
        <w:ind w:left="105" w:leftChars="50" w:firstLine="480" w:firstLineChars="150"/>
        <w:rPr>
          <w:rFonts w:hint="eastAsia" w:ascii="楷体_GB2312" w:eastAsia="楷体_GB2312"/>
          <w:sz w:val="32"/>
          <w:szCs w:val="32"/>
        </w:rPr>
      </w:pPr>
      <w:r>
        <w:rPr>
          <w:rFonts w:hint="eastAsia" w:ascii="仿宋_GB2312" w:hAnsi="宋体" w:eastAsia="仿宋_GB2312" w:cs="宋体"/>
          <w:color w:val="000000"/>
          <w:kern w:val="0"/>
          <w:sz w:val="32"/>
          <w:szCs w:val="32"/>
          <w:lang w:val="en-US" w:eastAsia="zh-CN"/>
        </w:rPr>
        <w:t>2023年结转资金803.13万元，占全年资金的6.17%。</w:t>
      </w:r>
    </w:p>
    <w:p>
      <w:pPr>
        <w:numPr>
          <w:ilvl w:val="0"/>
          <w:numId w:val="3"/>
        </w:num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2023年预决算差异率为98.78%。</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2023年我单位的总计绩效评价较好评分等级为“优”。</w:t>
      </w:r>
    </w:p>
    <w:p>
      <w:pPr>
        <w:numPr>
          <w:ilvl w:val="0"/>
          <w:numId w:val="4"/>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存在的问题及原因分析</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差异率较大的原因是高水位运行项目进入实施阶段，项目资金支出增加，此笔项目资金是财政国库集中支付结余资金，项目资金整体比重比较大，预算时没有编制，决算时填报到支出。</w:t>
      </w:r>
    </w:p>
    <w:p>
      <w:pPr>
        <w:numPr>
          <w:ilvl w:val="0"/>
          <w:numId w:val="5"/>
        </w:num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措施建议</w:t>
      </w:r>
    </w:p>
    <w:p>
      <w:pPr>
        <w:widowControl w:val="0"/>
        <w:wordWrap/>
        <w:adjustRightInd/>
        <w:snapToGrid/>
        <w:spacing w:line="600" w:lineRule="exact"/>
        <w:ind w:left="105" w:leftChars="50" w:right="0" w:firstLine="640" w:firstLineChars="200"/>
        <w:jc w:val="both"/>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1.进一步完善项目实施方案，加强项目实施的日常管控措施，对项目全过程进度进行明确。</w:t>
      </w:r>
    </w:p>
    <w:p>
      <w:pPr>
        <w:widowControl w:val="0"/>
        <w:wordWrap/>
        <w:adjustRightInd/>
        <w:snapToGrid/>
        <w:spacing w:line="600" w:lineRule="exact"/>
        <w:ind w:left="105" w:leftChars="50" w:right="0" w:firstLine="640" w:firstLineChars="200"/>
        <w:jc w:val="both"/>
        <w:textAlignment w:val="auto"/>
        <w:outlineLvl w:val="9"/>
        <w:rPr>
          <w:rFonts w:hint="eastAsia"/>
        </w:rPr>
      </w:pPr>
      <w:r>
        <w:rPr>
          <w:rFonts w:hint="eastAsia" w:ascii="仿宋_GB2312" w:hAnsi="宋体" w:eastAsia="仿宋_GB2312" w:cs="宋体"/>
          <w:color w:val="000000"/>
          <w:kern w:val="0"/>
          <w:sz w:val="32"/>
          <w:szCs w:val="32"/>
          <w:lang w:val="en-US" w:eastAsia="zh-CN"/>
        </w:rPr>
        <w:t>2.对于长期性的延续性项目，应当建立健全具有针对性的、专门的项目管理制度。</w:t>
      </w:r>
    </w:p>
    <w:p>
      <w:pPr>
        <w:pStyle w:val="2"/>
        <w:ind w:firstLine="0" w:firstLineChars="0"/>
        <w:rPr>
          <w:rFonts w:hint="eastAsia" w:ascii="黑体" w:eastAsia="黑体"/>
          <w:sz w:val="32"/>
          <w:szCs w:val="32"/>
        </w:rPr>
      </w:pPr>
    </w:p>
    <w:tbl>
      <w:tblPr>
        <w:tblStyle w:val="11"/>
        <w:tblW w:w="14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79"/>
        <w:gridCol w:w="692"/>
        <w:gridCol w:w="698"/>
        <w:gridCol w:w="1011"/>
        <w:gridCol w:w="686"/>
        <w:gridCol w:w="686"/>
        <w:gridCol w:w="4397"/>
        <w:gridCol w:w="4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6545.9</w:t>
            </w:r>
            <w:r>
              <w:rPr>
                <w:rFonts w:hint="eastAsia" w:ascii="宋体" w:hAnsi="宋体" w:cs="宋体"/>
                <w:color w:val="000000"/>
                <w:kern w:val="0"/>
                <w:sz w:val="20"/>
                <w:szCs w:val="20"/>
              </w:rPr>
              <w:t>　</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8"/>
                <w:szCs w:val="18"/>
                <w:lang w:val="en-US" w:eastAsia="zh-CN"/>
              </w:rPr>
              <w:t>13011.79</w:t>
            </w:r>
            <w:r>
              <w:rPr>
                <w:rFonts w:hint="eastAsia" w:ascii="宋体" w:hAnsi="宋体" w:cs="宋体"/>
                <w:color w:val="000000"/>
                <w:kern w:val="0"/>
                <w:sz w:val="18"/>
                <w:szCs w:val="18"/>
              </w:rPr>
              <w:t>　</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198.78</w:t>
            </w:r>
            <w:r>
              <w:rPr>
                <w:rFonts w:hint="eastAsia" w:ascii="宋体" w:hAnsi="宋体" w:cs="宋体"/>
                <w:color w:val="000000"/>
                <w:kern w:val="0"/>
                <w:sz w:val="20"/>
                <w:szCs w:val="20"/>
              </w:rPr>
              <w:t>　</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18</w:t>
            </w: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1523.49</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1685.69</w:t>
            </w:r>
            <w:r>
              <w:rPr>
                <w:rFonts w:hint="eastAsia" w:ascii="宋体" w:hAnsi="宋体" w:cs="宋体"/>
                <w:color w:val="000000"/>
                <w:kern w:val="0"/>
                <w:sz w:val="20"/>
                <w:szCs w:val="20"/>
              </w:rPr>
              <w:t>　</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5022.41</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11326.1</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692" w:type="dxa"/>
            <w:tcBorders>
              <w:top w:val="single" w:color="auto" w:sz="4" w:space="0"/>
              <w:left w:val="nil"/>
              <w:bottom w:val="single" w:color="auto" w:sz="4" w:space="0"/>
              <w:right w:val="single" w:color="auto" w:sz="4" w:space="0"/>
            </w:tcBorders>
            <w:vAlign w:val="center"/>
          </w:tcPr>
          <w:p>
            <w:pPr>
              <w:pStyle w:val="19"/>
              <w:spacing w:line="240" w:lineRule="auto"/>
              <w:ind w:firstLine="0" w:firstLineChars="0"/>
              <w:jc w:val="center"/>
              <w:rPr>
                <w:rFonts w:hint="eastAsia" w:ascii="宋体" w:hAnsi="宋体" w:cs="宋体"/>
                <w:color w:val="000000"/>
                <w:kern w:val="0"/>
                <w:sz w:val="20"/>
                <w:szCs w:val="20"/>
              </w:rPr>
            </w:pPr>
            <w:r>
              <w:rPr>
                <w:rFonts w:hint="eastAsia"/>
                <w:sz w:val="20"/>
                <w:szCs w:val="20"/>
                <w:lang w:eastAsia="zh-CN"/>
              </w:rPr>
              <w:t>公用经费</w:t>
            </w:r>
          </w:p>
        </w:tc>
        <w:tc>
          <w:tcPr>
            <w:tcW w:w="698" w:type="dxa"/>
            <w:tcBorders>
              <w:top w:val="single" w:color="auto" w:sz="4" w:space="0"/>
              <w:left w:val="nil"/>
              <w:bottom w:val="single" w:color="auto" w:sz="4" w:space="0"/>
              <w:right w:val="single" w:color="auto" w:sz="4" w:space="0"/>
            </w:tcBorders>
            <w:vAlign w:val="top"/>
          </w:tcPr>
          <w:p>
            <w:pPr>
              <w:rPr>
                <w:rFonts w:hint="eastAsia" w:ascii="宋体" w:hAnsi="宋体" w:cs="宋体"/>
                <w:color w:val="000000"/>
                <w:kern w:val="0"/>
                <w:sz w:val="20"/>
                <w:szCs w:val="20"/>
              </w:rPr>
            </w:pPr>
            <w:r>
              <w:rPr>
                <w:rFonts w:hint="eastAsia"/>
                <w:sz w:val="18"/>
                <w:szCs w:val="18"/>
                <w:lang w:eastAsia="zh-CN"/>
              </w:rPr>
              <w:t>保证单位人员工资正常发放及机构正常运转</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100%</w:t>
            </w:r>
          </w:p>
        </w:tc>
        <w:tc>
          <w:tcPr>
            <w:tcW w:w="68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val="en-US" w:eastAsia="zh-CN"/>
              </w:rPr>
              <w:t>5</w:t>
            </w: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1"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pStyle w:val="19"/>
              <w:tabs>
                <w:tab w:val="left" w:leader="dot" w:pos="360"/>
              </w:tabs>
              <w:spacing w:line="240" w:lineRule="auto"/>
              <w:ind w:firstLine="0" w:firstLineChars="0"/>
              <w:jc w:val="center"/>
              <w:rPr>
                <w:rFonts w:hint="eastAsia" w:ascii="宋体" w:hAnsi="宋体" w:cs="宋体"/>
                <w:color w:val="000000"/>
                <w:kern w:val="0"/>
                <w:sz w:val="20"/>
                <w:szCs w:val="20"/>
              </w:rPr>
            </w:pPr>
            <w:r>
              <w:rPr>
                <w:rFonts w:hint="eastAsia"/>
                <w:sz w:val="20"/>
                <w:szCs w:val="20"/>
                <w:lang w:val="en-US" w:eastAsia="zh-CN" w:bidi="en-US"/>
              </w:rPr>
              <w:t>2023年网格化管理资金</w:t>
            </w:r>
          </w:p>
        </w:tc>
        <w:tc>
          <w:tcPr>
            <w:tcW w:w="698" w:type="dxa"/>
            <w:tcBorders>
              <w:top w:val="single" w:color="auto" w:sz="4" w:space="0"/>
              <w:left w:val="nil"/>
              <w:bottom w:val="single" w:color="auto" w:sz="4" w:space="0"/>
              <w:right w:val="single" w:color="auto" w:sz="4" w:space="0"/>
            </w:tcBorders>
            <w:vAlign w:val="center"/>
          </w:tcPr>
          <w:p>
            <w:pPr>
              <w:pStyle w:val="19"/>
              <w:tabs>
                <w:tab w:val="left" w:leader="dot" w:pos="360"/>
              </w:tabs>
              <w:spacing w:line="240" w:lineRule="auto"/>
              <w:ind w:firstLine="0" w:firstLineChars="0"/>
              <w:jc w:val="both"/>
              <w:rPr>
                <w:rFonts w:hint="eastAsia" w:ascii="宋体" w:hAnsi="宋体" w:cs="宋体"/>
                <w:color w:val="000000"/>
                <w:kern w:val="0"/>
                <w:sz w:val="20"/>
                <w:szCs w:val="20"/>
              </w:rPr>
            </w:pPr>
            <w:r>
              <w:rPr>
                <w:rFonts w:hint="eastAsia"/>
                <w:sz w:val="18"/>
                <w:szCs w:val="18"/>
                <w:lang w:val="en-US" w:eastAsia="zh-CN" w:bidi="en-US"/>
              </w:rPr>
              <w:t>将密云水库一级保护区区管范围及潮河白河上游主河道划分为160个网格，其中一级区120个网格，河道40个网格，确保水质达到地表水Ⅱ类标准达标值，农民个人年补助收入1.8万元</w:t>
            </w:r>
            <w:r>
              <w:rPr>
                <w:rFonts w:hint="eastAsia"/>
                <w:sz w:val="20"/>
                <w:szCs w:val="20"/>
                <w:lang w:val="en-US" w:eastAsia="zh-CN" w:bidi="en-US"/>
              </w:rPr>
              <w:t>。</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98%</w:t>
            </w:r>
          </w:p>
        </w:tc>
        <w:tc>
          <w:tcPr>
            <w:tcW w:w="686"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3"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pStyle w:val="19"/>
              <w:tabs>
                <w:tab w:val="left" w:leader="dot" w:pos="360"/>
              </w:tabs>
              <w:spacing w:line="240" w:lineRule="auto"/>
              <w:ind w:firstLine="0" w:firstLineChars="0"/>
              <w:jc w:val="center"/>
              <w:rPr>
                <w:rFonts w:hint="eastAsia" w:ascii="宋体" w:hAnsi="宋体" w:cs="宋体"/>
                <w:color w:val="000000"/>
                <w:kern w:val="0"/>
                <w:sz w:val="20"/>
                <w:szCs w:val="20"/>
              </w:rPr>
            </w:pPr>
            <w:r>
              <w:rPr>
                <w:rFonts w:hint="eastAsia"/>
                <w:sz w:val="20"/>
                <w:szCs w:val="20"/>
                <w:lang w:val="en-US" w:eastAsia="zh-CN" w:bidi="en-US"/>
              </w:rPr>
              <w:t>2023年辅警工资</w:t>
            </w:r>
          </w:p>
        </w:tc>
        <w:tc>
          <w:tcPr>
            <w:tcW w:w="698" w:type="dxa"/>
            <w:tcBorders>
              <w:top w:val="nil"/>
              <w:left w:val="nil"/>
              <w:bottom w:val="single" w:color="auto" w:sz="4" w:space="0"/>
              <w:right w:val="single" w:color="auto" w:sz="4" w:space="0"/>
            </w:tcBorders>
            <w:vAlign w:val="center"/>
          </w:tcPr>
          <w:p>
            <w:pPr>
              <w:pStyle w:val="19"/>
              <w:tabs>
                <w:tab w:val="left" w:leader="dot" w:pos="360"/>
              </w:tabs>
              <w:spacing w:line="240" w:lineRule="auto"/>
              <w:ind w:firstLine="0" w:firstLineChars="0"/>
              <w:jc w:val="both"/>
              <w:rPr>
                <w:rFonts w:hint="eastAsia" w:ascii="宋体" w:hAnsi="宋体" w:cs="宋体"/>
                <w:color w:val="000000"/>
                <w:kern w:val="0"/>
                <w:sz w:val="20"/>
                <w:szCs w:val="20"/>
              </w:rPr>
            </w:pPr>
            <w:r>
              <w:rPr>
                <w:rFonts w:hint="eastAsia"/>
                <w:sz w:val="18"/>
                <w:szCs w:val="18"/>
                <w:lang w:val="en-US" w:eastAsia="zh-CN" w:bidi="en-US"/>
              </w:rPr>
              <w:t>保证20名辅警人员工资的正常发放。</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100%</w:t>
            </w:r>
          </w:p>
        </w:tc>
        <w:tc>
          <w:tcPr>
            <w:tcW w:w="68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pStyle w:val="19"/>
              <w:tabs>
                <w:tab w:val="left" w:leader="dot" w:pos="360"/>
              </w:tabs>
              <w:spacing w:line="240" w:lineRule="auto"/>
              <w:ind w:firstLine="0" w:firstLineChars="0"/>
              <w:jc w:val="center"/>
              <w:rPr>
                <w:rFonts w:hint="eastAsia"/>
                <w:sz w:val="20"/>
                <w:szCs w:val="20"/>
                <w:lang w:val="en-US" w:eastAsia="zh-CN" w:bidi="en-US"/>
              </w:rPr>
            </w:pPr>
            <w:r>
              <w:rPr>
                <w:rFonts w:hint="eastAsia"/>
                <w:sz w:val="20"/>
                <w:szCs w:val="20"/>
                <w:lang w:val="en-US" w:eastAsia="zh-CN" w:bidi="en-US"/>
              </w:rPr>
              <w:t>一级区污水处理站在线监测</w:t>
            </w:r>
          </w:p>
        </w:tc>
        <w:tc>
          <w:tcPr>
            <w:tcW w:w="698" w:type="dxa"/>
            <w:tcBorders>
              <w:top w:val="nil"/>
              <w:left w:val="nil"/>
              <w:bottom w:val="single" w:color="auto" w:sz="4" w:space="0"/>
              <w:right w:val="single" w:color="auto" w:sz="4" w:space="0"/>
            </w:tcBorders>
            <w:vAlign w:val="center"/>
          </w:tcPr>
          <w:p>
            <w:pPr>
              <w:pStyle w:val="19"/>
              <w:tabs>
                <w:tab w:val="left" w:leader="dot" w:pos="360"/>
              </w:tabs>
              <w:spacing w:line="240" w:lineRule="auto"/>
              <w:ind w:firstLine="0" w:firstLineChars="0"/>
              <w:jc w:val="both"/>
              <w:rPr>
                <w:rFonts w:hint="eastAsia"/>
                <w:sz w:val="18"/>
                <w:szCs w:val="18"/>
                <w:lang w:val="en-US" w:eastAsia="zh-CN" w:bidi="en-US"/>
              </w:rPr>
            </w:pPr>
            <w:r>
              <w:rPr>
                <w:rFonts w:hint="eastAsia"/>
                <w:sz w:val="18"/>
                <w:szCs w:val="18"/>
                <w:lang w:val="en-US" w:eastAsia="zh-CN" w:bidi="en-US"/>
              </w:rPr>
              <w:t>完成63座污水站在线监测系统建设</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59座</w:t>
            </w:r>
          </w:p>
        </w:tc>
        <w:tc>
          <w:tcPr>
            <w:tcW w:w="686" w:type="dxa"/>
            <w:vMerge w:val="restart"/>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p>
        </w:tc>
        <w:tc>
          <w:tcPr>
            <w:tcW w:w="686"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439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pStyle w:val="19"/>
              <w:tabs>
                <w:tab w:val="left" w:leader="dot" w:pos="360"/>
              </w:tabs>
              <w:spacing w:line="240" w:lineRule="auto"/>
              <w:ind w:firstLine="0" w:firstLineChars="0"/>
              <w:jc w:val="center"/>
              <w:rPr>
                <w:rFonts w:hint="eastAsia"/>
                <w:sz w:val="20"/>
                <w:szCs w:val="20"/>
                <w:lang w:val="en-US" w:eastAsia="zh-CN" w:bidi="en-US"/>
              </w:rPr>
            </w:pPr>
            <w:r>
              <w:rPr>
                <w:rFonts w:hint="eastAsia"/>
                <w:sz w:val="20"/>
                <w:szCs w:val="20"/>
                <w:lang w:val="en-US" w:eastAsia="zh-CN" w:bidi="en-US"/>
              </w:rPr>
              <w:t>执法保障建设</w:t>
            </w:r>
          </w:p>
        </w:tc>
        <w:tc>
          <w:tcPr>
            <w:tcW w:w="698" w:type="dxa"/>
            <w:tcBorders>
              <w:top w:val="nil"/>
              <w:left w:val="nil"/>
              <w:bottom w:val="single" w:color="auto" w:sz="4" w:space="0"/>
              <w:right w:val="single" w:color="auto" w:sz="4" w:space="0"/>
            </w:tcBorders>
            <w:vAlign w:val="center"/>
          </w:tcPr>
          <w:p>
            <w:pPr>
              <w:pStyle w:val="19"/>
              <w:tabs>
                <w:tab w:val="left" w:leader="dot" w:pos="360"/>
              </w:tabs>
              <w:spacing w:line="240" w:lineRule="auto"/>
              <w:ind w:firstLine="0" w:firstLineChars="0"/>
              <w:jc w:val="both"/>
              <w:rPr>
                <w:rFonts w:hint="eastAsia"/>
                <w:sz w:val="18"/>
                <w:szCs w:val="18"/>
                <w:lang w:val="en-US" w:eastAsia="zh-CN" w:bidi="en-US"/>
              </w:rPr>
            </w:pPr>
            <w:r>
              <w:rPr>
                <w:rFonts w:hint="eastAsia"/>
                <w:sz w:val="18"/>
                <w:szCs w:val="18"/>
                <w:lang w:val="en-US" w:eastAsia="zh-CN" w:bidi="en-US"/>
              </w:rPr>
              <w:t>执法装备，船只码头建设，指挥平台系统建设</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60%</w:t>
            </w:r>
          </w:p>
        </w:tc>
        <w:tc>
          <w:tcPr>
            <w:tcW w:w="686"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p>
        </w:tc>
        <w:tc>
          <w:tcPr>
            <w:tcW w:w="686"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439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692" w:type="dxa"/>
            <w:tcBorders>
              <w:top w:val="nil"/>
              <w:left w:val="nil"/>
              <w:bottom w:val="single" w:color="auto" w:sz="4" w:space="0"/>
              <w:right w:val="single" w:color="auto" w:sz="4" w:space="0"/>
            </w:tcBorders>
            <w:vAlign w:val="center"/>
          </w:tcPr>
          <w:p>
            <w:pPr>
              <w:spacing w:line="560" w:lineRule="exact"/>
              <w:jc w:val="center"/>
              <w:rPr>
                <w:rFonts w:hint="eastAsia" w:ascii="宋体" w:hAnsi="宋体" w:cs="宋体"/>
                <w:color w:val="000000"/>
                <w:kern w:val="0"/>
                <w:sz w:val="20"/>
                <w:szCs w:val="20"/>
              </w:rPr>
            </w:pPr>
            <w:r>
              <w:rPr>
                <w:rFonts w:hint="eastAsia" w:ascii="宋体" w:hAnsi="宋体" w:eastAsia="宋体" w:cs="宋体"/>
                <w:sz w:val="18"/>
                <w:szCs w:val="18"/>
                <w:lang w:eastAsia="zh-CN"/>
              </w:rPr>
              <w:t>确保水质达到地表水Ⅱ类标准达标值</w:t>
            </w:r>
          </w:p>
        </w:tc>
        <w:tc>
          <w:tcPr>
            <w:tcW w:w="698" w:type="dxa"/>
            <w:tcBorders>
              <w:top w:val="nil"/>
              <w:left w:val="nil"/>
              <w:bottom w:val="single" w:color="auto" w:sz="4" w:space="0"/>
              <w:right w:val="single" w:color="auto" w:sz="4" w:space="0"/>
            </w:tcBorders>
            <w:vAlign w:val="center"/>
          </w:tcPr>
          <w:p>
            <w:pPr>
              <w:spacing w:line="560" w:lineRule="exact"/>
              <w:jc w:val="center"/>
              <w:rPr>
                <w:rFonts w:hint="eastAsia" w:ascii="宋体" w:hAnsi="宋体" w:cs="宋体"/>
                <w:color w:val="000000"/>
                <w:kern w:val="0"/>
                <w:sz w:val="20"/>
                <w:szCs w:val="20"/>
              </w:rPr>
            </w:pPr>
            <w:r>
              <w:rPr>
                <w:rFonts w:hint="eastAsia" w:ascii="宋体" w:hAnsi="宋体" w:eastAsia="宋体" w:cs="宋体"/>
                <w:sz w:val="18"/>
                <w:szCs w:val="18"/>
                <w:lang w:eastAsia="zh-CN"/>
              </w:rPr>
              <w:t>达到地表水Ⅱ类标准</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100%</w:t>
            </w:r>
          </w:p>
        </w:tc>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w:t>
            </w:r>
          </w:p>
        </w:tc>
        <w:tc>
          <w:tcPr>
            <w:tcW w:w="4397"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spacing w:line="560" w:lineRule="exact"/>
              <w:jc w:val="center"/>
              <w:rPr>
                <w:rFonts w:hint="eastAsia" w:ascii="宋体" w:hAnsi="宋体" w:cs="宋体"/>
                <w:color w:val="000000"/>
                <w:kern w:val="0"/>
                <w:sz w:val="20"/>
                <w:szCs w:val="20"/>
              </w:rPr>
            </w:pPr>
            <w:r>
              <w:rPr>
                <w:rFonts w:hint="eastAsia" w:ascii="宋体" w:hAnsi="宋体" w:eastAsia="宋体" w:cs="宋体"/>
                <w:sz w:val="18"/>
                <w:szCs w:val="18"/>
              </w:rPr>
              <w:t>农民个人年补助收入</w:t>
            </w:r>
          </w:p>
        </w:tc>
        <w:tc>
          <w:tcPr>
            <w:tcW w:w="698" w:type="dxa"/>
            <w:tcBorders>
              <w:top w:val="nil"/>
              <w:left w:val="nil"/>
              <w:bottom w:val="single" w:color="auto" w:sz="4" w:space="0"/>
              <w:right w:val="single" w:color="auto" w:sz="4" w:space="0"/>
            </w:tcBorders>
            <w:vAlign w:val="center"/>
          </w:tcPr>
          <w:p>
            <w:pPr>
              <w:spacing w:line="560" w:lineRule="exact"/>
              <w:jc w:val="center"/>
              <w:rPr>
                <w:rFonts w:hint="eastAsia" w:ascii="宋体" w:hAnsi="宋体" w:cs="宋体"/>
                <w:color w:val="000000"/>
                <w:kern w:val="0"/>
                <w:sz w:val="20"/>
                <w:szCs w:val="20"/>
              </w:rPr>
            </w:pPr>
            <w:r>
              <w:rPr>
                <w:rFonts w:hint="eastAsia" w:ascii="宋体" w:hAnsi="宋体" w:cs="宋体"/>
                <w:sz w:val="18"/>
                <w:szCs w:val="18"/>
                <w:lang w:eastAsia="zh-CN"/>
              </w:rPr>
              <w:t>一季度增收</w:t>
            </w:r>
            <w:r>
              <w:rPr>
                <w:rFonts w:hint="eastAsia" w:ascii="宋体" w:hAnsi="宋体" w:cs="宋体"/>
                <w:sz w:val="18"/>
                <w:szCs w:val="18"/>
                <w:lang w:val="en-US" w:eastAsia="zh-CN"/>
              </w:rPr>
              <w:t>4500元</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98%</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spacing w:line="560" w:lineRule="exact"/>
              <w:rPr>
                <w:rFonts w:hint="eastAsia" w:ascii="宋体" w:hAnsi="宋体" w:cs="宋体"/>
                <w:color w:val="000000"/>
                <w:kern w:val="0"/>
                <w:sz w:val="18"/>
                <w:szCs w:val="18"/>
              </w:rPr>
            </w:pPr>
            <w:r>
              <w:rPr>
                <w:rFonts w:hint="eastAsia" w:ascii="宋体" w:hAnsi="宋体" w:cs="宋体"/>
                <w:sz w:val="18"/>
                <w:szCs w:val="18"/>
                <w:lang w:eastAsia="zh-CN"/>
              </w:rPr>
              <w:t>保证</w:t>
            </w:r>
            <w:r>
              <w:rPr>
                <w:rFonts w:hint="eastAsia" w:ascii="宋体" w:hAnsi="宋体" w:cs="宋体"/>
                <w:sz w:val="18"/>
                <w:szCs w:val="18"/>
                <w:lang w:val="en-US" w:eastAsia="zh-CN"/>
              </w:rPr>
              <w:t>20名</w:t>
            </w:r>
            <w:r>
              <w:rPr>
                <w:rFonts w:hint="eastAsia" w:ascii="宋体" w:hAnsi="宋体" w:cs="宋体"/>
                <w:sz w:val="18"/>
                <w:szCs w:val="18"/>
                <w:lang w:eastAsia="zh-CN"/>
              </w:rPr>
              <w:t>辅警工资的正常发放</w:t>
            </w:r>
          </w:p>
        </w:tc>
        <w:tc>
          <w:tcPr>
            <w:tcW w:w="698" w:type="dxa"/>
            <w:tcBorders>
              <w:top w:val="nil"/>
              <w:left w:val="nil"/>
              <w:bottom w:val="single" w:color="auto" w:sz="4" w:space="0"/>
              <w:right w:val="single" w:color="auto" w:sz="4" w:space="0"/>
            </w:tcBorders>
            <w:vAlign w:val="center"/>
          </w:tcPr>
          <w:p>
            <w:pPr>
              <w:spacing w:line="560" w:lineRule="exact"/>
              <w:rPr>
                <w:rFonts w:hint="eastAsia" w:ascii="宋体" w:hAnsi="宋体" w:cs="宋体"/>
                <w:color w:val="000000"/>
                <w:kern w:val="0"/>
                <w:sz w:val="18"/>
                <w:szCs w:val="18"/>
              </w:rPr>
            </w:pPr>
            <w:r>
              <w:rPr>
                <w:rFonts w:hint="eastAsia" w:ascii="宋体" w:hAnsi="宋体" w:cs="宋体"/>
                <w:sz w:val="18"/>
                <w:szCs w:val="18"/>
                <w:lang w:eastAsia="zh-CN"/>
              </w:rPr>
              <w:t>辅警工资按时发放</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pStyle w:val="19"/>
              <w:tabs>
                <w:tab w:val="left" w:leader="dot" w:pos="360"/>
              </w:tabs>
              <w:spacing w:line="240" w:lineRule="auto"/>
              <w:ind w:firstLine="0" w:firstLineChars="0"/>
              <w:jc w:val="center"/>
              <w:rPr>
                <w:rFonts w:hint="eastAsia" w:ascii="宋体" w:hAnsi="宋体" w:cs="宋体"/>
                <w:color w:val="000000"/>
                <w:kern w:val="0"/>
                <w:sz w:val="20"/>
                <w:szCs w:val="20"/>
              </w:rPr>
            </w:pPr>
            <w:r>
              <w:rPr>
                <w:rFonts w:hint="eastAsia"/>
                <w:sz w:val="20"/>
                <w:szCs w:val="20"/>
                <w:lang w:val="en-US" w:eastAsia="zh-CN" w:bidi="en-US"/>
              </w:rPr>
              <w:t>一级区污水处理站在线监测</w:t>
            </w: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63各站点建设</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59座</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pStyle w:val="19"/>
              <w:tabs>
                <w:tab w:val="left" w:leader="dot" w:pos="360"/>
              </w:tabs>
              <w:spacing w:line="240" w:lineRule="auto"/>
              <w:ind w:firstLine="0" w:firstLineChars="0"/>
              <w:jc w:val="center"/>
              <w:rPr>
                <w:rFonts w:hint="eastAsia" w:ascii="宋体" w:hAnsi="宋体" w:cs="宋体"/>
                <w:color w:val="000000"/>
                <w:kern w:val="0"/>
                <w:sz w:val="20"/>
                <w:szCs w:val="20"/>
              </w:rPr>
            </w:pPr>
            <w:r>
              <w:rPr>
                <w:rFonts w:hint="eastAsia"/>
                <w:sz w:val="20"/>
                <w:szCs w:val="20"/>
                <w:lang w:val="en-US" w:eastAsia="zh-CN" w:bidi="en-US"/>
              </w:rPr>
              <w:t>执法保障建设</w:t>
            </w:r>
          </w:p>
        </w:tc>
        <w:tc>
          <w:tcPr>
            <w:tcW w:w="6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sz w:val="18"/>
                <w:szCs w:val="18"/>
                <w:lang w:val="en-US" w:eastAsia="zh-CN" w:bidi="en-US"/>
              </w:rPr>
              <w:t>执法装备，船只码头建设，指挥平台系统建设</w:t>
            </w: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60%</w:t>
            </w:r>
          </w:p>
        </w:tc>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w:t>
            </w:r>
          </w:p>
        </w:tc>
        <w:tc>
          <w:tcPr>
            <w:tcW w:w="4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698" w:type="dxa"/>
            <w:tcBorders>
              <w:top w:val="single" w:color="auto" w:sz="4" w:space="0"/>
              <w:left w:val="nil"/>
              <w:bottom w:val="single" w:color="auto" w:sz="4" w:space="0"/>
              <w:right w:val="single" w:color="auto" w:sz="4" w:space="0"/>
            </w:tcBorders>
            <w:vAlign w:val="center"/>
          </w:tcPr>
          <w:p>
            <w:pPr>
              <w:jc w:val="both"/>
              <w:rPr>
                <w:rFonts w:hint="eastAsia" w:ascii="宋体" w:hAnsi="宋体" w:cs="宋体"/>
                <w:color w:val="000000"/>
                <w:kern w:val="0"/>
                <w:sz w:val="20"/>
                <w:szCs w:val="20"/>
              </w:rPr>
            </w:pPr>
            <w:r>
              <w:rPr>
                <w:rFonts w:hint="eastAsia" w:ascii="仿宋_GB2312" w:hAnsi="宋体" w:eastAsia="仿宋_GB2312" w:cs="仿宋_GB2312"/>
                <w:color w:val="000000"/>
                <w:kern w:val="0"/>
                <w:szCs w:val="21"/>
              </w:rPr>
              <w:t>财务管理制度健全</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rPr>
              <w:t>财务管理制度健全</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资金使用合规、安全</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szCs w:val="21"/>
                <w:lang w:eastAsia="zh-CN"/>
              </w:rPr>
              <w:t>资金使用合规、安全</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698"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rPr>
              <w:t>会计基础信息完善</w:t>
            </w:r>
          </w:p>
        </w:tc>
        <w:tc>
          <w:tcPr>
            <w:tcW w:w="1011" w:type="dxa"/>
            <w:tcBorders>
              <w:top w:val="nil"/>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rPr>
              <w:t>会计基础信息完善</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rPr>
              <w:t>资产管理规范</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rPr>
              <w:t>资产管理规范</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6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698"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rPr>
              <w:t>绩效管理</w:t>
            </w:r>
            <w:r>
              <w:rPr>
                <w:rFonts w:hint="eastAsia" w:ascii="仿宋_GB2312" w:hAnsi="宋体" w:eastAsia="仿宋_GB2312" w:cs="仿宋_GB2312"/>
                <w:color w:val="000000"/>
                <w:kern w:val="0"/>
                <w:szCs w:val="21"/>
                <w:lang w:eastAsia="zh-CN"/>
              </w:rPr>
              <w:t>及时全面</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0"/>
                <w:szCs w:val="20"/>
              </w:rPr>
            </w:pPr>
            <w:r>
              <w:rPr>
                <w:rFonts w:hint="eastAsia" w:ascii="仿宋_GB2312" w:hAnsi="宋体" w:eastAsia="仿宋_GB2312" w:cs="仿宋_GB2312"/>
                <w:color w:val="000000"/>
                <w:kern w:val="0"/>
                <w:szCs w:val="21"/>
              </w:rPr>
              <w:t>绩效管理</w:t>
            </w:r>
            <w:r>
              <w:rPr>
                <w:rFonts w:hint="eastAsia" w:ascii="仿宋_GB2312" w:hAnsi="宋体" w:eastAsia="仿宋_GB2312" w:cs="仿宋_GB2312"/>
                <w:color w:val="000000"/>
                <w:kern w:val="0"/>
                <w:szCs w:val="21"/>
                <w:lang w:eastAsia="zh-CN"/>
              </w:rPr>
              <w:t>相对及时全面</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39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仿宋_GB2312" w:hAnsi="宋体" w:eastAsia="仿宋_GB2312" w:cs="仿宋_GB2312"/>
                <w:color w:val="000000"/>
                <w:szCs w:val="21"/>
                <w:lang w:val="en-US" w:eastAsia="zh-CN"/>
              </w:rPr>
              <w:t>11.22</w:t>
            </w:r>
          </w:p>
        </w:tc>
        <w:tc>
          <w:tcPr>
            <w:tcW w:w="10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6.17</w:t>
            </w:r>
            <w:r>
              <w:rPr>
                <w:rFonts w:hint="eastAsia" w:ascii="宋体" w:hAnsi="宋体" w:cs="宋体"/>
                <w:color w:val="000000"/>
                <w:kern w:val="0"/>
                <w:sz w:val="20"/>
                <w:szCs w:val="20"/>
              </w:rPr>
              <w:t>　</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390" w:type="dxa"/>
            <w:gridSpan w:val="2"/>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98.78</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1.2</w:t>
            </w:r>
            <w:r>
              <w:rPr>
                <w:rFonts w:hint="eastAsia" w:ascii="宋体" w:hAnsi="宋体" w:cs="宋体"/>
                <w:color w:val="000000"/>
                <w:kern w:val="0"/>
                <w:sz w:val="20"/>
                <w:szCs w:val="20"/>
              </w:rPr>
              <w:t>　</w:t>
            </w:r>
          </w:p>
        </w:tc>
        <w:tc>
          <w:tcPr>
            <w:tcW w:w="439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452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68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686"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87.2</w:t>
            </w:r>
            <w:r>
              <w:rPr>
                <w:rFonts w:hint="eastAsia" w:ascii="宋体" w:hAnsi="宋体" w:cs="宋体"/>
                <w:color w:val="000000"/>
                <w:kern w:val="0"/>
                <w:sz w:val="20"/>
                <w:szCs w:val="20"/>
              </w:rPr>
              <w:t>　</w:t>
            </w:r>
          </w:p>
        </w:tc>
        <w:tc>
          <w:tcPr>
            <w:tcW w:w="88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2"/>
        <w:rPr>
          <w:rFonts w:hint="eastAsia"/>
        </w:rPr>
      </w:pPr>
    </w:p>
    <w:p>
      <w:pPr>
        <w:pStyle w:val="2"/>
        <w:rPr>
          <w:rFonts w:hint="eastAsia"/>
        </w:rPr>
      </w:pPr>
    </w:p>
    <w:p>
      <w:pPr>
        <w:pStyle w:val="2"/>
        <w:rPr>
          <w:rFonts w:hint="eastAsia"/>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widowControl w:val="0"/>
        <w:wordWrap/>
        <w:adjustRightInd/>
        <w:snapToGrid/>
        <w:spacing w:line="600" w:lineRule="exact"/>
        <w:ind w:left="0" w:leftChars="0" w:right="0" w:firstLine="640" w:firstLineChars="200"/>
        <w:jc w:val="both"/>
        <w:textAlignment w:val="auto"/>
        <w:outlineLvl w:val="0"/>
        <w:rPr>
          <w:rFonts w:hint="eastAsia"/>
          <w:sz w:val="32"/>
          <w:szCs w:val="32"/>
        </w:rPr>
      </w:pPr>
      <w:r>
        <w:rPr>
          <w:rFonts w:hint="eastAsia" w:ascii="仿宋_GB2312" w:hAnsi="宋体" w:eastAsia="仿宋_GB2312"/>
          <w:sz w:val="32"/>
          <w:szCs w:val="32"/>
          <w:lang w:val="en-US" w:eastAsia="zh-CN"/>
        </w:rPr>
        <w:t>对密云水库一级保护区区管范围及潮河白河上游河道实施“定格、定人、定责、定章”的网格化管理，明确网格、责任主体、管护人员、工作职责，建立完善监督考核机制，统筹山水林田湖草，实现全天候、全覆盖、精细化管护，确保大地覆绿、清水下山、净水入库，同时促进农民保水就业，增加农民收入。</w:t>
      </w:r>
    </w:p>
    <w:p>
      <w:pPr>
        <w:numPr>
          <w:ilvl w:val="0"/>
          <w:numId w:val="6"/>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pPr>
        <w:widowControl w:val="0"/>
        <w:wordWrap/>
        <w:adjustRightInd/>
        <w:snapToGrid/>
        <w:spacing w:line="600" w:lineRule="exact"/>
        <w:ind w:left="0" w:leftChars="0" w:right="0" w:firstLine="640" w:firstLineChars="200"/>
        <w:jc w:val="both"/>
        <w:textAlignment w:val="auto"/>
        <w:outlineLvl w:val="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确保大地覆绿、清水下山、净水入库，同时促进农民保水就业，增加农民收入。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widowControl w:val="0"/>
        <w:wordWrap/>
        <w:adjustRightInd/>
        <w:snapToGrid/>
        <w:spacing w:line="600" w:lineRule="exact"/>
        <w:ind w:left="0" w:leftChars="0" w:right="0" w:firstLine="640" w:firstLineChars="200"/>
        <w:jc w:val="both"/>
        <w:textAlignment w:val="auto"/>
        <w:outlineLvl w:val="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为了更好的利用财政资金，加强项目资金全过程的绩效管理，我单位选取了2023年度网格化管理专项资金进行项目绩效评价。</w:t>
      </w:r>
    </w:p>
    <w:p>
      <w:pPr>
        <w:numPr>
          <w:ilvl w:val="0"/>
          <w:numId w:val="7"/>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绩效评价原则、评价指标体系（附表说明）、评价方法、评价标准等。</w:t>
      </w:r>
    </w:p>
    <w:p>
      <w:pPr>
        <w:widowControl w:val="0"/>
        <w:wordWrap/>
        <w:adjustRightInd/>
        <w:snapToGrid/>
        <w:spacing w:line="600" w:lineRule="exact"/>
        <w:ind w:left="0" w:leftChars="0" w:right="0" w:firstLine="640" w:firstLineChars="200"/>
        <w:jc w:val="both"/>
        <w:textAlignment w:val="auto"/>
        <w:outlineLvl w:val="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采取部门自评的方式对2023年度网格化管理专项资金进行绩效评价。</w:t>
      </w:r>
    </w:p>
    <w:p>
      <w:pPr>
        <w:numPr>
          <w:ilvl w:val="0"/>
          <w:numId w:val="7"/>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pPr>
        <w:widowControl w:val="0"/>
        <w:wordWrap/>
        <w:adjustRightInd/>
        <w:snapToGrid/>
        <w:spacing w:line="600" w:lineRule="exact"/>
        <w:ind w:left="0" w:leftChars="0" w:right="0" w:firstLine="640" w:firstLineChars="200"/>
        <w:jc w:val="both"/>
        <w:textAlignment w:val="auto"/>
        <w:outlineLvl w:val="0"/>
        <w:rPr>
          <w:rFonts w:hint="eastAsia" w:ascii="楷体_GB2312" w:hAnsi="楷体_GB2312" w:eastAsia="楷体_GB2312" w:cs="楷体_GB2312"/>
          <w:sz w:val="32"/>
          <w:szCs w:val="32"/>
        </w:rPr>
      </w:pPr>
      <w:r>
        <w:rPr>
          <w:rFonts w:hint="eastAsia" w:ascii="仿宋_GB2312" w:hAnsi="宋体" w:eastAsia="仿宋_GB2312"/>
          <w:sz w:val="32"/>
          <w:szCs w:val="32"/>
          <w:lang w:val="en-US" w:eastAsia="zh-CN"/>
        </w:rPr>
        <w:t xml:space="preserve"> 密云水库综合执法大队为了确保项目的顺利实施，成立了项目领导小组，确定了领导小组成员及其职责分工，并且责任落实到人，项目组织机构完善有效。</w:t>
      </w:r>
    </w:p>
    <w:p>
      <w:pPr>
        <w:numPr>
          <w:ilvl w:val="0"/>
          <w:numId w:val="8"/>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综合评价情况及评价结论（附相关评分表）</w:t>
      </w:r>
    </w:p>
    <w:p>
      <w:pPr>
        <w:widowControl w:val="0"/>
        <w:wordWrap/>
        <w:adjustRightInd/>
        <w:snapToGrid/>
        <w:spacing w:line="600" w:lineRule="exact"/>
        <w:ind w:left="0" w:leftChars="0" w:right="0" w:firstLine="640" w:firstLineChars="200"/>
        <w:jc w:val="both"/>
        <w:textAlignment w:val="auto"/>
        <w:outlineLvl w:val="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2023年我单位网格化管理专项资金自评得分93分，评价等级“优”。</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widowControl w:val="0"/>
        <w:wordWrap/>
        <w:adjustRightInd/>
        <w:snapToGrid/>
        <w:spacing w:line="600" w:lineRule="exact"/>
        <w:ind w:left="0" w:leftChars="0" w:right="0" w:firstLine="640" w:firstLineChars="200"/>
        <w:jc w:val="both"/>
        <w:textAlignment w:val="auto"/>
        <w:outlineLvl w:val="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为全面落实市委市政府“上游保水、护林保水、库区保水、依法保水、政策保水”指示精神，推动密云水库水源保护，促进农民保水就业，2022年密云区政府制定印发了《关于加强密云水库水源保护促进农民保水就业推进网格化管理的实施意见（2021—2024年）》（密政发〔2022〕22号），通过对密云水库一级保护区区管范围及潮河白河上游河道实施“定格、定人、定责、定章”的网格化管理，实现全天候、全覆盖、精细化管护，确保大地覆绿、清水下山、净水入库，同时促进农民保水就业，增加农民收入。</w:t>
      </w:r>
    </w:p>
    <w:p>
      <w:pPr>
        <w:numPr>
          <w:ilvl w:val="0"/>
          <w:numId w:val="9"/>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pPr>
        <w:widowControl w:val="0"/>
        <w:wordWrap/>
        <w:adjustRightInd/>
        <w:snapToGrid/>
        <w:spacing w:line="600" w:lineRule="exact"/>
        <w:ind w:left="0" w:leftChars="0" w:right="0" w:firstLine="640" w:firstLineChars="200"/>
        <w:jc w:val="both"/>
        <w:textAlignment w:val="auto"/>
        <w:outlineLvl w:val="0"/>
        <w:rPr>
          <w:rFonts w:hint="eastAsia" w:ascii="楷体_GB2312" w:hAnsi="楷体_GB2312" w:eastAsia="楷体_GB2312" w:cs="楷体_GB2312"/>
          <w:sz w:val="32"/>
          <w:szCs w:val="32"/>
        </w:rPr>
      </w:pPr>
      <w:r>
        <w:rPr>
          <w:rFonts w:hint="eastAsia" w:ascii="仿宋_GB2312" w:hAnsi="宋体" w:eastAsia="仿宋_GB2312"/>
          <w:sz w:val="32"/>
          <w:szCs w:val="32"/>
          <w:lang w:val="en-US" w:eastAsia="zh-CN"/>
        </w:rPr>
        <w:t xml:space="preserve"> 按照《网格化管理考核办法》，严格项目的监督与考核，由保水委牵头，采取日常检查、节假日及重大活动期间重点抽查、年终集中考核的方式，对网格化管理工作进行监督考核，考核结果纳入镇街全面履职绩效考评。同时聘请第三方社会机构对网格化管理工作情况进行监督，包括网格员上岗情况、履职情况、网格内发生的涉水违法违规问题及处理情况。</w:t>
      </w:r>
    </w:p>
    <w:p>
      <w:pPr>
        <w:numPr>
          <w:ilvl w:val="0"/>
          <w:numId w:val="9"/>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pPr>
        <w:widowControl w:val="0"/>
        <w:wordWrap/>
        <w:adjustRightInd/>
        <w:snapToGrid/>
        <w:spacing w:line="600" w:lineRule="exact"/>
        <w:ind w:left="0" w:leftChars="0" w:right="0" w:firstLine="640" w:firstLineChars="200"/>
        <w:jc w:val="both"/>
        <w:textAlignment w:val="auto"/>
        <w:outlineLvl w:val="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密云水库一级保护区及51公里的潮河白河上游主河道建立了“定格、定人、定责、定章”的网格化管理体系，划定160个保水网格，其中一级区120个网格，河道40个网格；落实保水网格员，各镇按照核定名额，按规定选聘网格员，安排2196人次绿岗就业。</w:t>
      </w:r>
    </w:p>
    <w:p>
      <w:pPr>
        <w:numPr>
          <w:ilvl w:val="0"/>
          <w:numId w:val="9"/>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项目效益情况。</w:t>
      </w:r>
    </w:p>
    <w:p>
      <w:pPr>
        <w:widowControl w:val="0"/>
        <w:wordWrap/>
        <w:adjustRightInd/>
        <w:snapToGrid/>
        <w:spacing w:line="600" w:lineRule="exact"/>
        <w:ind w:left="0" w:leftChars="0" w:right="0" w:firstLine="640" w:firstLineChars="200"/>
        <w:jc w:val="both"/>
        <w:textAlignment w:val="auto"/>
        <w:outlineLvl w:val="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密云水库2023年库区水质达到国家地表水Ⅱ类标准达标值。</w:t>
      </w:r>
    </w:p>
    <w:p>
      <w:pPr>
        <w:numPr>
          <w:ilvl w:val="0"/>
          <w:numId w:val="10"/>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pStyle w:val="20"/>
        <w:wordWrap/>
        <w:adjustRightInd w:val="0"/>
        <w:snapToGrid w:val="0"/>
        <w:spacing w:line="560" w:lineRule="exact"/>
        <w:ind w:left="0" w:firstLine="640" w:firstLineChars="200"/>
        <w:jc w:val="both"/>
        <w:textAlignment w:val="auto"/>
        <w:rPr>
          <w:rFonts w:hint="eastAsia" w:ascii="黑体" w:hAnsi="黑体" w:eastAsia="黑体" w:cs="黑体"/>
          <w:sz w:val="32"/>
          <w:szCs w:val="32"/>
        </w:rPr>
      </w:pPr>
      <w:r>
        <w:rPr>
          <w:rFonts w:hint="eastAsia" w:ascii="仿宋_GB2312" w:hAnsi="宋体" w:eastAsia="仿宋_GB2312" w:cs="Times New Roman"/>
          <w:color w:val="auto"/>
          <w:kern w:val="2"/>
          <w:sz w:val="32"/>
          <w:szCs w:val="32"/>
          <w:lang w:val="en-US" w:eastAsia="zh-CN" w:bidi="ar-SA"/>
        </w:rPr>
        <w:t>政策在执行过程中，存在部分镇人员上岗不足的问题。主要在与镇里人员存在流动性，人员更新不及时，已经督促相关镇尽快招聘人员，补齐不足。</w:t>
      </w:r>
    </w:p>
    <w:p>
      <w:pPr>
        <w:numPr>
          <w:ilvl w:val="0"/>
          <w:numId w:val="10"/>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有关建议</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仿宋_GB2312" w:hAnsi="宋体" w:eastAsia="仿宋_GB2312" w:cs="Times New Roman"/>
          <w:color w:val="auto"/>
          <w:kern w:val="2"/>
          <w:sz w:val="32"/>
          <w:szCs w:val="32"/>
          <w:lang w:val="en-US" w:eastAsia="zh-CN" w:bidi="ar-SA"/>
        </w:rPr>
        <w:t>无</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无</w:t>
      </w:r>
    </w:p>
    <w:p>
      <w:pPr>
        <w:pStyle w:val="2"/>
        <w:rPr>
          <w:rFonts w:hint="eastAsia"/>
        </w:rPr>
      </w:pPr>
    </w:p>
    <w:p>
      <w:pPr>
        <w:pStyle w:val="2"/>
        <w:rPr>
          <w:rFonts w:hint="eastAsia"/>
        </w:rPr>
      </w:pPr>
    </w:p>
    <w:p>
      <w:pPr>
        <w:pStyle w:val="2"/>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11"/>
        <w:tblW w:w="9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kern w:val="0"/>
                <w:sz w:val="18"/>
                <w:szCs w:val="18"/>
              </w:rPr>
              <w:t>网格化管理资金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kern w:val="0"/>
                <w:sz w:val="18"/>
                <w:szCs w:val="18"/>
              </w:rPr>
              <w:t>区水务局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sz w:val="20"/>
                <w:szCs w:val="20"/>
              </w:rPr>
              <w:t>密云水库综合执法大队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kern w:val="0"/>
                <w:sz w:val="18"/>
                <w:szCs w:val="18"/>
                <w:lang w:eastAsia="zh-CN"/>
              </w:rPr>
              <w:t>王娟</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kern w:val="0"/>
                <w:sz w:val="18"/>
                <w:szCs w:val="18"/>
                <w:lang w:val="en-US" w:eastAsia="zh-CN"/>
              </w:rPr>
              <w:t>69047292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eastAsia="宋体" w:cs="宋体"/>
                <w:kern w:val="0"/>
                <w:sz w:val="18"/>
                <w:szCs w:val="18"/>
                <w:lang w:val="en-US" w:eastAsia="zh-CN"/>
              </w:rPr>
              <w:t>4816</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eastAsia="宋体" w:cs="宋体"/>
                <w:kern w:val="0"/>
                <w:sz w:val="18"/>
                <w:szCs w:val="18"/>
                <w:lang w:val="en-US" w:eastAsia="zh-CN"/>
              </w:rPr>
              <w:t>4816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eastAsia="宋体" w:cs="宋体"/>
                <w:kern w:val="0"/>
                <w:sz w:val="18"/>
                <w:szCs w:val="18"/>
              </w:rPr>
              <w:t>4465.75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eastAsia="宋体" w:cs="宋体"/>
                <w:kern w:val="0"/>
                <w:sz w:val="18"/>
                <w:szCs w:val="18"/>
                <w:lang w:val="en-US" w:eastAsia="zh-CN"/>
              </w:rPr>
              <w:t>92.73%</w:t>
            </w:r>
          </w:p>
        </w:tc>
        <w:tc>
          <w:tcPr>
            <w:tcW w:w="71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eastAsia="宋体" w:cs="宋体"/>
                <w:kern w:val="0"/>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eastAsia="宋体" w:cs="宋体"/>
                <w:kern w:val="0"/>
                <w:sz w:val="18"/>
                <w:szCs w:val="18"/>
                <w:lang w:val="en-US" w:eastAsia="zh-CN"/>
              </w:rPr>
              <w:t>4816</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eastAsia="宋体" w:cs="宋体"/>
                <w:kern w:val="0"/>
                <w:sz w:val="18"/>
                <w:szCs w:val="18"/>
                <w:lang w:val="en-US" w:eastAsia="zh-CN"/>
              </w:rPr>
              <w:t>4816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eastAsia="宋体" w:cs="宋体"/>
                <w:kern w:val="0"/>
                <w:sz w:val="18"/>
                <w:szCs w:val="18"/>
              </w:rPr>
              <w:t>4465.75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kern w:val="0"/>
                <w:sz w:val="18"/>
                <w:szCs w:val="18"/>
                <w:lang w:val="en-US" w:eastAsia="zh-CN"/>
              </w:rPr>
              <w:t>92.73%</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cs="宋体"/>
                <w:color w:val="000000"/>
                <w:sz w:val="20"/>
                <w:szCs w:val="20"/>
              </w:rPr>
              <w:t>大地覆绿、清水下山、净水入库，同时促进农民保水就业，增加农民收入。</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cs="宋体"/>
                <w:color w:val="000000"/>
                <w:sz w:val="20"/>
                <w:szCs w:val="20"/>
              </w:rPr>
              <w:t>大地覆绿、清水下山、净水入库，同时促进农民保水就业，增加农民收入。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jc w:val="both"/>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18"/>
                <w:szCs w:val="18"/>
                <w:u w:val="none"/>
                <w:lang w:val="en-US" w:eastAsia="zh-CN"/>
              </w:rPr>
              <w:t>指标1：一级保护区区管范围</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rPr>
              <w:t>104平方公里</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rPr>
              <w:t>104平方公里</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jc w:val="both"/>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18"/>
                <w:szCs w:val="18"/>
                <w:u w:val="none"/>
                <w:lang w:val="en-US" w:eastAsia="zh-CN"/>
              </w:rPr>
              <w:t>指标2：密云境内潮河、白河长度</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rPr>
              <w:t>51公里</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rPr>
              <w:t>51公里</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jc w:val="both"/>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18"/>
                <w:szCs w:val="18"/>
                <w:u w:val="none"/>
                <w:lang w:val="en-US" w:eastAsia="zh-CN"/>
              </w:rPr>
              <w:t>指标3：一级保护区划分网格数</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rPr>
              <w:t>120个</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rPr>
              <w:t>120个</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jc w:val="both"/>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18"/>
                <w:szCs w:val="18"/>
                <w:u w:val="none"/>
                <w:lang w:val="en-US" w:eastAsia="zh-CN"/>
              </w:rPr>
              <w:t>指标4:潮河、白河上游河道划分网格数</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rPr>
              <w:t>40个</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rPr>
              <w:t>40个</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jc w:val="both"/>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18"/>
                <w:szCs w:val="18"/>
                <w:u w:val="none"/>
                <w:lang w:val="en-US" w:eastAsia="zh-CN"/>
              </w:rPr>
              <w:t>指标5:网格员数量</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rPr>
              <w:t>2150人</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sz w:val="18"/>
                <w:szCs w:val="18"/>
                <w:lang w:val="en-US" w:eastAsia="zh-CN"/>
              </w:rPr>
              <w:t>2196</w:t>
            </w:r>
            <w:r>
              <w:rPr>
                <w:rFonts w:hint="eastAsia" w:ascii="宋体" w:hAnsi="宋体" w:cs="宋体"/>
                <w:sz w:val="18"/>
                <w:szCs w:val="18"/>
              </w:rPr>
              <w:t>人</w:t>
            </w:r>
            <w:r>
              <w:rPr>
                <w:rFonts w:hint="eastAsia" w:ascii="宋体" w:hAnsi="宋体" w:cs="宋体"/>
                <w:sz w:val="18"/>
                <w:szCs w:val="18"/>
                <w:lang w:eastAsia="zh-CN"/>
              </w:rPr>
              <w:t>次</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kern w:val="0"/>
                <w:sz w:val="20"/>
                <w:szCs w:val="20"/>
              </w:rPr>
              <w:t>网格员到岗不足，督促各镇保证网格员足额使用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指标1：网格员上岗率</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lang w:val="en-US" w:eastAsia="zh-CN"/>
              </w:rPr>
              <w:t>100%</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lang w:val="en-US" w:eastAsia="zh-CN"/>
              </w:rPr>
              <w:t>99.5%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网格员到岗不足，督促各镇保证网格员足额使用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指标2：网格管理覆盖率</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lang w:val="en-US" w:eastAsia="zh-CN"/>
              </w:rPr>
              <w:t>100%</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指标3：网格事件整改率</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lang w:val="en-US" w:eastAsia="zh-CN"/>
              </w:rPr>
              <w:t>100%</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lang w:val="en-US" w:eastAsia="zh-CN"/>
              </w:rPr>
              <w:t>100%</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指标1：劳务补贴</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1500元/人/月</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1500元/人/月</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指标2：意外伤害保险</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200元/人/年</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200元/人/年</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指标3：运行保障费</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60</w:t>
            </w:r>
            <w:r>
              <w:rPr>
                <w:rFonts w:hint="eastAsia" w:ascii="宋体" w:hAnsi="宋体" w:cs="宋体"/>
                <w:color w:val="000000"/>
                <w:sz w:val="18"/>
                <w:szCs w:val="18"/>
                <w:lang w:val="en-US" w:eastAsia="zh-CN"/>
              </w:rPr>
              <w:t>3</w:t>
            </w:r>
            <w:r>
              <w:rPr>
                <w:rFonts w:hint="eastAsia" w:ascii="宋体" w:hAnsi="宋体" w:cs="宋体"/>
                <w:color w:val="000000"/>
                <w:sz w:val="18"/>
                <w:szCs w:val="18"/>
              </w:rPr>
              <w:t>万元</w:t>
            </w:r>
          </w:p>
        </w:tc>
        <w:tc>
          <w:tcPr>
            <w:tcW w:w="84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宋体" w:hAnsi="宋体" w:eastAsia="宋体" w:cs="宋体"/>
                <w:i w:val="0"/>
                <w:color w:val="000000"/>
                <w:kern w:val="0"/>
                <w:sz w:val="16"/>
                <w:szCs w:val="16"/>
                <w:u w:val="none"/>
                <w:lang w:val="en-US" w:eastAsia="zh-CN"/>
              </w:rPr>
              <w:t>425.96万元</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 w:val="21"/>
                <w:szCs w:val="21"/>
                <w:lang w:val="en-US" w:eastAsia="zh-CN" w:bidi="ar-SA"/>
              </w:rPr>
              <w:t>3</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cs="宋体"/>
                <w:color w:val="000000"/>
                <w:sz w:val="16"/>
                <w:szCs w:val="16"/>
                <w:lang w:eastAsia="zh-CN"/>
              </w:rPr>
              <w:t>各镇资金使用率较低，督促加快支出进度，结余资金及时上缴。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指标4：应急费用</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300万元</w:t>
            </w:r>
          </w:p>
        </w:tc>
        <w:tc>
          <w:tcPr>
            <w:tcW w:w="84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宋体" w:hAnsi="宋体" w:eastAsia="宋体" w:cs="宋体"/>
                <w:i w:val="0"/>
                <w:color w:val="000000"/>
                <w:kern w:val="0"/>
                <w:sz w:val="16"/>
                <w:szCs w:val="16"/>
                <w:u w:val="none"/>
                <w:lang w:val="en-US" w:eastAsia="zh-CN"/>
              </w:rPr>
              <w:t>187.81万元</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5</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 w:val="21"/>
                <w:szCs w:val="21"/>
                <w:lang w:val="en-US" w:eastAsia="zh-CN" w:bidi="ar-SA"/>
              </w:rPr>
              <w:t>3</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kern w:val="0"/>
                <w:szCs w:val="21"/>
              </w:rPr>
            </w:pPr>
            <w:r>
              <w:rPr>
                <w:rFonts w:hint="eastAsia" w:ascii="宋体" w:hAnsi="宋体" w:cs="宋体"/>
                <w:color w:val="000000"/>
                <w:sz w:val="18"/>
                <w:szCs w:val="18"/>
                <w:lang w:eastAsia="zh-CN"/>
              </w:rPr>
              <w:t>结余资金上缴区财政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指标1：农民个人年补助收入</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1.8万元</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1.8万元</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指标1：地表水Ⅱ类标准达标值</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达标</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rPr>
              <w:t>达标</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color w:val="000000"/>
                <w:kern w:val="0"/>
                <w:szCs w:val="21"/>
              </w:rPr>
            </w:pPr>
            <w:r>
              <w:rPr>
                <w:rFonts w:hint="eastAsia" w:ascii="宋体" w:hAnsi="宋体" w:cs="宋体"/>
                <w:color w:val="000000"/>
                <w:sz w:val="18"/>
                <w:szCs w:val="18"/>
              </w:rPr>
              <w:t>指标1：水库周边村民满意率</w:t>
            </w:r>
          </w:p>
        </w:tc>
        <w:tc>
          <w:tcPr>
            <w:tcW w:w="849"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lang w:val="en-US" w:eastAsia="zh-CN"/>
              </w:rPr>
              <w:t>90</w:t>
            </w:r>
            <w:r>
              <w:rPr>
                <w:rFonts w:hint="eastAsia" w:ascii="宋体" w:hAnsi="宋体" w:cs="宋体"/>
                <w:color w:val="000000"/>
                <w:sz w:val="18"/>
                <w:szCs w:val="18"/>
              </w:rPr>
              <w:t>%</w:t>
            </w:r>
          </w:p>
        </w:tc>
        <w:tc>
          <w:tcPr>
            <w:tcW w:w="848" w:type="dxa"/>
            <w:tcBorders>
              <w:top w:val="single" w:color="auto" w:sz="4" w:space="0"/>
              <w:left w:val="nil"/>
              <w:bottom w:val="single" w:color="auto" w:sz="4" w:space="0"/>
              <w:right w:val="single" w:color="auto" w:sz="4" w:space="0"/>
            </w:tcBorders>
            <w:vAlign w:val="center"/>
          </w:tcPr>
          <w:p>
            <w:pPr>
              <w:jc w:val="both"/>
              <w:rPr>
                <w:rFonts w:hint="eastAsia" w:ascii="仿宋_GB2312" w:hAnsi="宋体" w:eastAsia="仿宋_GB2312" w:cs="宋体"/>
                <w:kern w:val="0"/>
                <w:szCs w:val="21"/>
              </w:rPr>
            </w:pPr>
            <w:r>
              <w:rPr>
                <w:rFonts w:hint="eastAsia" w:ascii="宋体" w:hAnsi="宋体" w:cs="宋体"/>
                <w:color w:val="000000"/>
                <w:sz w:val="18"/>
                <w:szCs w:val="18"/>
                <w:lang w:val="en-US" w:eastAsia="zh-CN"/>
              </w:rPr>
              <w:t>90</w:t>
            </w:r>
            <w:r>
              <w:rPr>
                <w:rFonts w:hint="eastAsia" w:ascii="宋体" w:hAnsi="宋体" w:cs="宋体"/>
                <w:color w:val="000000"/>
                <w:sz w:val="18"/>
                <w:szCs w:val="18"/>
              </w:rPr>
              <w:t>%</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p>
        </w:tc>
        <w:tc>
          <w:tcPr>
            <w:tcW w:w="563"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仿宋_GB2312"/>
                <w:color w:val="00000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93</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2"/>
        <w:ind w:firstLine="640"/>
        <w:rPr>
          <w:rFonts w:hint="eastAsia" w:ascii="仿宋_GB2312" w:eastAsia="仿宋_GB2312"/>
          <w:sz w:val="32"/>
          <w:szCs w:val="32"/>
        </w:rPr>
      </w:pPr>
    </w:p>
    <w:p>
      <w:pPr>
        <w:pStyle w:val="2"/>
        <w:ind w:left="0" w:leftChars="0" w:firstLine="0" w:firstLineChars="0"/>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4B9F3"/>
    <w:multiLevelType w:val="singleLevel"/>
    <w:tmpl w:val="6684B9F3"/>
    <w:lvl w:ilvl="0" w:tentative="0">
      <w:start w:val="2"/>
      <w:numFmt w:val="chineseCounting"/>
      <w:suff w:val="nothing"/>
      <w:lvlText w:val="（%1）"/>
      <w:lvlJc w:val="left"/>
    </w:lvl>
  </w:abstractNum>
  <w:abstractNum w:abstractNumId="1">
    <w:nsid w:val="6684BBBD"/>
    <w:multiLevelType w:val="singleLevel"/>
    <w:tmpl w:val="6684BBBD"/>
    <w:lvl w:ilvl="0" w:tentative="0">
      <w:start w:val="2"/>
      <w:numFmt w:val="decimal"/>
      <w:suff w:val="nothing"/>
      <w:lvlText w:val="%1."/>
      <w:lvlJc w:val="left"/>
    </w:lvl>
  </w:abstractNum>
  <w:abstractNum w:abstractNumId="2">
    <w:nsid w:val="6684BD4B"/>
    <w:multiLevelType w:val="singleLevel"/>
    <w:tmpl w:val="6684BD4B"/>
    <w:lvl w:ilvl="0" w:tentative="0">
      <w:start w:val="3"/>
      <w:numFmt w:val="chineseCounting"/>
      <w:suff w:val="nothing"/>
      <w:lvlText w:val="（%1）"/>
      <w:lvlJc w:val="left"/>
    </w:lvl>
  </w:abstractNum>
  <w:abstractNum w:abstractNumId="3">
    <w:nsid w:val="6684BE13"/>
    <w:multiLevelType w:val="singleLevel"/>
    <w:tmpl w:val="6684BE13"/>
    <w:lvl w:ilvl="0" w:tentative="0">
      <w:start w:val="2"/>
      <w:numFmt w:val="chineseCounting"/>
      <w:suff w:val="nothing"/>
      <w:lvlText w:val="（%1）"/>
      <w:lvlJc w:val="left"/>
    </w:lvl>
  </w:abstractNum>
  <w:abstractNum w:abstractNumId="4">
    <w:nsid w:val="6684C0EF"/>
    <w:multiLevelType w:val="singleLevel"/>
    <w:tmpl w:val="6684C0EF"/>
    <w:lvl w:ilvl="0" w:tentative="0">
      <w:start w:val="6"/>
      <w:numFmt w:val="chineseCounting"/>
      <w:suff w:val="nothing"/>
      <w:lvlText w:val="%1、"/>
      <w:lvlJc w:val="left"/>
    </w:lvl>
  </w:abstractNum>
  <w:abstractNum w:abstractNumId="5">
    <w:nsid w:val="668505CA"/>
    <w:multiLevelType w:val="singleLevel"/>
    <w:tmpl w:val="668505CA"/>
    <w:lvl w:ilvl="0" w:tentative="0">
      <w:start w:val="2"/>
      <w:numFmt w:val="chineseCounting"/>
      <w:suff w:val="nothing"/>
      <w:lvlText w:val="（%1）"/>
      <w:lvlJc w:val="left"/>
    </w:lvl>
  </w:abstractNum>
  <w:abstractNum w:abstractNumId="6">
    <w:nsid w:val="66850621"/>
    <w:multiLevelType w:val="singleLevel"/>
    <w:tmpl w:val="66850621"/>
    <w:lvl w:ilvl="0" w:tentative="0">
      <w:start w:val="2"/>
      <w:numFmt w:val="chineseCounting"/>
      <w:suff w:val="nothing"/>
      <w:lvlText w:val="（%1）"/>
      <w:lvlJc w:val="left"/>
    </w:lvl>
  </w:abstractNum>
  <w:abstractNum w:abstractNumId="7">
    <w:nsid w:val="668506A9"/>
    <w:multiLevelType w:val="singleLevel"/>
    <w:tmpl w:val="668506A9"/>
    <w:lvl w:ilvl="0" w:tentative="0">
      <w:start w:val="3"/>
      <w:numFmt w:val="chineseCounting"/>
      <w:suff w:val="nothing"/>
      <w:lvlText w:val="%1、"/>
      <w:lvlJc w:val="left"/>
    </w:lvl>
  </w:abstractNum>
  <w:abstractNum w:abstractNumId="8">
    <w:nsid w:val="668506D2"/>
    <w:multiLevelType w:val="singleLevel"/>
    <w:tmpl w:val="668506D2"/>
    <w:lvl w:ilvl="0" w:tentative="0">
      <w:start w:val="2"/>
      <w:numFmt w:val="chineseCounting"/>
      <w:suff w:val="nothing"/>
      <w:lvlText w:val="（%1）"/>
      <w:lvlJc w:val="left"/>
    </w:lvl>
  </w:abstractNum>
  <w:abstractNum w:abstractNumId="9">
    <w:nsid w:val="66850764"/>
    <w:multiLevelType w:val="singleLevel"/>
    <w:tmpl w:val="66850764"/>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3892AEE"/>
    <w:rsid w:val="03EE1902"/>
    <w:rsid w:val="079004AC"/>
    <w:rsid w:val="0A426DE3"/>
    <w:rsid w:val="0F8E2C57"/>
    <w:rsid w:val="1059665E"/>
    <w:rsid w:val="10AC13BA"/>
    <w:rsid w:val="12C67A5C"/>
    <w:rsid w:val="17687AF5"/>
    <w:rsid w:val="17B20E6E"/>
    <w:rsid w:val="17E625C2"/>
    <w:rsid w:val="18492666"/>
    <w:rsid w:val="1AEC0734"/>
    <w:rsid w:val="1AEC4E38"/>
    <w:rsid w:val="1B905946"/>
    <w:rsid w:val="1DEF20B0"/>
    <w:rsid w:val="214243FA"/>
    <w:rsid w:val="226F2A0B"/>
    <w:rsid w:val="257A14F5"/>
    <w:rsid w:val="27196C26"/>
    <w:rsid w:val="2982252B"/>
    <w:rsid w:val="298637CE"/>
    <w:rsid w:val="29EF086F"/>
    <w:rsid w:val="2CC66E03"/>
    <w:rsid w:val="2EFFE297"/>
    <w:rsid w:val="2F640003"/>
    <w:rsid w:val="301437CA"/>
    <w:rsid w:val="34C752A4"/>
    <w:rsid w:val="433E495C"/>
    <w:rsid w:val="43C6564B"/>
    <w:rsid w:val="44DD4DF9"/>
    <w:rsid w:val="45C1217F"/>
    <w:rsid w:val="4AC27CB3"/>
    <w:rsid w:val="4B2E287D"/>
    <w:rsid w:val="4BF72BEF"/>
    <w:rsid w:val="4D486759"/>
    <w:rsid w:val="4DFD4F82"/>
    <w:rsid w:val="4F5A2C5A"/>
    <w:rsid w:val="51DB3C59"/>
    <w:rsid w:val="55762E42"/>
    <w:rsid w:val="57A7B272"/>
    <w:rsid w:val="58470068"/>
    <w:rsid w:val="5A1720F9"/>
    <w:rsid w:val="5B9C37C2"/>
    <w:rsid w:val="5BA7C654"/>
    <w:rsid w:val="64C0607C"/>
    <w:rsid w:val="66027C50"/>
    <w:rsid w:val="673459D6"/>
    <w:rsid w:val="676F09E1"/>
    <w:rsid w:val="69491AC0"/>
    <w:rsid w:val="6E1DD6B5"/>
    <w:rsid w:val="74FF5D81"/>
    <w:rsid w:val="752C594B"/>
    <w:rsid w:val="769C7023"/>
    <w:rsid w:val="77FFF19E"/>
    <w:rsid w:val="7A741675"/>
    <w:rsid w:val="7A7F1C49"/>
    <w:rsid w:val="7B330394"/>
    <w:rsid w:val="7B5B7AE6"/>
    <w:rsid w:val="7B9F1E6B"/>
    <w:rsid w:val="7BA7071E"/>
    <w:rsid w:val="7BDF6DA8"/>
    <w:rsid w:val="7C7EDC1A"/>
    <w:rsid w:val="7CCED98D"/>
    <w:rsid w:val="7D08410F"/>
    <w:rsid w:val="7DB96DED"/>
    <w:rsid w:val="7DD3AD81"/>
    <w:rsid w:val="7EFC65E6"/>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qFormat/>
    <w:uiPriority w:val="0"/>
    <w:pPr>
      <w:ind w:left="109"/>
    </w:pPr>
    <w:rPr>
      <w:rFonts w:ascii="仿宋_GB2312" w:hAnsi="仿宋_GB2312" w:eastAsia="仿宋_GB2312" w:cs="仿宋_GB2312"/>
      <w:sz w:val="32"/>
      <w:szCs w:val="32"/>
      <w:lang w:val="zh-CN" w:bidi="zh-CN"/>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paragraph" w:customStyle="1" w:styleId="15">
    <w:name w:val=" Char Char Char Char Char Char Char"/>
    <w:basedOn w:val="1"/>
    <w:qFormat/>
    <w:uiPriority w:val="0"/>
    <w:rPr>
      <w:rFonts w:ascii="Tahoma" w:hAnsi="Tahoma"/>
      <w:sz w:val="24"/>
      <w:szCs w:val="20"/>
    </w:rPr>
  </w:style>
  <w:style w:type="paragraph" w:customStyle="1" w:styleId="16">
    <w:name w:val="Char1 Char Char Char"/>
    <w:basedOn w:val="1"/>
    <w:qFormat/>
    <w:uiPriority w:val="0"/>
    <w:pPr>
      <w:widowControl/>
      <w:spacing w:after="160" w:line="240" w:lineRule="exact"/>
      <w:jc w:val="left"/>
    </w:pPr>
    <w:rPr>
      <w:szCs w:val="20"/>
    </w:rPr>
  </w:style>
  <w:style w:type="paragraph" w:customStyle="1" w:styleId="17">
    <w:name w:val="Char"/>
    <w:basedOn w:val="1"/>
    <w:qFormat/>
    <w:uiPriority w:val="0"/>
    <w:rPr>
      <w:rFonts w:ascii="Tahoma" w:hAnsi="Tahoma"/>
      <w:sz w:val="24"/>
      <w:szCs w:val="20"/>
    </w:rPr>
  </w:style>
  <w:style w:type="paragraph" w:customStyle="1" w:styleId="18">
    <w:name w:val="Char Char3 Char Char"/>
    <w:basedOn w:val="1"/>
    <w:qFormat/>
    <w:uiPriority w:val="0"/>
    <w:rPr>
      <w:szCs w:val="21"/>
    </w:rPr>
  </w:style>
  <w:style w:type="paragraph" w:customStyle="1" w:styleId="19">
    <w:name w:val="Other|1"/>
    <w:basedOn w:val="1"/>
    <w:qFormat/>
    <w:uiPriority w:val="0"/>
    <w:pPr>
      <w:spacing w:line="418" w:lineRule="auto"/>
      <w:ind w:firstLine="400"/>
    </w:pPr>
    <w:rPr>
      <w:rFonts w:ascii="宋体" w:hAnsi="宋体" w:eastAsia="宋体" w:cs="宋体"/>
      <w:sz w:val="28"/>
      <w:szCs w:val="28"/>
      <w:lang w:val="zh-TW" w:eastAsia="zh-TW" w:bidi="zh-TW"/>
    </w:rPr>
  </w:style>
  <w:style w:type="paragraph" w:customStyle="1" w:styleId="20">
    <w:name w:val="Body text|1"/>
    <w:basedOn w:val="1"/>
    <w:qFormat/>
    <w:uiPriority w:val="0"/>
    <w:pPr>
      <w:spacing w:line="628" w:lineRule="exact"/>
      <w:ind w:left="1060" w:firstLine="640"/>
    </w:pPr>
    <w:rPr>
      <w:rFonts w:ascii="宋体" w:hAnsi="宋体" w:eastAsia="宋体" w:cs="宋体"/>
      <w:color w:val="auto"/>
      <w:kern w:val="2"/>
      <w:sz w:val="28"/>
      <w:szCs w:val="28"/>
      <w:lang w:val="zh-TW" w:eastAsia="zh-TW" w:bidi="zh-TW"/>
    </w:rPr>
  </w:style>
  <w:style w:type="character" w:customStyle="1" w:styleId="21">
    <w:name w:val="页脚 Char"/>
    <w:link w:val="8"/>
    <w:qFormat/>
    <w:uiPriority w:val="0"/>
    <w:rPr>
      <w:rFonts w:eastAsia="宋体"/>
      <w:kern w:val="2"/>
      <w:sz w:val="18"/>
      <w:szCs w:val="18"/>
      <w:lang w:val="en-US" w:eastAsia="zh-CN" w:bidi="ar-SA"/>
    </w:rPr>
  </w:style>
  <w:style w:type="character" w:customStyle="1" w:styleId="22">
    <w:name w:val="页眉 Char"/>
    <w:link w:val="9"/>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15807</Words>
  <Characters>25150</Characters>
  <Lines>77</Lines>
  <Paragraphs>21</Paragraphs>
  <TotalTime>5</TotalTime>
  <ScaleCrop>false</ScaleCrop>
  <LinksUpToDate>false</LinksUpToDate>
  <CharactersWithSpaces>26275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cws</cp:lastModifiedBy>
  <cp:lastPrinted>2024-08-29T06:24:00Z</cp:lastPrinted>
  <dcterms:modified xsi:type="dcterms:W3CDTF">2024-12-04T07:04:28Z</dcterms:modified>
  <dc:title>北京市财政局关于做好向市人大常委会报送2015年度市级部门决算（草案）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C53E0049DD7D4F56A956C4A3BA3D12CC_13</vt:lpwstr>
  </property>
</Properties>
</file>